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C1B7" w14:textId="77777777" w:rsidR="004F374F" w:rsidRDefault="004F374F" w:rsidP="00667BB6">
      <w:pPr>
        <w:jc w:val="right"/>
        <w:rPr>
          <w:b/>
          <w:szCs w:val="22"/>
        </w:rPr>
      </w:pPr>
      <w:bookmarkStart w:id="0" w:name="_GoBack"/>
      <w:bookmarkEnd w:id="0"/>
    </w:p>
    <w:p w14:paraId="2AE4C56D" w14:textId="21573DB8" w:rsidR="00667BB6" w:rsidRDefault="00667BB6" w:rsidP="00667BB6">
      <w:pPr>
        <w:jc w:val="right"/>
        <w:rPr>
          <w:b/>
          <w:szCs w:val="22"/>
        </w:rPr>
      </w:pPr>
      <w:r>
        <w:rPr>
          <w:b/>
          <w:szCs w:val="22"/>
        </w:rPr>
        <w:t>DA 1</w:t>
      </w:r>
      <w:r w:rsidR="00625869">
        <w:rPr>
          <w:b/>
          <w:szCs w:val="22"/>
        </w:rPr>
        <w:t>6</w:t>
      </w:r>
      <w:r>
        <w:rPr>
          <w:b/>
          <w:szCs w:val="22"/>
        </w:rPr>
        <w:t>-</w:t>
      </w:r>
      <w:r w:rsidR="00265067">
        <w:rPr>
          <w:b/>
          <w:szCs w:val="22"/>
        </w:rPr>
        <w:t>1433</w:t>
      </w:r>
    </w:p>
    <w:p w14:paraId="74B36D6F" w14:textId="77777777" w:rsidR="004F374F" w:rsidRDefault="004F374F" w:rsidP="00667BB6">
      <w:pPr>
        <w:jc w:val="right"/>
        <w:rPr>
          <w:b/>
          <w:szCs w:val="22"/>
        </w:rPr>
      </w:pPr>
    </w:p>
    <w:p w14:paraId="2576ABE9" w14:textId="30170E45" w:rsidR="00667BB6" w:rsidRDefault="00667BB6" w:rsidP="00667BB6">
      <w:pPr>
        <w:jc w:val="right"/>
        <w:rPr>
          <w:b/>
          <w:szCs w:val="22"/>
        </w:rPr>
      </w:pPr>
      <w:r>
        <w:rPr>
          <w:b/>
          <w:szCs w:val="22"/>
        </w:rPr>
        <w:t xml:space="preserve">Released:  </w:t>
      </w:r>
      <w:r w:rsidR="00D92C05">
        <w:rPr>
          <w:b/>
          <w:szCs w:val="22"/>
        </w:rPr>
        <w:t xml:space="preserve">December </w:t>
      </w:r>
      <w:r w:rsidR="00741B81">
        <w:rPr>
          <w:b/>
          <w:szCs w:val="22"/>
        </w:rPr>
        <w:t>21</w:t>
      </w:r>
      <w:r>
        <w:rPr>
          <w:b/>
          <w:szCs w:val="22"/>
        </w:rPr>
        <w:t>, 201</w:t>
      </w:r>
      <w:r w:rsidR="00625869">
        <w:rPr>
          <w:b/>
          <w:szCs w:val="22"/>
        </w:rPr>
        <w:t>6</w:t>
      </w:r>
    </w:p>
    <w:p w14:paraId="54ADBDCB" w14:textId="77777777" w:rsidR="00667BB6" w:rsidRDefault="00667BB6" w:rsidP="00667BB6">
      <w:pPr>
        <w:rPr>
          <w:b/>
          <w:szCs w:val="22"/>
        </w:rPr>
      </w:pPr>
    </w:p>
    <w:p w14:paraId="2856FEC5" w14:textId="0CB01B1C" w:rsidR="00667BB6" w:rsidRDefault="00667BB6" w:rsidP="00667BB6">
      <w:pPr>
        <w:contextualSpacing/>
        <w:jc w:val="center"/>
        <w:rPr>
          <w:b/>
          <w:szCs w:val="22"/>
        </w:rPr>
      </w:pPr>
      <w:r>
        <w:rPr>
          <w:b/>
          <w:szCs w:val="22"/>
        </w:rPr>
        <w:t xml:space="preserve">NOTICE OF GRANT OF </w:t>
      </w:r>
      <w:r w:rsidRPr="006B7168">
        <w:rPr>
          <w:b/>
          <w:szCs w:val="22"/>
        </w:rPr>
        <w:t>CERTIFICATION</w:t>
      </w:r>
      <w:r w:rsidRPr="006B7168" w:rsidDel="006B7168">
        <w:rPr>
          <w:b/>
          <w:szCs w:val="22"/>
        </w:rPr>
        <w:t xml:space="preserve"> </w:t>
      </w:r>
      <w:r>
        <w:rPr>
          <w:b/>
          <w:szCs w:val="22"/>
        </w:rPr>
        <w:t xml:space="preserve">FOR CONVO COMMUNICATIONS, LLC </w:t>
      </w:r>
    </w:p>
    <w:p w14:paraId="2C78A63B" w14:textId="77777777" w:rsidR="00667BB6" w:rsidRDefault="00667BB6" w:rsidP="00667BB6">
      <w:pPr>
        <w:contextualSpacing/>
        <w:jc w:val="center"/>
        <w:rPr>
          <w:b/>
          <w:szCs w:val="22"/>
        </w:rPr>
      </w:pPr>
      <w:r>
        <w:rPr>
          <w:b/>
          <w:szCs w:val="22"/>
        </w:rPr>
        <w:t>FOR THE PROVISION OF VIDEO RELAY SERVICE</w:t>
      </w:r>
    </w:p>
    <w:p w14:paraId="2B8DF708" w14:textId="77777777" w:rsidR="00667BB6" w:rsidRDefault="00667BB6" w:rsidP="00667BB6">
      <w:pPr>
        <w:contextualSpacing/>
        <w:jc w:val="center"/>
        <w:rPr>
          <w:b/>
          <w:szCs w:val="22"/>
        </w:rPr>
      </w:pPr>
    </w:p>
    <w:p w14:paraId="004AC055" w14:textId="77777777" w:rsidR="00667BB6" w:rsidRDefault="00667BB6" w:rsidP="00667BB6">
      <w:pPr>
        <w:contextualSpacing/>
        <w:jc w:val="center"/>
        <w:rPr>
          <w:b/>
          <w:szCs w:val="22"/>
        </w:rPr>
      </w:pPr>
      <w:r>
        <w:rPr>
          <w:b/>
          <w:szCs w:val="22"/>
        </w:rPr>
        <w:t>CG DOCKET NOS. 03-123 &amp; 10-51</w:t>
      </w:r>
    </w:p>
    <w:p w14:paraId="4EC128DC" w14:textId="77777777" w:rsidR="00D47505" w:rsidRDefault="00D47505" w:rsidP="00D47505">
      <w:pPr>
        <w:jc w:val="center"/>
        <w:rPr>
          <w:sz w:val="24"/>
        </w:rPr>
      </w:pPr>
    </w:p>
    <w:p w14:paraId="634971AA" w14:textId="023E2E5F" w:rsidR="00667BB6" w:rsidRPr="00667BB6" w:rsidRDefault="00667BB6" w:rsidP="00667BB6">
      <w:pPr>
        <w:spacing w:after="120"/>
        <w:ind w:firstLine="720"/>
      </w:pPr>
      <w:r w:rsidRPr="00667BB6">
        <w:t xml:space="preserve">The Consumer and Governmental Affairs Bureau (Bureau) grants </w:t>
      </w:r>
      <w:r w:rsidR="00AD70EC" w:rsidRPr="00667BB6">
        <w:t xml:space="preserve">Convo Communications, LLC (Convo) </w:t>
      </w:r>
      <w:r w:rsidRPr="00667BB6">
        <w:t xml:space="preserve">a five-year certification </w:t>
      </w:r>
      <w:r w:rsidR="00AD70EC">
        <w:t xml:space="preserve">of </w:t>
      </w:r>
      <w:r w:rsidRPr="00667BB6">
        <w:t>eligibility to receive c</w:t>
      </w:r>
      <w:r w:rsidR="004F374F">
        <w:t xml:space="preserve">ompensation from the Interstate </w:t>
      </w:r>
      <w:r w:rsidRPr="00667BB6">
        <w:t>Telecommunications Relay Services (TRS</w:t>
      </w:r>
      <w:r w:rsidR="007B6769">
        <w:t>)</w:t>
      </w:r>
      <w:r w:rsidRPr="00667BB6">
        <w:t xml:space="preserve"> Fund</w:t>
      </w:r>
      <w:r w:rsidR="007B6769">
        <w:t xml:space="preserve"> (TRS Fund)</w:t>
      </w:r>
      <w:r w:rsidRPr="00667BB6">
        <w:rPr>
          <w:vertAlign w:val="superscript"/>
        </w:rPr>
        <w:footnoteReference w:id="2"/>
      </w:r>
      <w:r w:rsidRPr="00667BB6">
        <w:t xml:space="preserve"> for the provision of </w:t>
      </w:r>
      <w:r w:rsidR="007B6769">
        <w:t>v</w:t>
      </w:r>
      <w:r w:rsidRPr="00667BB6">
        <w:t xml:space="preserve">ideo </w:t>
      </w:r>
      <w:r w:rsidR="007B6769">
        <w:t>r</w:t>
      </w:r>
      <w:r w:rsidRPr="00667BB6">
        <w:t xml:space="preserve">elay </w:t>
      </w:r>
      <w:r w:rsidR="007B6769">
        <w:t>s</w:t>
      </w:r>
      <w:r w:rsidRPr="00667BB6">
        <w:t>ervice (VRS)</w:t>
      </w:r>
      <w:r w:rsidR="006E32BF">
        <w:t>,</w:t>
      </w:r>
      <w:r w:rsidRPr="00667BB6">
        <w:rPr>
          <w:vertAlign w:val="superscript"/>
        </w:rPr>
        <w:footnoteReference w:id="3"/>
      </w:r>
      <w:r w:rsidR="006E32BF">
        <w:t xml:space="preserve"> effective immediately.</w:t>
      </w:r>
      <w:r w:rsidR="007B6769">
        <w:t xml:space="preserve">  </w:t>
      </w:r>
      <w:r w:rsidRPr="00667BB6">
        <w:t xml:space="preserve">Convo </w:t>
      </w:r>
      <w:r w:rsidR="00D92C05">
        <w:t>currently holds</w:t>
      </w:r>
      <w:r w:rsidRPr="00667BB6">
        <w:t xml:space="preserve"> a conditional certification as a VRS provider.</w:t>
      </w:r>
      <w:r w:rsidRPr="00667BB6">
        <w:rPr>
          <w:vertAlign w:val="superscript"/>
        </w:rPr>
        <w:footnoteReference w:id="4"/>
      </w:r>
      <w:r w:rsidRPr="00667BB6">
        <w:t xml:space="preserve">  The Commission</w:t>
      </w:r>
      <w:r w:rsidR="007B6769">
        <w:t>’s</w:t>
      </w:r>
      <w:r w:rsidRPr="00667BB6">
        <w:t xml:space="preserve"> certification process is designed to ensure </w:t>
      </w:r>
      <w:r w:rsidR="00AD70EC">
        <w:t xml:space="preserve">that TRS Fund compensation is paid only to eligible TRS providers who provide service in </w:t>
      </w:r>
      <w:r w:rsidRPr="00667BB6">
        <w:t>compliance with the TRS rules.</w:t>
      </w:r>
      <w:r w:rsidRPr="00667BB6">
        <w:rPr>
          <w:vertAlign w:val="superscript"/>
        </w:rPr>
        <w:footnoteReference w:id="5"/>
      </w:r>
      <w:r w:rsidRPr="00667BB6">
        <w:t xml:space="preserve"> </w:t>
      </w:r>
    </w:p>
    <w:p w14:paraId="139A64A5" w14:textId="30176FA9" w:rsidR="002F3F64" w:rsidRDefault="002F3F64" w:rsidP="00667BB6">
      <w:pPr>
        <w:spacing w:after="120"/>
        <w:ind w:firstLine="720"/>
      </w:pPr>
      <w:r w:rsidRPr="00A15947">
        <w:rPr>
          <w:u w:val="single"/>
        </w:rPr>
        <w:t>B</w:t>
      </w:r>
      <w:r w:rsidR="00667BB6" w:rsidRPr="00A15947">
        <w:rPr>
          <w:u w:val="single"/>
        </w:rPr>
        <w:t>ackground</w:t>
      </w:r>
      <w:r w:rsidR="00A650FA" w:rsidRPr="00A650FA">
        <w:t xml:space="preserve">.  </w:t>
      </w:r>
      <w:r>
        <w:t>I</w:t>
      </w:r>
      <w:r w:rsidR="00AD70EC">
        <w:t>n</w:t>
      </w:r>
      <w:r w:rsidR="00AD70EC" w:rsidRPr="00667BB6">
        <w:t xml:space="preserve"> </w:t>
      </w:r>
      <w:r w:rsidR="00667BB6" w:rsidRPr="00667BB6">
        <w:t>2011,</w:t>
      </w:r>
      <w:r w:rsidR="001C3CA4">
        <w:t xml:space="preserve"> </w:t>
      </w:r>
      <w:r w:rsidR="00667BB6" w:rsidRPr="00667BB6">
        <w:t xml:space="preserve">the Commission modified its rules to require that Internet-based TRS providers </w:t>
      </w:r>
      <w:r w:rsidR="00450EE9">
        <w:t xml:space="preserve">obtain </w:t>
      </w:r>
      <w:r w:rsidR="00667BB6" w:rsidRPr="00667BB6">
        <w:t xml:space="preserve">certification </w:t>
      </w:r>
      <w:r w:rsidR="00450EE9">
        <w:t xml:space="preserve">from </w:t>
      </w:r>
      <w:r w:rsidR="00667BB6" w:rsidRPr="00667BB6">
        <w:t>the Commission in order to be eligible to receive compensation from the TRS Fund.</w:t>
      </w:r>
      <w:r w:rsidR="00667BB6" w:rsidRPr="00667BB6">
        <w:rPr>
          <w:vertAlign w:val="superscript"/>
        </w:rPr>
        <w:footnoteReference w:id="6"/>
      </w:r>
      <w:r w:rsidR="00667BB6" w:rsidRPr="00667BB6">
        <w:t xml:space="preserve">  </w:t>
      </w:r>
      <w:r w:rsidR="007B6769">
        <w:t xml:space="preserve">Certification may be granted upon a determination that a </w:t>
      </w:r>
      <w:r w:rsidR="00667BB6" w:rsidRPr="00667BB6">
        <w:t>provider</w:t>
      </w:r>
      <w:r w:rsidR="007B6769">
        <w:t>’s</w:t>
      </w:r>
      <w:r w:rsidR="00667BB6" w:rsidRPr="00667BB6">
        <w:t xml:space="preserve"> </w:t>
      </w:r>
      <w:r w:rsidR="007B6769">
        <w:t xml:space="preserve">certification </w:t>
      </w:r>
      <w:r w:rsidR="00667BB6" w:rsidRPr="00667BB6">
        <w:t xml:space="preserve">application </w:t>
      </w:r>
      <w:r w:rsidR="007B6769">
        <w:t xml:space="preserve">contains </w:t>
      </w:r>
      <w:r w:rsidR="00667BB6" w:rsidRPr="00667BB6">
        <w:t xml:space="preserve">documentary evidence </w:t>
      </w:r>
      <w:r w:rsidR="00D530B7">
        <w:t xml:space="preserve">demonstrating that it will meet all applicable </w:t>
      </w:r>
      <w:r w:rsidR="007B6769">
        <w:t xml:space="preserve">TRS </w:t>
      </w:r>
      <w:r w:rsidR="00D530B7">
        <w:t xml:space="preserve">mandatory </w:t>
      </w:r>
      <w:r w:rsidR="00D530B7">
        <w:lastRenderedPageBreak/>
        <w:t>minimum standards and that it has adequate procedures for ensuring</w:t>
      </w:r>
      <w:r w:rsidR="00667BB6" w:rsidRPr="00667BB6">
        <w:t xml:space="preserve"> compliance with Commission rules.</w:t>
      </w:r>
      <w:r w:rsidR="00667BB6" w:rsidRPr="00667BB6">
        <w:rPr>
          <w:vertAlign w:val="superscript"/>
        </w:rPr>
        <w:footnoteReference w:id="7"/>
      </w:r>
      <w:r w:rsidR="00667BB6" w:rsidRPr="00667BB6">
        <w:t xml:space="preserve">  </w:t>
      </w:r>
      <w:r w:rsidR="00B67AF2">
        <w:t xml:space="preserve">In addition, under </w:t>
      </w:r>
      <w:r w:rsidR="00786BFE">
        <w:t xml:space="preserve">section 64.606(a)(2) of the </w:t>
      </w:r>
      <w:r w:rsidR="00786BFE" w:rsidRPr="004D2EE0">
        <w:t>rules</w:t>
      </w:r>
      <w:r w:rsidR="00B67AF2" w:rsidRPr="00CA5308">
        <w:t>,</w:t>
      </w:r>
      <w:r w:rsidR="004D2EE0">
        <w:rPr>
          <w:rStyle w:val="FootnoteReference"/>
        </w:rPr>
        <w:footnoteReference w:id="8"/>
      </w:r>
      <w:r w:rsidR="00B67AF2" w:rsidRPr="00CA5308">
        <w:t xml:space="preserve"> </w:t>
      </w:r>
      <w:r w:rsidR="00B67AF2" w:rsidRPr="004D2EE0">
        <w:t>in order</w:t>
      </w:r>
      <w:r w:rsidR="00B67AF2">
        <w:t xml:space="preserve"> to obtain certification, a</w:t>
      </w:r>
      <w:r w:rsidR="00B67AF2" w:rsidRPr="00A15947">
        <w:t xml:space="preserve"> VRS</w:t>
      </w:r>
      <w:r w:rsidR="00B67AF2">
        <w:rPr>
          <w:i/>
        </w:rPr>
        <w:t xml:space="preserve"> </w:t>
      </w:r>
      <w:r w:rsidR="00B67AF2" w:rsidRPr="00A15947">
        <w:t xml:space="preserve">provider </w:t>
      </w:r>
      <w:r w:rsidR="00B67AF2">
        <w:t>must demonstrate that it provides, on its own, the core components necessary to provide VRS.</w:t>
      </w:r>
      <w:r w:rsidR="00B67AF2">
        <w:rPr>
          <w:rStyle w:val="FootnoteReference"/>
        </w:rPr>
        <w:footnoteReference w:id="9"/>
      </w:r>
      <w:r w:rsidR="00B67AF2">
        <w:t xml:space="preserve">  This requires that the provider lease, license or acquire and operate its own call centers and e</w:t>
      </w:r>
      <w:r w:rsidR="00B67AF2" w:rsidRPr="002F3F64">
        <w:t>mploy its own communications assistants</w:t>
      </w:r>
      <w:r w:rsidR="00450EE9">
        <w:t xml:space="preserve"> (CAs)</w:t>
      </w:r>
      <w:r w:rsidR="00B67AF2" w:rsidRPr="002F3F64">
        <w:t>.</w:t>
      </w:r>
      <w:r w:rsidR="003E1D9C" w:rsidRPr="002F3F64">
        <w:rPr>
          <w:rStyle w:val="FootnoteReference"/>
        </w:rPr>
        <w:footnoteReference w:id="10"/>
      </w:r>
      <w:r w:rsidR="00B67AF2" w:rsidRPr="002F3F64">
        <w:t xml:space="preserve"> </w:t>
      </w:r>
      <w:r w:rsidR="003E1D9C" w:rsidRPr="002F3F64">
        <w:t xml:space="preserve"> </w:t>
      </w:r>
      <w:r w:rsidR="00B11BAB">
        <w:t xml:space="preserve">Section 64.606(a)(2) </w:t>
      </w:r>
      <w:r w:rsidR="003E1D9C" w:rsidRPr="002F3F64">
        <w:t xml:space="preserve">further </w:t>
      </w:r>
      <w:r w:rsidR="003957B2">
        <w:t>requires that VRS providers include th</w:t>
      </w:r>
      <w:r>
        <w:t>e following</w:t>
      </w:r>
      <w:r w:rsidR="003957B2">
        <w:t xml:space="preserve"> </w:t>
      </w:r>
      <w:r w:rsidR="00E54E33">
        <w:t xml:space="preserve">information </w:t>
      </w:r>
      <w:r w:rsidR="003957B2">
        <w:t>in their applications for certification:</w:t>
      </w:r>
    </w:p>
    <w:p w14:paraId="2513D846" w14:textId="77777777" w:rsidR="004D2EE0" w:rsidRDefault="004D2EE0" w:rsidP="00A15947">
      <w:pPr>
        <w:pStyle w:val="ListParagraph"/>
        <w:numPr>
          <w:ilvl w:val="0"/>
          <w:numId w:val="8"/>
        </w:numPr>
        <w:spacing w:after="120"/>
      </w:pPr>
      <w:r>
        <w:t>A description of the forms of TRS to be provided;</w:t>
      </w:r>
      <w:r>
        <w:rPr>
          <w:rStyle w:val="FootnoteReference"/>
        </w:rPr>
        <w:footnoteReference w:id="11"/>
      </w:r>
    </w:p>
    <w:p w14:paraId="055CB01A" w14:textId="33C867F6" w:rsidR="00965281" w:rsidRPr="004D2EE0" w:rsidRDefault="00965281" w:rsidP="00A15947">
      <w:pPr>
        <w:pStyle w:val="ListParagraph"/>
        <w:numPr>
          <w:ilvl w:val="0"/>
          <w:numId w:val="8"/>
        </w:numPr>
        <w:spacing w:after="120"/>
      </w:pPr>
      <w:r>
        <w:t>A detailed description of how the provider will meet all non-waived mandatory minimum standards</w:t>
      </w:r>
      <w:r w:rsidR="000035AE">
        <w:t xml:space="preserve"> applicable to VRS</w:t>
      </w:r>
      <w:r>
        <w:t>;</w:t>
      </w:r>
      <w:r>
        <w:rPr>
          <w:rStyle w:val="FootnoteReference"/>
        </w:rPr>
        <w:footnoteReference w:id="12"/>
      </w:r>
    </w:p>
    <w:p w14:paraId="4FDC918A" w14:textId="40B74633" w:rsidR="003E1D9C" w:rsidRPr="002F3F64" w:rsidRDefault="00B04BAA" w:rsidP="00A15947">
      <w:pPr>
        <w:pStyle w:val="ListParagraph"/>
        <w:numPr>
          <w:ilvl w:val="0"/>
          <w:numId w:val="8"/>
        </w:numPr>
        <w:spacing w:after="120"/>
      </w:pPr>
      <w:r>
        <w:rPr>
          <w:szCs w:val="22"/>
        </w:rPr>
        <w:t>For</w:t>
      </w:r>
      <w:r w:rsidR="003E1D9C" w:rsidRPr="002F3F64">
        <w:rPr>
          <w:szCs w:val="22"/>
        </w:rPr>
        <w:t xml:space="preserve"> provider</w:t>
      </w:r>
      <w:r>
        <w:rPr>
          <w:szCs w:val="22"/>
        </w:rPr>
        <w:t>s</w:t>
      </w:r>
      <w:r w:rsidR="003E1D9C" w:rsidRPr="002F3F64">
        <w:rPr>
          <w:szCs w:val="22"/>
        </w:rPr>
        <w:t xml:space="preserve"> that maintain five or fewer domestic call centers</w:t>
      </w:r>
      <w:r>
        <w:rPr>
          <w:szCs w:val="22"/>
        </w:rPr>
        <w:t>,</w:t>
      </w:r>
      <w:r w:rsidR="003E1D9C" w:rsidRPr="002F3F64">
        <w:rPr>
          <w:szCs w:val="22"/>
        </w:rPr>
        <w:t xml:space="preserve"> </w:t>
      </w:r>
      <w:r>
        <w:rPr>
          <w:szCs w:val="22"/>
        </w:rPr>
        <w:t>copies of</w:t>
      </w:r>
      <w:r w:rsidR="003E1D9C" w:rsidRPr="002F3F64">
        <w:rPr>
          <w:szCs w:val="22"/>
        </w:rPr>
        <w:t xml:space="preserve"> the deeds or leases for all of those call centers</w:t>
      </w:r>
      <w:r>
        <w:rPr>
          <w:szCs w:val="22"/>
        </w:rPr>
        <w:t>, and for p</w:t>
      </w:r>
      <w:r w:rsidR="003E1D9C" w:rsidRPr="002F3F64">
        <w:rPr>
          <w:szCs w:val="22"/>
        </w:rPr>
        <w:t>roviders with more than five domestic call centers</w:t>
      </w:r>
      <w:r>
        <w:rPr>
          <w:szCs w:val="22"/>
        </w:rPr>
        <w:t>,</w:t>
      </w:r>
      <w:r w:rsidR="003E1D9C" w:rsidRPr="002F3F64">
        <w:rPr>
          <w:szCs w:val="22"/>
        </w:rPr>
        <w:t xml:space="preserve"> a representative sampling of the deeds or leases for five of their centers, together with a list of all other call centers that they operate</w:t>
      </w:r>
      <w:r>
        <w:rPr>
          <w:szCs w:val="22"/>
        </w:rPr>
        <w:t>;</w:t>
      </w:r>
      <w:r w:rsidR="00F64B67" w:rsidRPr="002F3F64">
        <w:rPr>
          <w:rStyle w:val="FootnoteReference"/>
          <w:szCs w:val="22"/>
        </w:rPr>
        <w:footnoteReference w:id="13"/>
      </w:r>
    </w:p>
    <w:p w14:paraId="5BC82888" w14:textId="3DAF3647" w:rsidR="003E1D9C" w:rsidRPr="005D753C" w:rsidRDefault="00B04BAA" w:rsidP="00A15947">
      <w:pPr>
        <w:pStyle w:val="ListParagraph"/>
        <w:numPr>
          <w:ilvl w:val="0"/>
          <w:numId w:val="8"/>
        </w:numPr>
        <w:spacing w:after="120"/>
      </w:pPr>
      <w:r>
        <w:rPr>
          <w:szCs w:val="22"/>
        </w:rPr>
        <w:t>C</w:t>
      </w:r>
      <w:r w:rsidR="003E1D9C" w:rsidRPr="002F3F64">
        <w:rPr>
          <w:szCs w:val="22"/>
        </w:rPr>
        <w:t>opies of deeds or leases for all call centers</w:t>
      </w:r>
      <w:r>
        <w:rPr>
          <w:szCs w:val="22"/>
        </w:rPr>
        <w:t xml:space="preserve"> </w:t>
      </w:r>
      <w:r w:rsidR="00F05356">
        <w:rPr>
          <w:szCs w:val="22"/>
        </w:rPr>
        <w:t xml:space="preserve">operated </w:t>
      </w:r>
      <w:r>
        <w:rPr>
          <w:szCs w:val="22"/>
        </w:rPr>
        <w:t>outside of the United States</w:t>
      </w:r>
      <w:r w:rsidR="00740031">
        <w:rPr>
          <w:szCs w:val="22"/>
        </w:rPr>
        <w:t xml:space="preserve"> (</w:t>
      </w:r>
      <w:r w:rsidR="003E1D9C" w:rsidRPr="002F3F64">
        <w:rPr>
          <w:szCs w:val="22"/>
        </w:rPr>
        <w:t>regardless of the number of such centers</w:t>
      </w:r>
      <w:r w:rsidR="00740031">
        <w:rPr>
          <w:szCs w:val="22"/>
        </w:rPr>
        <w:t>)</w:t>
      </w:r>
      <w:r>
        <w:rPr>
          <w:szCs w:val="22"/>
        </w:rPr>
        <w:t>;</w:t>
      </w:r>
      <w:r w:rsidR="00F64B67" w:rsidRPr="002F3F64">
        <w:rPr>
          <w:rStyle w:val="FootnoteReference"/>
          <w:szCs w:val="22"/>
        </w:rPr>
        <w:footnoteReference w:id="14"/>
      </w:r>
      <w:r w:rsidR="003E1D9C" w:rsidRPr="002F3F64">
        <w:rPr>
          <w:szCs w:val="22"/>
        </w:rPr>
        <w:t xml:space="preserve">  </w:t>
      </w:r>
    </w:p>
    <w:p w14:paraId="28C7DB99" w14:textId="4D10C7E5" w:rsidR="005D753C" w:rsidRPr="00214B2A" w:rsidRDefault="005D753C" w:rsidP="00A15947">
      <w:pPr>
        <w:pStyle w:val="ListParagraph"/>
        <w:numPr>
          <w:ilvl w:val="0"/>
          <w:numId w:val="8"/>
        </w:numPr>
        <w:spacing w:after="120"/>
      </w:pPr>
      <w:r w:rsidRPr="005D753C">
        <w:rPr>
          <w:color w:val="000000"/>
          <w:szCs w:val="22"/>
        </w:rPr>
        <w:t xml:space="preserve">A description of the technology and equipment used to support their call center functions (other than CAs) – including, but not limited to, </w:t>
      </w:r>
      <w:r w:rsidR="005D1A02">
        <w:rPr>
          <w:color w:val="000000"/>
          <w:szCs w:val="22"/>
        </w:rPr>
        <w:t>automatic call distribution (</w:t>
      </w:r>
      <w:r w:rsidRPr="005D753C">
        <w:rPr>
          <w:color w:val="000000"/>
          <w:szCs w:val="22"/>
        </w:rPr>
        <w:t>ACD</w:t>
      </w:r>
      <w:r w:rsidR="005D1A02">
        <w:rPr>
          <w:color w:val="000000"/>
          <w:szCs w:val="22"/>
        </w:rPr>
        <w:t>)</w:t>
      </w:r>
      <w:r w:rsidRPr="005D753C">
        <w:rPr>
          <w:color w:val="000000"/>
          <w:szCs w:val="22"/>
        </w:rPr>
        <w:t>, routing, call setup</w:t>
      </w:r>
      <w:r w:rsidRPr="005D753C">
        <w:rPr>
          <w:szCs w:val="22"/>
        </w:rPr>
        <w:t xml:space="preserve">, mapping, call features, billing for compensation from the TRS Fund, and registration – and for each core call center function, </w:t>
      </w:r>
      <w:r w:rsidR="00450EE9">
        <w:rPr>
          <w:szCs w:val="22"/>
        </w:rPr>
        <w:t xml:space="preserve">a statement as to </w:t>
      </w:r>
      <w:r w:rsidRPr="005D753C">
        <w:rPr>
          <w:szCs w:val="22"/>
        </w:rPr>
        <w:t>whether it is owned or leased (and from whom if leased or licensed), and proofs of purchase, license agreements, or leases;</w:t>
      </w:r>
      <w:r w:rsidRPr="002F3F64">
        <w:rPr>
          <w:rStyle w:val="FootnoteReference"/>
          <w:szCs w:val="22"/>
        </w:rPr>
        <w:footnoteReference w:id="15"/>
      </w:r>
    </w:p>
    <w:p w14:paraId="16404F88" w14:textId="31AD6A87" w:rsidR="00214B2A" w:rsidRPr="002F3F64" w:rsidRDefault="00214B2A" w:rsidP="00A15947">
      <w:pPr>
        <w:pStyle w:val="ListParagraph"/>
        <w:numPr>
          <w:ilvl w:val="0"/>
          <w:numId w:val="8"/>
        </w:numPr>
        <w:spacing w:after="120"/>
      </w:pPr>
      <w:r>
        <w:t>A copy of each lease or license agreement for</w:t>
      </w:r>
      <w:r w:rsidRPr="002F3F64">
        <w:t xml:space="preserve"> </w:t>
      </w:r>
      <w:r w:rsidR="00450EE9">
        <w:t>ACD functions</w:t>
      </w:r>
      <w:r>
        <w:t>;</w:t>
      </w:r>
      <w:r w:rsidRPr="002F3F64">
        <w:rPr>
          <w:rStyle w:val="FootnoteReference"/>
        </w:rPr>
        <w:footnoteReference w:id="16"/>
      </w:r>
      <w:r w:rsidRPr="002F3F64">
        <w:t xml:space="preserve">  </w:t>
      </w:r>
    </w:p>
    <w:p w14:paraId="3C37CACE" w14:textId="44E3930B" w:rsidR="003E1D9C" w:rsidRPr="00A15947" w:rsidRDefault="00B04BAA" w:rsidP="00A15947">
      <w:pPr>
        <w:pStyle w:val="ListParagraph"/>
        <w:numPr>
          <w:ilvl w:val="0"/>
          <w:numId w:val="8"/>
        </w:numPr>
        <w:spacing w:after="120"/>
      </w:pPr>
      <w:r>
        <w:rPr>
          <w:szCs w:val="22"/>
        </w:rPr>
        <w:t>A</w:t>
      </w:r>
      <w:r w:rsidR="003E1D9C" w:rsidRPr="002F3F64">
        <w:rPr>
          <w:szCs w:val="22"/>
        </w:rPr>
        <w:t xml:space="preserve"> list of individuals or entities that hold at least a 10 percent equity interest in the provider, have the power to vote 10 percent or more of the securities of the provider, or exercise </w:t>
      </w:r>
      <w:r w:rsidR="003E1D9C" w:rsidRPr="002F3F64">
        <w:rPr>
          <w:i/>
          <w:szCs w:val="22"/>
        </w:rPr>
        <w:t>de jure</w:t>
      </w:r>
      <w:r w:rsidR="003E1D9C" w:rsidRPr="002F3F64">
        <w:rPr>
          <w:szCs w:val="22"/>
        </w:rPr>
        <w:t xml:space="preserve"> or </w:t>
      </w:r>
      <w:r w:rsidR="003E1D9C" w:rsidRPr="002F3F64">
        <w:rPr>
          <w:i/>
          <w:szCs w:val="22"/>
        </w:rPr>
        <w:t>de facto</w:t>
      </w:r>
      <w:r w:rsidR="003E1D9C" w:rsidRPr="002F3F64">
        <w:rPr>
          <w:szCs w:val="22"/>
        </w:rPr>
        <w:t xml:space="preserve"> control over the provider</w:t>
      </w:r>
      <w:r>
        <w:rPr>
          <w:szCs w:val="22"/>
        </w:rPr>
        <w:t>;</w:t>
      </w:r>
      <w:r w:rsidR="00F64B67" w:rsidRPr="002F3F64">
        <w:rPr>
          <w:rStyle w:val="FootnoteReference"/>
          <w:szCs w:val="22"/>
        </w:rPr>
        <w:footnoteReference w:id="17"/>
      </w:r>
    </w:p>
    <w:p w14:paraId="436C15BB" w14:textId="7AACAF44" w:rsidR="00B67AF2" w:rsidRPr="002F3F64" w:rsidRDefault="00B04BAA" w:rsidP="00A15947">
      <w:pPr>
        <w:pStyle w:val="ListParagraph"/>
        <w:numPr>
          <w:ilvl w:val="0"/>
          <w:numId w:val="8"/>
        </w:numPr>
        <w:spacing w:after="120"/>
      </w:pPr>
      <w:r>
        <w:rPr>
          <w:szCs w:val="22"/>
        </w:rPr>
        <w:t>A</w:t>
      </w:r>
      <w:r w:rsidR="003E1D9C" w:rsidRPr="002F3F64">
        <w:rPr>
          <w:szCs w:val="22"/>
        </w:rPr>
        <w:t xml:space="preserve"> description of </w:t>
      </w:r>
      <w:r>
        <w:rPr>
          <w:szCs w:val="22"/>
        </w:rPr>
        <w:t>the</w:t>
      </w:r>
      <w:r w:rsidR="00450EE9">
        <w:rPr>
          <w:szCs w:val="22"/>
        </w:rPr>
        <w:t xml:space="preserve"> provider’s</w:t>
      </w:r>
      <w:r w:rsidRPr="002F3F64">
        <w:rPr>
          <w:szCs w:val="22"/>
        </w:rPr>
        <w:t xml:space="preserve"> </w:t>
      </w:r>
      <w:r w:rsidR="003E1D9C" w:rsidRPr="002F3F64">
        <w:rPr>
          <w:szCs w:val="22"/>
        </w:rPr>
        <w:t xml:space="preserve">organizational structure, and the names of </w:t>
      </w:r>
      <w:r w:rsidR="00450EE9">
        <w:rPr>
          <w:szCs w:val="22"/>
        </w:rPr>
        <w:t>its</w:t>
      </w:r>
      <w:r w:rsidRPr="002F3F64">
        <w:rPr>
          <w:szCs w:val="22"/>
        </w:rPr>
        <w:t xml:space="preserve"> </w:t>
      </w:r>
      <w:r w:rsidR="003E1D9C" w:rsidRPr="002F3F64">
        <w:rPr>
          <w:szCs w:val="22"/>
        </w:rPr>
        <w:t xml:space="preserve">executives, officers, general partners (if structured as a partnership), and members of </w:t>
      </w:r>
      <w:r>
        <w:rPr>
          <w:szCs w:val="22"/>
        </w:rPr>
        <w:t>the</w:t>
      </w:r>
      <w:r w:rsidRPr="002F3F64">
        <w:rPr>
          <w:szCs w:val="22"/>
        </w:rPr>
        <w:t xml:space="preserve"> </w:t>
      </w:r>
      <w:r w:rsidR="003E1D9C" w:rsidRPr="002F3F64">
        <w:rPr>
          <w:szCs w:val="22"/>
        </w:rPr>
        <w:t>board of directors</w:t>
      </w:r>
      <w:r w:rsidR="00E71818">
        <w:rPr>
          <w:szCs w:val="22"/>
        </w:rPr>
        <w:t>;</w:t>
      </w:r>
      <w:r w:rsidR="00E71818" w:rsidRPr="002F3F64">
        <w:rPr>
          <w:rStyle w:val="FootnoteReference"/>
          <w:szCs w:val="22"/>
        </w:rPr>
        <w:footnoteReference w:id="18"/>
      </w:r>
    </w:p>
    <w:p w14:paraId="248A790F" w14:textId="4914BF3F" w:rsidR="003E1D9C" w:rsidRPr="002F3F64" w:rsidRDefault="00E71818" w:rsidP="00A15947">
      <w:pPr>
        <w:pStyle w:val="ListParagraph"/>
        <w:numPr>
          <w:ilvl w:val="0"/>
          <w:numId w:val="8"/>
        </w:numPr>
        <w:spacing w:after="120"/>
      </w:pPr>
      <w:r>
        <w:rPr>
          <w:szCs w:val="22"/>
        </w:rPr>
        <w:lastRenderedPageBreak/>
        <w:t>A</w:t>
      </w:r>
      <w:r w:rsidR="00740031">
        <w:rPr>
          <w:szCs w:val="22"/>
        </w:rPr>
        <w:t xml:space="preserve"> </w:t>
      </w:r>
      <w:r w:rsidR="003E1D9C" w:rsidRPr="002F3F64">
        <w:rPr>
          <w:szCs w:val="22"/>
        </w:rPr>
        <w:t xml:space="preserve">list of </w:t>
      </w:r>
      <w:r w:rsidR="00450EE9">
        <w:rPr>
          <w:szCs w:val="22"/>
        </w:rPr>
        <w:t xml:space="preserve">the </w:t>
      </w:r>
      <w:r w:rsidR="003E1D9C" w:rsidRPr="002F3F64">
        <w:rPr>
          <w:szCs w:val="22"/>
        </w:rPr>
        <w:t xml:space="preserve">number of full-time and part-time employees involved in TRS operations, divided by the following positions: </w:t>
      </w:r>
      <w:r w:rsidR="00450EE9">
        <w:rPr>
          <w:szCs w:val="22"/>
        </w:rPr>
        <w:t xml:space="preserve"> </w:t>
      </w:r>
      <w:r w:rsidR="003E1D9C" w:rsidRPr="002F3F64">
        <w:rPr>
          <w:szCs w:val="22"/>
        </w:rPr>
        <w:t>executives and officers</w:t>
      </w:r>
      <w:r>
        <w:rPr>
          <w:szCs w:val="22"/>
        </w:rPr>
        <w:t>,</w:t>
      </w:r>
      <w:r w:rsidR="003E1D9C" w:rsidRPr="002F3F64">
        <w:rPr>
          <w:szCs w:val="22"/>
        </w:rPr>
        <w:t xml:space="preserve"> video phone installers</w:t>
      </w:r>
      <w:r>
        <w:rPr>
          <w:szCs w:val="22"/>
        </w:rPr>
        <w:t>,</w:t>
      </w:r>
      <w:r w:rsidR="003E1D9C" w:rsidRPr="002F3F64">
        <w:rPr>
          <w:szCs w:val="22"/>
        </w:rPr>
        <w:t xml:space="preserve"> CAs</w:t>
      </w:r>
      <w:r>
        <w:rPr>
          <w:szCs w:val="22"/>
        </w:rPr>
        <w:t>,</w:t>
      </w:r>
      <w:r w:rsidR="003E1D9C" w:rsidRPr="002F3F64">
        <w:rPr>
          <w:szCs w:val="22"/>
        </w:rPr>
        <w:t xml:space="preserve"> and persons involved in marketing and sponsorship activities</w:t>
      </w:r>
      <w:r>
        <w:rPr>
          <w:szCs w:val="22"/>
        </w:rPr>
        <w:t>;</w:t>
      </w:r>
      <w:r w:rsidR="003E1D9C" w:rsidRPr="002F3F64">
        <w:rPr>
          <w:rStyle w:val="FootnoteReference"/>
          <w:szCs w:val="22"/>
        </w:rPr>
        <w:footnoteReference w:id="19"/>
      </w:r>
    </w:p>
    <w:p w14:paraId="6F52EAEB" w14:textId="22F37215" w:rsidR="00F64B67" w:rsidRPr="00E10374" w:rsidRDefault="00214B2A" w:rsidP="00A15947">
      <w:pPr>
        <w:pStyle w:val="ListParagraph"/>
        <w:numPr>
          <w:ilvl w:val="0"/>
          <w:numId w:val="8"/>
        </w:numPr>
        <w:spacing w:after="120"/>
      </w:pPr>
      <w:r>
        <w:rPr>
          <w:szCs w:val="22"/>
        </w:rPr>
        <w:t>A</w:t>
      </w:r>
      <w:r w:rsidR="00F64B67" w:rsidRPr="002F3F64">
        <w:rPr>
          <w:szCs w:val="22"/>
        </w:rPr>
        <w:t xml:space="preserve"> list of all sponsorship arrangements </w:t>
      </w:r>
      <w:r>
        <w:rPr>
          <w:szCs w:val="22"/>
        </w:rPr>
        <w:t>relating to Internet-based TRS</w:t>
      </w:r>
      <w:r w:rsidR="00F64B67" w:rsidRPr="002F3F64">
        <w:rPr>
          <w:szCs w:val="22"/>
        </w:rPr>
        <w:t>, including</w:t>
      </w:r>
      <w:r w:rsidR="007B6953">
        <w:rPr>
          <w:szCs w:val="22"/>
        </w:rPr>
        <w:t xml:space="preserve"> a description of any associated written agreements</w:t>
      </w:r>
      <w:r w:rsidR="00E10374">
        <w:rPr>
          <w:szCs w:val="22"/>
        </w:rPr>
        <w:t>;</w:t>
      </w:r>
      <w:r w:rsidR="00F64B67" w:rsidRPr="002F3F64">
        <w:rPr>
          <w:rStyle w:val="FootnoteReference"/>
          <w:szCs w:val="22"/>
        </w:rPr>
        <w:footnoteReference w:id="20"/>
      </w:r>
    </w:p>
    <w:p w14:paraId="1ED540B1" w14:textId="3A09DA3A" w:rsidR="00E10374" w:rsidRDefault="00E10374" w:rsidP="00A15947">
      <w:pPr>
        <w:pStyle w:val="ListParagraph"/>
        <w:numPr>
          <w:ilvl w:val="0"/>
          <w:numId w:val="8"/>
        </w:numPr>
        <w:spacing w:after="120"/>
      </w:pPr>
      <w:r>
        <w:t>A</w:t>
      </w:r>
      <w:r w:rsidRPr="00667BB6">
        <w:t xml:space="preserve"> description of complaint procedures;</w:t>
      </w:r>
      <w:r w:rsidRPr="00667BB6">
        <w:rPr>
          <w:vertAlign w:val="superscript"/>
        </w:rPr>
        <w:footnoteReference w:id="21"/>
      </w:r>
    </w:p>
    <w:p w14:paraId="1B6F8E99" w14:textId="3D85A3F8" w:rsidR="00E10374" w:rsidRDefault="00E10374" w:rsidP="00A15947">
      <w:pPr>
        <w:pStyle w:val="ListParagraph"/>
        <w:numPr>
          <w:ilvl w:val="0"/>
          <w:numId w:val="8"/>
        </w:numPr>
        <w:spacing w:after="120"/>
      </w:pPr>
      <w:r>
        <w:t xml:space="preserve">A </w:t>
      </w:r>
      <w:r w:rsidRPr="00667BB6">
        <w:t xml:space="preserve">statement </w:t>
      </w:r>
      <w:r>
        <w:t>that the provider will file</w:t>
      </w:r>
      <w:r w:rsidRPr="00667BB6">
        <w:t xml:space="preserve"> annual compliance reports </w:t>
      </w:r>
      <w:r>
        <w:t>demonstrating continued compliance with the rules;</w:t>
      </w:r>
      <w:r w:rsidRPr="00667BB6">
        <w:rPr>
          <w:vertAlign w:val="superscript"/>
        </w:rPr>
        <w:footnoteReference w:id="22"/>
      </w:r>
      <w:r>
        <w:t xml:space="preserve"> and</w:t>
      </w:r>
    </w:p>
    <w:p w14:paraId="1FD9EF94" w14:textId="706C5B3B" w:rsidR="00E10374" w:rsidRPr="002F3F64" w:rsidRDefault="00E10374" w:rsidP="00A15947">
      <w:pPr>
        <w:pStyle w:val="ListParagraph"/>
        <w:numPr>
          <w:ilvl w:val="0"/>
          <w:numId w:val="8"/>
        </w:numPr>
        <w:spacing w:after="120"/>
      </w:pPr>
      <w:r>
        <w:t>A certification</w:t>
      </w:r>
      <w:r w:rsidR="00E64F15">
        <w:t>, under penalty of perjury,</w:t>
      </w:r>
      <w:r>
        <w:t xml:space="preserve"> by the </w:t>
      </w:r>
      <w:r w:rsidR="001D6841">
        <w:t xml:space="preserve">provider’s </w:t>
      </w:r>
      <w:r>
        <w:t>chief executive officer (CEO) chief financial officer</w:t>
      </w:r>
      <w:r w:rsidR="001D6841">
        <w:t xml:space="preserve">, or other senior executive </w:t>
      </w:r>
      <w:r w:rsidR="00E64F15">
        <w:t xml:space="preserve">confirming </w:t>
      </w:r>
      <w:r>
        <w:t xml:space="preserve">the accuracy and completeness of the information </w:t>
      </w:r>
      <w:r w:rsidR="00E64F15">
        <w:t xml:space="preserve">contained </w:t>
      </w:r>
      <w:r>
        <w:t>in the application.</w:t>
      </w:r>
      <w:r>
        <w:rPr>
          <w:rStyle w:val="FootnoteReference"/>
        </w:rPr>
        <w:footnoteReference w:id="23"/>
      </w:r>
      <w:r>
        <w:t xml:space="preserve"> </w:t>
      </w:r>
    </w:p>
    <w:p w14:paraId="5B0B3B98" w14:textId="4AF02E58" w:rsidR="00667BB6" w:rsidRPr="002F3F64" w:rsidRDefault="00667BB6" w:rsidP="00667BB6">
      <w:pPr>
        <w:spacing w:after="120"/>
        <w:ind w:firstLine="720"/>
      </w:pPr>
      <w:r w:rsidRPr="002F3F64">
        <w:t>The Commission</w:t>
      </w:r>
      <w:r w:rsidR="00B67AF2" w:rsidRPr="002F3F64">
        <w:t xml:space="preserve"> </w:t>
      </w:r>
      <w:r w:rsidRPr="002F3F64">
        <w:t xml:space="preserve">also </w:t>
      </w:r>
      <w:r w:rsidR="00F64B67" w:rsidRPr="002F3F64">
        <w:t>may</w:t>
      </w:r>
      <w:r w:rsidR="00B67AF2" w:rsidRPr="002F3F64">
        <w:t xml:space="preserve"> </w:t>
      </w:r>
      <w:r w:rsidRPr="002F3F64">
        <w:t>grant conditional certification, in order to avoid interruption of service</w:t>
      </w:r>
      <w:r w:rsidR="00A650FA">
        <w:t>,</w:t>
      </w:r>
      <w:r w:rsidR="00B67AF2" w:rsidRPr="002F3F64">
        <w:t xml:space="preserve"> </w:t>
      </w:r>
      <w:r w:rsidRPr="002F3F64">
        <w:t xml:space="preserve">where the Commission </w:t>
      </w:r>
      <w:r w:rsidR="00B67AF2" w:rsidRPr="002F3F64">
        <w:t xml:space="preserve">requires additional time to complete </w:t>
      </w:r>
      <w:r w:rsidRPr="002F3F64">
        <w:t>its evaluation of an applicant’s qualifications</w:t>
      </w:r>
      <w:r w:rsidR="00B67AF2" w:rsidRPr="002F3F64">
        <w:t xml:space="preserve"> or </w:t>
      </w:r>
      <w:r w:rsidR="00A650FA">
        <w:t xml:space="preserve">needs such time </w:t>
      </w:r>
      <w:r w:rsidR="00B67AF2" w:rsidRPr="002F3F64">
        <w:t>to verify information contained in the application, for example, through an on-site visit</w:t>
      </w:r>
      <w:r w:rsidRPr="002F3F64">
        <w:t>.</w:t>
      </w:r>
      <w:r w:rsidRPr="002F3F64">
        <w:rPr>
          <w:vertAlign w:val="superscript"/>
        </w:rPr>
        <w:footnoteReference w:id="24"/>
      </w:r>
      <w:r w:rsidRPr="002F3F64">
        <w:t xml:space="preserve">  </w:t>
      </w:r>
      <w:r w:rsidR="00BC1A54" w:rsidRPr="002F3F64">
        <w:t xml:space="preserve">After certification, Internet-based TRS providers must file annual reports updating the information in their application </w:t>
      </w:r>
      <w:r w:rsidR="00F64B67" w:rsidRPr="002F3F64">
        <w:t xml:space="preserve">to </w:t>
      </w:r>
      <w:r w:rsidR="00BC1A54" w:rsidRPr="002F3F64">
        <w:t>demonstrat</w:t>
      </w:r>
      <w:r w:rsidR="00F64B67" w:rsidRPr="002F3F64">
        <w:t>e</w:t>
      </w:r>
      <w:r w:rsidR="00BC1A54" w:rsidRPr="002F3F64">
        <w:t xml:space="preserve"> continuing compliance with the </w:t>
      </w:r>
      <w:r w:rsidR="00F64B67" w:rsidRPr="002F3F64">
        <w:t xml:space="preserve">Commission’s </w:t>
      </w:r>
      <w:r w:rsidR="00BC1A54" w:rsidRPr="002F3F64">
        <w:t>mandatory minimum TRS standards.</w:t>
      </w:r>
      <w:r w:rsidR="00BC1A54" w:rsidRPr="002F3F64">
        <w:rPr>
          <w:rStyle w:val="FootnoteReference"/>
        </w:rPr>
        <w:footnoteReference w:id="25"/>
      </w:r>
      <w:r w:rsidR="00F64B67" w:rsidRPr="002F3F64">
        <w:t xml:space="preserve">  Each provider </w:t>
      </w:r>
      <w:r w:rsidR="00A650FA">
        <w:t xml:space="preserve">also </w:t>
      </w:r>
      <w:r w:rsidR="00F64B67" w:rsidRPr="002F3F64">
        <w:t xml:space="preserve">must include within its annual report a compliance plan describing the provider’s policies and procedures for complying with Commission rules prohibiting VRS providers from </w:t>
      </w:r>
      <w:r w:rsidR="002F3F64" w:rsidRPr="002F3F64">
        <w:t>engaging in the unauthorized and unnecessary use of VRS.</w:t>
      </w:r>
      <w:r w:rsidR="002F3F64" w:rsidRPr="002F3F64">
        <w:rPr>
          <w:rStyle w:val="FootnoteReference"/>
        </w:rPr>
        <w:footnoteReference w:id="26"/>
      </w:r>
    </w:p>
    <w:p w14:paraId="58FA2ABB" w14:textId="7B2ECA38" w:rsidR="00667BB6" w:rsidRPr="00667BB6" w:rsidRDefault="00A650FA" w:rsidP="00667BB6">
      <w:pPr>
        <w:spacing w:after="120"/>
        <w:ind w:firstLine="720"/>
      </w:pPr>
      <w:r w:rsidRPr="00A650FA">
        <w:rPr>
          <w:u w:val="single"/>
        </w:rPr>
        <w:t>Convo</w:t>
      </w:r>
      <w:r>
        <w:rPr>
          <w:u w:val="single"/>
        </w:rPr>
        <w:t>’s Eligibility for VRS Certification</w:t>
      </w:r>
      <w:r w:rsidRPr="00D648AE">
        <w:t>.</w:t>
      </w:r>
      <w:r w:rsidRPr="00A650FA">
        <w:t xml:space="preserve">  </w:t>
      </w:r>
      <w:r w:rsidR="00667BB6" w:rsidRPr="002F3F64">
        <w:t>On November 4, 2011, Convo filed an application for certification as a VRS provider</w:t>
      </w:r>
      <w:r w:rsidR="00F91A81" w:rsidRPr="002F3F64">
        <w:t>.</w:t>
      </w:r>
      <w:r w:rsidR="00667BB6" w:rsidRPr="002F3F64">
        <w:rPr>
          <w:vertAlign w:val="superscript"/>
        </w:rPr>
        <w:footnoteReference w:id="27"/>
      </w:r>
      <w:r w:rsidR="00667BB6" w:rsidRPr="002F3F64">
        <w:t xml:space="preserve"> </w:t>
      </w:r>
      <w:r w:rsidR="00F91A81" w:rsidRPr="002F3F64">
        <w:t xml:space="preserve"> On November 15, 2011, the Commission</w:t>
      </w:r>
      <w:r w:rsidR="00667BB6" w:rsidRPr="002F3F64">
        <w:t xml:space="preserve"> granted a conditional certification to</w:t>
      </w:r>
      <w:r w:rsidR="00F91A81" w:rsidRPr="002F3F64">
        <w:t xml:space="preserve"> Convo</w:t>
      </w:r>
      <w:r w:rsidR="00FB7851" w:rsidRPr="002F3F64">
        <w:t xml:space="preserve"> to</w:t>
      </w:r>
      <w:r w:rsidR="00667BB6" w:rsidRPr="002F3F64">
        <w:t xml:space="preserve"> receive compensation fro</w:t>
      </w:r>
      <w:r w:rsidR="00667BB6" w:rsidRPr="00667BB6">
        <w:t>m the TRS Fund</w:t>
      </w:r>
      <w:r w:rsidR="00FB7851">
        <w:t xml:space="preserve"> for the provision of VRS</w:t>
      </w:r>
      <w:r w:rsidR="00667BB6" w:rsidRPr="00667BB6">
        <w:t>.</w:t>
      </w:r>
      <w:r w:rsidR="00667BB6" w:rsidRPr="00667BB6">
        <w:rPr>
          <w:vertAlign w:val="superscript"/>
        </w:rPr>
        <w:footnoteReference w:id="28"/>
      </w:r>
      <w:r w:rsidR="00D157F9">
        <w:t xml:space="preserve">  </w:t>
      </w:r>
      <w:r w:rsidR="007A58B8" w:rsidRPr="007A58B8">
        <w:t xml:space="preserve">Pursuant to the </w:t>
      </w:r>
      <w:r w:rsidR="007A58B8" w:rsidRPr="007A58B8">
        <w:rPr>
          <w:i/>
        </w:rPr>
        <w:t>Conditional Grant</w:t>
      </w:r>
      <w:r w:rsidR="007A58B8" w:rsidRPr="007A58B8">
        <w:t xml:space="preserve">, Convo’s application for full certification </w:t>
      </w:r>
      <w:r w:rsidR="007A58B8">
        <w:t>has remained</w:t>
      </w:r>
      <w:r w:rsidR="007A58B8" w:rsidRPr="007A58B8">
        <w:t xml:space="preserve"> pending until acted upon by the Commission.</w:t>
      </w:r>
      <w:r w:rsidR="007A58B8">
        <w:rPr>
          <w:rStyle w:val="FootnoteReference"/>
        </w:rPr>
        <w:footnoteReference w:id="29"/>
      </w:r>
      <w:r w:rsidR="007A58B8" w:rsidRPr="007A58B8">
        <w:t xml:space="preserve">  </w:t>
      </w:r>
      <w:r w:rsidR="00D157F9">
        <w:t>S</w:t>
      </w:r>
      <w:r w:rsidR="00E64F15">
        <w:t xml:space="preserve">ince 2012, and each year thereafter, </w:t>
      </w:r>
      <w:r w:rsidR="00D157F9">
        <w:t xml:space="preserve">Convo </w:t>
      </w:r>
      <w:r w:rsidR="00E64F15">
        <w:t xml:space="preserve">has </w:t>
      </w:r>
      <w:r w:rsidR="00D157F9">
        <w:t xml:space="preserve">filed annual reports updating the information </w:t>
      </w:r>
      <w:r w:rsidR="00E64F15">
        <w:t xml:space="preserve">contained </w:t>
      </w:r>
      <w:r w:rsidR="00D157F9">
        <w:t xml:space="preserve">in its </w:t>
      </w:r>
      <w:r w:rsidR="00713E9A">
        <w:t xml:space="preserve">pending </w:t>
      </w:r>
      <w:r w:rsidR="00D157F9">
        <w:t>application</w:t>
      </w:r>
      <w:r w:rsidR="00713E9A">
        <w:t xml:space="preserve"> for full certification</w:t>
      </w:r>
      <w:r w:rsidR="00D157F9">
        <w:t>.</w:t>
      </w:r>
      <w:r w:rsidR="00DE735E">
        <w:rPr>
          <w:rStyle w:val="FootnoteReference"/>
        </w:rPr>
        <w:footnoteReference w:id="30"/>
      </w:r>
      <w:r w:rsidR="00667BB6" w:rsidRPr="00667BB6">
        <w:t xml:space="preserve">  </w:t>
      </w:r>
      <w:r>
        <w:t xml:space="preserve">Each such annual report </w:t>
      </w:r>
      <w:r w:rsidR="00E64F15">
        <w:t xml:space="preserve">has </w:t>
      </w:r>
      <w:r>
        <w:t xml:space="preserve">contained the required documentation noted above. </w:t>
      </w:r>
    </w:p>
    <w:p w14:paraId="10463316" w14:textId="5A001EB2" w:rsidR="00667BB6" w:rsidRPr="00667BB6" w:rsidRDefault="00D157F9" w:rsidP="00667BB6">
      <w:pPr>
        <w:spacing w:after="120"/>
        <w:ind w:firstLine="720"/>
      </w:pPr>
      <w:r>
        <w:t xml:space="preserve">The Bureau </w:t>
      </w:r>
      <w:r w:rsidR="0034044B">
        <w:t xml:space="preserve">confirms that Convo has included all information required by the above rules in its </w:t>
      </w:r>
      <w:r w:rsidR="00667BB6" w:rsidRPr="00667BB6">
        <w:t>Certification Application</w:t>
      </w:r>
      <w:r w:rsidR="0034044B">
        <w:t xml:space="preserve"> and</w:t>
      </w:r>
      <w:r w:rsidR="00667BB6" w:rsidRPr="00667BB6">
        <w:t xml:space="preserve"> annual</w:t>
      </w:r>
      <w:r w:rsidR="00A6252B">
        <w:t xml:space="preserve"> </w:t>
      </w:r>
      <w:r w:rsidR="00DE735E">
        <w:t>reports</w:t>
      </w:r>
      <w:r w:rsidR="006947F3">
        <w:t xml:space="preserve">.  </w:t>
      </w:r>
      <w:r w:rsidR="0034044B">
        <w:t xml:space="preserve">Specifically, Convo has provided </w:t>
      </w:r>
      <w:r w:rsidR="006947F3">
        <w:t>the following</w:t>
      </w:r>
      <w:r w:rsidR="00A6252B">
        <w:t xml:space="preserve">: </w:t>
      </w:r>
      <w:r w:rsidR="00667BB6" w:rsidRPr="00667BB6">
        <w:t xml:space="preserve"> (1)</w:t>
      </w:r>
      <w:r w:rsidR="00DF3C78">
        <w:t xml:space="preserve"> a statement that VRS is to be provided;</w:t>
      </w:r>
      <w:r w:rsidR="00DF3C78">
        <w:rPr>
          <w:rStyle w:val="FootnoteReference"/>
        </w:rPr>
        <w:footnoteReference w:id="31"/>
      </w:r>
      <w:r w:rsidR="00DF3C78">
        <w:t xml:space="preserve"> (2)</w:t>
      </w:r>
      <w:r w:rsidR="000035AE">
        <w:t xml:space="preserve"> </w:t>
      </w:r>
      <w:r w:rsidR="000B0C03">
        <w:t xml:space="preserve">a </w:t>
      </w:r>
      <w:r w:rsidR="00667BB6" w:rsidRPr="00667BB6">
        <w:t xml:space="preserve">detailed </w:t>
      </w:r>
      <w:r w:rsidR="0083514A">
        <w:t>description of</w:t>
      </w:r>
      <w:r w:rsidR="00667BB6" w:rsidRPr="00667BB6">
        <w:t xml:space="preserve"> how Convo currently </w:t>
      </w:r>
      <w:r w:rsidR="0034044B">
        <w:t xml:space="preserve">meets </w:t>
      </w:r>
      <w:r w:rsidR="00667BB6" w:rsidRPr="00667BB6">
        <w:t xml:space="preserve">and will continue to meet all non-waived </w:t>
      </w:r>
      <w:r w:rsidR="00E64F15">
        <w:t xml:space="preserve">mandatory </w:t>
      </w:r>
      <w:r w:rsidR="00667BB6" w:rsidRPr="00667BB6">
        <w:t>minimum standards applicable to VRS;</w:t>
      </w:r>
      <w:r w:rsidR="00667BB6" w:rsidRPr="00667BB6">
        <w:rPr>
          <w:vertAlign w:val="superscript"/>
        </w:rPr>
        <w:footnoteReference w:id="32"/>
      </w:r>
      <w:r w:rsidR="00667BB6" w:rsidRPr="00667BB6">
        <w:t xml:space="preserve"> (</w:t>
      </w:r>
      <w:r w:rsidR="000B0C03">
        <w:t>3</w:t>
      </w:r>
      <w:r w:rsidR="00667BB6" w:rsidRPr="00667BB6">
        <w:t xml:space="preserve">) copies of all required </w:t>
      </w:r>
      <w:r w:rsidR="00DF5F62">
        <w:t>documentary and other evidence</w:t>
      </w:r>
      <w:r w:rsidR="00667BB6" w:rsidRPr="00667BB6">
        <w:t>, including</w:t>
      </w:r>
      <w:r w:rsidR="00DF5F62">
        <w:t xml:space="preserve"> copies of</w:t>
      </w:r>
      <w:r w:rsidR="00667BB6" w:rsidRPr="00667BB6">
        <w:t xml:space="preserve"> leases </w:t>
      </w:r>
      <w:r w:rsidR="00DF5F62">
        <w:t>for</w:t>
      </w:r>
      <w:r w:rsidR="00DF5F62" w:rsidRPr="00667BB6">
        <w:t xml:space="preserve"> </w:t>
      </w:r>
      <w:r w:rsidR="00667BB6" w:rsidRPr="00667BB6">
        <w:t xml:space="preserve">a representative sampling of call centers in the United States and all call centers outside the United States, </w:t>
      </w:r>
      <w:r w:rsidR="00DF5F62">
        <w:t>together with a</w:t>
      </w:r>
      <w:r w:rsidR="00DF5F62" w:rsidRPr="00667BB6">
        <w:t xml:space="preserve"> </w:t>
      </w:r>
      <w:r w:rsidR="00667BB6" w:rsidRPr="00667BB6">
        <w:t>list of all call centers</w:t>
      </w:r>
      <w:r w:rsidR="0034044B">
        <w:t xml:space="preserve"> and</w:t>
      </w:r>
      <w:r w:rsidR="00667BB6" w:rsidRPr="00667BB6">
        <w:t xml:space="preserve"> a description of</w:t>
      </w:r>
      <w:r w:rsidR="00DF5F62">
        <w:t xml:space="preserve"> the</w:t>
      </w:r>
      <w:r w:rsidR="00667BB6" w:rsidRPr="00667BB6">
        <w:t xml:space="preserve"> technology and equipment</w:t>
      </w:r>
      <w:r w:rsidR="00DF5F62">
        <w:t xml:space="preserve"> used to support call center functions</w:t>
      </w:r>
      <w:r w:rsidR="00667BB6" w:rsidRPr="00667BB6">
        <w:t xml:space="preserve">, </w:t>
      </w:r>
      <w:r w:rsidR="00497CDD">
        <w:t>including</w:t>
      </w:r>
      <w:r w:rsidR="00497CDD" w:rsidRPr="00667BB6">
        <w:t xml:space="preserve"> </w:t>
      </w:r>
      <w:r w:rsidR="00667BB6" w:rsidRPr="00667BB6">
        <w:t>proof of purchases</w:t>
      </w:r>
      <w:r w:rsidR="00DF5F62">
        <w:t>, leases, or license agreements</w:t>
      </w:r>
      <w:r w:rsidR="00667BB6" w:rsidRPr="00667BB6">
        <w:t>;</w:t>
      </w:r>
      <w:r w:rsidR="00667BB6" w:rsidRPr="00667BB6">
        <w:rPr>
          <w:vertAlign w:val="superscript"/>
        </w:rPr>
        <w:footnoteReference w:id="33"/>
      </w:r>
      <w:r w:rsidR="000B0C03">
        <w:t xml:space="preserve"> (4) a description of the technology and equipment used to support call center functions</w:t>
      </w:r>
      <w:r w:rsidR="00816E03">
        <w:t>, including pro</w:t>
      </w:r>
      <w:r w:rsidR="005D1A02">
        <w:t>o</w:t>
      </w:r>
      <w:r w:rsidR="00816E03">
        <w:t>fs of purchase, license agreements, or leases;</w:t>
      </w:r>
      <w:r w:rsidR="00816E03">
        <w:rPr>
          <w:rStyle w:val="FootnoteReference"/>
        </w:rPr>
        <w:footnoteReference w:id="34"/>
      </w:r>
      <w:r w:rsidR="005D1A02">
        <w:t xml:space="preserve"> (5) a complete copy of the license agreement for its ACD platform;</w:t>
      </w:r>
      <w:r w:rsidR="00621BB1">
        <w:rPr>
          <w:rStyle w:val="FootnoteReference"/>
        </w:rPr>
        <w:footnoteReference w:id="35"/>
      </w:r>
      <w:r w:rsidR="00667BB6" w:rsidRPr="00667BB6">
        <w:t xml:space="preserve"> (3) a description of Convo’s organizational structure, including</w:t>
      </w:r>
      <w:r w:rsidR="00FA5A5C">
        <w:t xml:space="preserve"> the names of its 10 percent or more equity interest holders, the names of persons with the power to vote 10 percent or more the securities of Convo, and</w:t>
      </w:r>
      <w:r w:rsidR="00667BB6" w:rsidRPr="00667BB6">
        <w:t xml:space="preserve"> the names of its executives, officers and members of its board;</w:t>
      </w:r>
      <w:r w:rsidR="00667BB6" w:rsidRPr="00667BB6">
        <w:rPr>
          <w:vertAlign w:val="superscript"/>
        </w:rPr>
        <w:footnoteReference w:id="36"/>
      </w:r>
      <w:r w:rsidR="00667BB6" w:rsidRPr="00667BB6">
        <w:t xml:space="preserve"> (4) a confidential list of the number of its full-time and part-time employees involved in </w:t>
      </w:r>
      <w:r w:rsidR="0034044B">
        <w:t>Convo’s</w:t>
      </w:r>
      <w:r w:rsidR="00667BB6" w:rsidRPr="00667BB6">
        <w:t xml:space="preserve"> VRS operations by position;</w:t>
      </w:r>
      <w:r w:rsidR="00667BB6" w:rsidRPr="00667BB6">
        <w:rPr>
          <w:vertAlign w:val="superscript"/>
        </w:rPr>
        <w:footnoteReference w:id="37"/>
      </w:r>
      <w:r w:rsidR="00667BB6" w:rsidRPr="00667BB6">
        <w:t xml:space="preserve"> (5) a confidential list of all sponsorship arrangements relating to </w:t>
      </w:r>
      <w:r w:rsidR="00E64F15">
        <w:t xml:space="preserve">the provision of </w:t>
      </w:r>
      <w:r w:rsidR="00667BB6" w:rsidRPr="00667BB6">
        <w:t>Internet-based TRS;</w:t>
      </w:r>
      <w:r w:rsidR="00667BB6" w:rsidRPr="00667BB6">
        <w:rPr>
          <w:vertAlign w:val="superscript"/>
        </w:rPr>
        <w:footnoteReference w:id="38"/>
      </w:r>
      <w:r w:rsidR="00667BB6" w:rsidRPr="00667BB6">
        <w:t xml:space="preserve"> (6) a confidential description of Convo’s complaint procedures;</w:t>
      </w:r>
      <w:r w:rsidR="00667BB6" w:rsidRPr="00667BB6">
        <w:rPr>
          <w:vertAlign w:val="superscript"/>
        </w:rPr>
        <w:footnoteReference w:id="39"/>
      </w:r>
      <w:r w:rsidR="00667BB6" w:rsidRPr="00667BB6">
        <w:t xml:space="preserve"> (</w:t>
      </w:r>
      <w:r w:rsidR="0090332D">
        <w:t>7</w:t>
      </w:r>
      <w:r w:rsidR="00667BB6" w:rsidRPr="00667BB6">
        <w:t xml:space="preserve">) a statement </w:t>
      </w:r>
      <w:r w:rsidR="0083514A">
        <w:t>that Convo will file</w:t>
      </w:r>
      <w:r w:rsidR="0083514A" w:rsidRPr="00667BB6">
        <w:t xml:space="preserve"> </w:t>
      </w:r>
      <w:r w:rsidR="00667BB6" w:rsidRPr="00667BB6">
        <w:t xml:space="preserve">annual compliance reports </w:t>
      </w:r>
      <w:r w:rsidR="0083514A">
        <w:t>demonstrating continued compliance with the rules</w:t>
      </w:r>
      <w:r w:rsidR="00764A7E">
        <w:t>;</w:t>
      </w:r>
      <w:r w:rsidR="00667BB6" w:rsidRPr="00667BB6">
        <w:rPr>
          <w:vertAlign w:val="superscript"/>
        </w:rPr>
        <w:footnoteReference w:id="40"/>
      </w:r>
      <w:r w:rsidR="00764A7E">
        <w:t xml:space="preserve"> and (8) a certification by </w:t>
      </w:r>
      <w:r w:rsidR="0034044B">
        <w:t>Convo’s</w:t>
      </w:r>
      <w:r w:rsidR="00764A7E">
        <w:t xml:space="preserve"> </w:t>
      </w:r>
      <w:r w:rsidR="00764A7E" w:rsidRPr="0034044B">
        <w:t>CEO</w:t>
      </w:r>
      <w:r w:rsidR="00764A7E" w:rsidRPr="002D74EE">
        <w:t xml:space="preserve"> </w:t>
      </w:r>
      <w:r w:rsidR="00E64F15">
        <w:t>confirming</w:t>
      </w:r>
      <w:r w:rsidR="00764A7E">
        <w:t xml:space="preserve"> the accuracy and completeness of the information </w:t>
      </w:r>
      <w:r w:rsidR="0034044B">
        <w:t xml:space="preserve">contained </w:t>
      </w:r>
      <w:r w:rsidR="00764A7E">
        <w:t>in the application.</w:t>
      </w:r>
      <w:r w:rsidR="00764A7E">
        <w:rPr>
          <w:rStyle w:val="FootnoteReference"/>
        </w:rPr>
        <w:footnoteReference w:id="41"/>
      </w:r>
    </w:p>
    <w:p w14:paraId="70227CBA" w14:textId="622F4E31" w:rsidR="00A650FA" w:rsidRDefault="00667BB6" w:rsidP="00667BB6">
      <w:pPr>
        <w:spacing w:after="120"/>
        <w:ind w:firstLine="720"/>
      </w:pPr>
      <w:r w:rsidRPr="00667BB6">
        <w:t xml:space="preserve">Based on our review </w:t>
      </w:r>
      <w:r w:rsidR="00DB549E">
        <w:t xml:space="preserve">and investigation </w:t>
      </w:r>
      <w:r w:rsidRPr="00667BB6">
        <w:t>of the updated Certification Application</w:t>
      </w:r>
      <w:r w:rsidR="00E64F15">
        <w:t>,</w:t>
      </w:r>
      <w:r w:rsidRPr="00667BB6">
        <w:t xml:space="preserve"> annual reports, </w:t>
      </w:r>
      <w:r w:rsidR="00E64F15">
        <w:t xml:space="preserve">and a site visit conducted during the period of Convo’s conditional certification, </w:t>
      </w:r>
      <w:r w:rsidRPr="00667BB6">
        <w:t xml:space="preserve">we find that Convo </w:t>
      </w:r>
      <w:r w:rsidR="00D742D0">
        <w:t xml:space="preserve">will provide </w:t>
      </w:r>
      <w:r w:rsidRPr="00667BB6">
        <w:t xml:space="preserve">VRS in compliance with the </w:t>
      </w:r>
      <w:r w:rsidR="00D742D0">
        <w:t xml:space="preserve">applicable mandatory minimum TRS standards </w:t>
      </w:r>
      <w:r w:rsidRPr="00667BB6">
        <w:t xml:space="preserve">and </w:t>
      </w:r>
      <w:r w:rsidR="00D742D0">
        <w:t xml:space="preserve">that it makes available adequate procedures and remedies for compliance with such minimum standards and the requirements of section 64.606.  </w:t>
      </w:r>
      <w:r w:rsidR="00A650FA">
        <w:t xml:space="preserve">In addition, we find that Convo has provided all documentation specified in the </w:t>
      </w:r>
      <w:r w:rsidR="00A650FA" w:rsidRPr="006E1A95">
        <w:rPr>
          <w:i/>
        </w:rPr>
        <w:t>Internet-based TRS Certification Order</w:t>
      </w:r>
      <w:r w:rsidR="00A650FA">
        <w:rPr>
          <w:i/>
        </w:rPr>
        <w:t xml:space="preserve"> </w:t>
      </w:r>
      <w:r w:rsidR="00A650FA" w:rsidRPr="00A650FA">
        <w:t xml:space="preserve">and outlined in the Commission’s rules </w:t>
      </w:r>
      <w:r w:rsidR="00E64F15">
        <w:t xml:space="preserve">for </w:t>
      </w:r>
      <w:r w:rsidR="00A650FA" w:rsidRPr="00A650FA">
        <w:t xml:space="preserve">VRS </w:t>
      </w:r>
      <w:r w:rsidR="00E64F15">
        <w:t>applicants</w:t>
      </w:r>
      <w:r w:rsidR="00A650FA" w:rsidRPr="00A650FA">
        <w:t>.</w:t>
      </w:r>
      <w:r w:rsidR="00A650FA">
        <w:rPr>
          <w:i/>
        </w:rPr>
        <w:t xml:space="preserve">  </w:t>
      </w:r>
      <w:r w:rsidR="00D742D0">
        <w:t xml:space="preserve">Therefore, we </w:t>
      </w:r>
      <w:r w:rsidRPr="00667BB6">
        <w:t>certify Convo as eligible to receive compensation from the Fund for the provision of VRS.  This certification</w:t>
      </w:r>
      <w:r w:rsidR="00881DA8">
        <w:t xml:space="preserve"> </w:t>
      </w:r>
      <w:r w:rsidRPr="00667BB6">
        <w:t>shall remain in effect for a period of five years.</w:t>
      </w:r>
      <w:r w:rsidRPr="00667BB6">
        <w:rPr>
          <w:vertAlign w:val="superscript"/>
        </w:rPr>
        <w:footnoteReference w:id="42"/>
      </w:r>
      <w:r w:rsidRPr="00667BB6">
        <w:t xml:space="preserve">  </w:t>
      </w:r>
    </w:p>
    <w:p w14:paraId="7617CC13" w14:textId="4DC77388" w:rsidR="00667BB6" w:rsidRPr="00667BB6" w:rsidRDefault="00667BB6" w:rsidP="00667BB6">
      <w:pPr>
        <w:spacing w:after="120"/>
        <w:ind w:firstLine="720"/>
      </w:pPr>
      <w:r w:rsidRPr="00667BB6">
        <w:t xml:space="preserve">We emphasize that Convo must continue to operate in compliance with all relevant Commission rules and orders.  </w:t>
      </w:r>
      <w:r w:rsidR="00324589">
        <w:t xml:space="preserve">As with </w:t>
      </w:r>
      <w:r w:rsidR="00DB549E">
        <w:t>other</w:t>
      </w:r>
      <w:r w:rsidR="00324589">
        <w:t xml:space="preserve"> grants of TRS certification, the Commission</w:t>
      </w:r>
      <w:r w:rsidR="00324589" w:rsidRPr="00667BB6">
        <w:t xml:space="preserve"> </w:t>
      </w:r>
      <w:r w:rsidRPr="00667BB6">
        <w:t>reserve</w:t>
      </w:r>
      <w:r w:rsidR="00324589">
        <w:t>s</w:t>
      </w:r>
      <w:r w:rsidRPr="00667BB6">
        <w:t xml:space="preserve"> the right to conduct ongoing monitoring of the operations of Convo to ensure continuing compliance and to review any additional documentation necessary to ascertain the veracity of the assertions made in the Certification Application and subsequently filed updates.</w:t>
      </w:r>
      <w:r w:rsidRPr="00667BB6">
        <w:rPr>
          <w:vertAlign w:val="superscript"/>
        </w:rPr>
        <w:footnoteReference w:id="43"/>
      </w:r>
      <w:r w:rsidRPr="00667BB6">
        <w:t xml:space="preserve">  </w:t>
      </w:r>
      <w:r w:rsidR="00324589">
        <w:t>The Commission</w:t>
      </w:r>
      <w:r w:rsidR="00324589" w:rsidRPr="00667BB6">
        <w:t xml:space="preserve"> </w:t>
      </w:r>
      <w:r w:rsidRPr="00667BB6">
        <w:t>also reserve</w:t>
      </w:r>
      <w:r w:rsidR="00324589">
        <w:t>s</w:t>
      </w:r>
      <w:r w:rsidRPr="00667BB6">
        <w:t xml:space="preserve"> the right to investigate compliance </w:t>
      </w:r>
      <w:r w:rsidR="0034044B">
        <w:t>by</w:t>
      </w:r>
      <w:r w:rsidRPr="00667BB6">
        <w:t xml:space="preserve"> Convo with </w:t>
      </w:r>
      <w:r w:rsidR="00D75121">
        <w:t>the Commission’s</w:t>
      </w:r>
      <w:r w:rsidR="00D75121" w:rsidRPr="00667BB6">
        <w:t xml:space="preserve"> </w:t>
      </w:r>
      <w:r w:rsidRPr="00667BB6">
        <w:t>rules and orders</w:t>
      </w:r>
      <w:r w:rsidR="0034044B">
        <w:t>,</w:t>
      </w:r>
      <w:r w:rsidRPr="00667BB6">
        <w:t xml:space="preserve"> and to take any enforcement action, including suspension or revocation of this certification.</w:t>
      </w:r>
      <w:r w:rsidRPr="00667BB6">
        <w:rPr>
          <w:vertAlign w:val="superscript"/>
        </w:rPr>
        <w:footnoteReference w:id="44"/>
      </w:r>
      <w:r w:rsidRPr="00667BB6">
        <w:t xml:space="preserve">  </w:t>
      </w:r>
      <w:r w:rsidR="0034044B">
        <w:t>T</w:t>
      </w:r>
      <w:r w:rsidR="00A15947" w:rsidRPr="00A650FA">
        <w:t xml:space="preserve">his </w:t>
      </w:r>
      <w:r w:rsidR="00A15947">
        <w:t xml:space="preserve">includes </w:t>
      </w:r>
      <w:r w:rsidR="00D75121">
        <w:t xml:space="preserve">the Commission’s </w:t>
      </w:r>
      <w:r w:rsidR="00A15947" w:rsidRPr="003A6C3F">
        <w:rPr>
          <w:szCs w:val="22"/>
        </w:rPr>
        <w:t>right to include, as part of the iTRS certification process</w:t>
      </w:r>
      <w:r w:rsidR="00A15947">
        <w:rPr>
          <w:szCs w:val="22"/>
        </w:rPr>
        <w:t xml:space="preserve"> or thereafter, unannounced </w:t>
      </w:r>
      <w:r w:rsidR="00A15947" w:rsidRPr="003A6C3F">
        <w:rPr>
          <w:szCs w:val="22"/>
        </w:rPr>
        <w:t>on-site visit</w:t>
      </w:r>
      <w:r w:rsidR="00A15947">
        <w:rPr>
          <w:szCs w:val="22"/>
        </w:rPr>
        <w:t>s</w:t>
      </w:r>
      <w:r w:rsidR="00A15947" w:rsidRPr="003A6C3F">
        <w:rPr>
          <w:szCs w:val="22"/>
        </w:rPr>
        <w:t xml:space="preserve"> to </w:t>
      </w:r>
      <w:r w:rsidR="00A15947">
        <w:rPr>
          <w:szCs w:val="22"/>
        </w:rPr>
        <w:t xml:space="preserve">Convo’s </w:t>
      </w:r>
      <w:r w:rsidR="00A15947" w:rsidRPr="003A6C3F">
        <w:rPr>
          <w:szCs w:val="22"/>
        </w:rPr>
        <w:t xml:space="preserve">headquarters, offices or call centers for the purpose of ensuring continued compliance with </w:t>
      </w:r>
      <w:r w:rsidR="00A15947">
        <w:rPr>
          <w:szCs w:val="22"/>
        </w:rPr>
        <w:t xml:space="preserve">the </w:t>
      </w:r>
      <w:r w:rsidR="00A15947" w:rsidRPr="003A6C3F">
        <w:rPr>
          <w:szCs w:val="22"/>
        </w:rPr>
        <w:t>certification requirements</w:t>
      </w:r>
      <w:r w:rsidR="00A15947">
        <w:rPr>
          <w:szCs w:val="22"/>
        </w:rPr>
        <w:t xml:space="preserve"> and the Commission’s rules</w:t>
      </w:r>
      <w:r w:rsidR="00A650FA" w:rsidRPr="00A15947">
        <w:rPr>
          <w:szCs w:val="22"/>
        </w:rPr>
        <w:t>.</w:t>
      </w:r>
      <w:r w:rsidR="00A15947" w:rsidRPr="003A6C3F">
        <w:rPr>
          <w:rStyle w:val="FootnoteReference"/>
          <w:szCs w:val="22"/>
        </w:rPr>
        <w:footnoteReference w:id="45"/>
      </w:r>
    </w:p>
    <w:p w14:paraId="09FCF34F" w14:textId="65317FFC" w:rsidR="00667BB6" w:rsidRPr="00667BB6" w:rsidRDefault="00667BB6" w:rsidP="00667BB6">
      <w:pPr>
        <w:spacing w:after="120"/>
      </w:pPr>
      <w:r w:rsidRPr="00667BB6">
        <w:tab/>
      </w:r>
      <w:r w:rsidRPr="00667BB6">
        <w:rPr>
          <w:u w:val="single"/>
        </w:rPr>
        <w:t>People with Disabilities</w:t>
      </w:r>
      <w:r w:rsidRPr="00667BB6">
        <w:t xml:space="preserve">:  To request materials in accessible formats (such as </w:t>
      </w:r>
      <w:r w:rsidR="00580F37">
        <w:t>B</w:t>
      </w:r>
      <w:r w:rsidRPr="00667BB6">
        <w:t xml:space="preserve">raille, large print, electronic files, audio format), send an e-mail to </w:t>
      </w:r>
      <w:hyperlink r:id="rId8" w:history="1">
        <w:r w:rsidRPr="00667BB6">
          <w:rPr>
            <w:rStyle w:val="Hyperlink"/>
          </w:rPr>
          <w:t>fcc504@fcc.gov</w:t>
        </w:r>
      </w:hyperlink>
      <w:r w:rsidRPr="00667BB6">
        <w:t xml:space="preserve"> or call the Consumer and Governmental Affairs Bureau at 202-418-0530 (voice), 844-432-2275 (videophone), or 202-418-0432 (TTY).  This </w:t>
      </w:r>
      <w:r w:rsidRPr="00667BB6">
        <w:rPr>
          <w:i/>
        </w:rPr>
        <w:t>Public Notice</w:t>
      </w:r>
      <w:r w:rsidRPr="00667BB6">
        <w:t xml:space="preserve"> can also be downloaded in Word or Portable Document Format (PDF) at: </w:t>
      </w:r>
      <w:hyperlink r:id="rId9" w:history="1">
        <w:r w:rsidRPr="00667BB6">
          <w:rPr>
            <w:rStyle w:val="Hyperlink"/>
          </w:rPr>
          <w:t>http://www.fcc.gov/cgb/dro</w:t>
        </w:r>
      </w:hyperlink>
      <w:r w:rsidRPr="00667BB6">
        <w:t xml:space="preserve">. </w:t>
      </w:r>
    </w:p>
    <w:p w14:paraId="480EE1A9" w14:textId="1B368C07" w:rsidR="00667BB6" w:rsidRPr="00667BB6" w:rsidRDefault="00667BB6" w:rsidP="00667BB6">
      <w:pPr>
        <w:spacing w:after="120"/>
      </w:pPr>
      <w:r w:rsidRPr="00667BB6">
        <w:tab/>
      </w:r>
      <w:r w:rsidRPr="00667BB6">
        <w:rPr>
          <w:u w:val="single"/>
        </w:rPr>
        <w:t>Additional Information</w:t>
      </w:r>
      <w:r w:rsidRPr="00667BB6">
        <w:t xml:space="preserve">.  For additional information, please contact Eliot Greenwald, Disability Rights Office, Consumer and Governmental Affairs Bureau, at (202) 418-2235, or email at </w:t>
      </w:r>
      <w:hyperlink r:id="rId10" w:history="1">
        <w:r w:rsidRPr="00667BB6">
          <w:rPr>
            <w:rStyle w:val="Hyperlink"/>
          </w:rPr>
          <w:t>Eliot.Greenwald@fcc.gov</w:t>
        </w:r>
      </w:hyperlink>
      <w:r w:rsidRPr="00667BB6">
        <w:t xml:space="preserve">. </w:t>
      </w:r>
    </w:p>
    <w:p w14:paraId="7DF3E090" w14:textId="77777777" w:rsidR="006A1F49" w:rsidRPr="00667BB6" w:rsidRDefault="00667BB6" w:rsidP="00667BB6">
      <w:pPr>
        <w:spacing w:after="120"/>
        <w:jc w:val="center"/>
        <w:rPr>
          <w:b/>
        </w:rPr>
      </w:pPr>
      <w:r>
        <w:rPr>
          <w:b/>
        </w:rPr>
        <w:t>- FCC-</w:t>
      </w:r>
    </w:p>
    <w:sectPr w:rsidR="006A1F49" w:rsidRPr="00667BB6" w:rsidSect="00DF081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A3009" w14:textId="77777777" w:rsidR="0007331B" w:rsidRDefault="0007331B">
      <w:pPr>
        <w:spacing w:line="20" w:lineRule="exact"/>
      </w:pPr>
    </w:p>
  </w:endnote>
  <w:endnote w:type="continuationSeparator" w:id="0">
    <w:p w14:paraId="6E638996" w14:textId="77777777" w:rsidR="0007331B" w:rsidRDefault="0007331B">
      <w:r>
        <w:t xml:space="preserve"> </w:t>
      </w:r>
    </w:p>
  </w:endnote>
  <w:endnote w:type="continuationNotice" w:id="1">
    <w:p w14:paraId="160B941C" w14:textId="77777777" w:rsidR="0007331B" w:rsidRDefault="000733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566AB"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51609F1D" w14:textId="77777777" w:rsidR="00D25FB5" w:rsidRDefault="00D25FB5">
    <w:pPr>
      <w:pStyle w:val="Footer"/>
    </w:pPr>
  </w:p>
  <w:p w14:paraId="02C4F215"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6E20F" w14:textId="77777777" w:rsidR="00D25FB5" w:rsidRDefault="00D25FB5" w:rsidP="0055614C">
    <w:pPr>
      <w:pStyle w:val="Footer"/>
      <w:framePr w:wrap="around" w:vAnchor="text" w:hAnchor="margin" w:xAlign="center" w:y="1"/>
    </w:pPr>
    <w:r>
      <w:fldChar w:fldCharType="begin"/>
    </w:r>
    <w:r>
      <w:instrText xml:space="preserve">PAGE  </w:instrText>
    </w:r>
    <w:r>
      <w:fldChar w:fldCharType="separate"/>
    </w:r>
    <w:r w:rsidR="002800EC">
      <w:rPr>
        <w:noProof/>
      </w:rPr>
      <w:t>2</w:t>
    </w:r>
    <w:r>
      <w:fldChar w:fldCharType="end"/>
    </w:r>
  </w:p>
  <w:p w14:paraId="70BB548E" w14:textId="77777777" w:rsidR="003660ED" w:rsidRDefault="003660ED"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57360" w14:textId="77777777" w:rsidR="00D25FB5" w:rsidRDefault="00D25FB5"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CE594" w14:textId="77777777" w:rsidR="0007331B" w:rsidRDefault="0007331B">
      <w:r>
        <w:separator/>
      </w:r>
    </w:p>
  </w:footnote>
  <w:footnote w:type="continuationSeparator" w:id="0">
    <w:p w14:paraId="60B24D38" w14:textId="77777777" w:rsidR="0007331B" w:rsidRDefault="0007331B" w:rsidP="00C721AC">
      <w:pPr>
        <w:spacing w:before="120"/>
        <w:rPr>
          <w:sz w:val="20"/>
        </w:rPr>
      </w:pPr>
      <w:r>
        <w:rPr>
          <w:sz w:val="20"/>
        </w:rPr>
        <w:t xml:space="preserve">(Continued from previous page)  </w:t>
      </w:r>
      <w:r>
        <w:rPr>
          <w:sz w:val="20"/>
        </w:rPr>
        <w:separator/>
      </w:r>
    </w:p>
  </w:footnote>
  <w:footnote w:type="continuationNotice" w:id="1">
    <w:p w14:paraId="1B4F9251" w14:textId="77777777" w:rsidR="0007331B" w:rsidRDefault="0007331B" w:rsidP="00C721AC">
      <w:pPr>
        <w:jc w:val="right"/>
        <w:rPr>
          <w:sz w:val="20"/>
        </w:rPr>
      </w:pPr>
      <w:r>
        <w:rPr>
          <w:sz w:val="20"/>
        </w:rPr>
        <w:t>(continued….)</w:t>
      </w:r>
    </w:p>
  </w:footnote>
  <w:footnote w:id="2">
    <w:p w14:paraId="09CA2569" w14:textId="77777777" w:rsidR="00667BB6" w:rsidRDefault="00667BB6" w:rsidP="00667BB6">
      <w:pPr>
        <w:spacing w:after="120"/>
        <w:rPr>
          <w:sz w:val="20"/>
        </w:rPr>
      </w:pPr>
      <w:r w:rsidRPr="00915426">
        <w:rPr>
          <w:rStyle w:val="FootnoteReference"/>
        </w:rPr>
        <w:footnoteRef/>
      </w:r>
      <w:r w:rsidRPr="00915426">
        <w:rPr>
          <w:sz w:val="20"/>
        </w:rPr>
        <w:t xml:space="preserve"> </w:t>
      </w:r>
      <w:r>
        <w:rPr>
          <w:sz w:val="20"/>
        </w:rPr>
        <w:t>The Communications Act of 1934, as amended, defines telecommunications relay services (TRS) as:</w:t>
      </w:r>
    </w:p>
    <w:p w14:paraId="2B09DC6D" w14:textId="77777777" w:rsidR="00667BB6" w:rsidRPr="00295348" w:rsidRDefault="00667BB6" w:rsidP="00667BB6">
      <w:pPr>
        <w:spacing w:after="120"/>
        <w:ind w:left="720" w:right="720"/>
        <w:rPr>
          <w:sz w:val="20"/>
        </w:rPr>
      </w:pPr>
      <w:r>
        <w:rPr>
          <w:sz w:val="20"/>
        </w:rPr>
        <w:t>[T]elephone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w:t>
      </w:r>
    </w:p>
    <w:p w14:paraId="345A0CAD" w14:textId="77777777" w:rsidR="00667BB6" w:rsidRPr="00915426" w:rsidRDefault="00667BB6" w:rsidP="00667BB6">
      <w:pPr>
        <w:spacing w:after="120"/>
        <w:rPr>
          <w:sz w:val="20"/>
        </w:rPr>
      </w:pPr>
      <w:r w:rsidRPr="00295348">
        <w:rPr>
          <w:sz w:val="20"/>
        </w:rPr>
        <w:t>47 U.S.C. § 225(a)(3) (as amended by the Twenty-First Century Communications and Video Accessibility Act of 2010 (CVAA), Pub. L. No. 111-260, § 103(b), 124 Stat. 2751, 2755 (2010); Pub. L. No. 111-265 (technical amendments to CVAA)).  The</w:t>
      </w:r>
      <w:r w:rsidRPr="00915426">
        <w:rPr>
          <w:sz w:val="20"/>
        </w:rPr>
        <w:t xml:space="preserve"> TRS Fund compensates eligible providers of Internet-based and interstate TRS for their reasonable costs of providing these services.  </w:t>
      </w:r>
      <w:r w:rsidRPr="00915426">
        <w:rPr>
          <w:i/>
          <w:sz w:val="20"/>
        </w:rPr>
        <w:t xml:space="preserve">See </w:t>
      </w:r>
      <w:r w:rsidRPr="00915426">
        <w:rPr>
          <w:sz w:val="20"/>
        </w:rPr>
        <w:t xml:space="preserve">47 </w:t>
      </w:r>
      <w:r>
        <w:rPr>
          <w:sz w:val="20"/>
        </w:rPr>
        <w:t>CFR</w:t>
      </w:r>
      <w:r w:rsidRPr="00915426">
        <w:rPr>
          <w:sz w:val="20"/>
        </w:rPr>
        <w:t xml:space="preserve"> § 64.604(c)(5)(iii).</w:t>
      </w:r>
      <w:r>
        <w:rPr>
          <w:sz w:val="20"/>
        </w:rPr>
        <w:t xml:space="preserve">  </w:t>
      </w:r>
      <w:r w:rsidRPr="00C77BB4">
        <w:rPr>
          <w:sz w:val="20"/>
        </w:rPr>
        <w:t xml:space="preserve">  </w:t>
      </w:r>
      <w:r w:rsidRPr="00915426">
        <w:rPr>
          <w:sz w:val="20"/>
        </w:rPr>
        <w:t xml:space="preserve">  </w:t>
      </w:r>
    </w:p>
  </w:footnote>
  <w:footnote w:id="3">
    <w:p w14:paraId="7DA522D5" w14:textId="01F89B1D" w:rsidR="00667BB6" w:rsidRDefault="00667BB6" w:rsidP="00667BB6">
      <w:pPr>
        <w:pStyle w:val="FootnoteText"/>
      </w:pPr>
      <w:r>
        <w:rPr>
          <w:rStyle w:val="FootnoteReference"/>
        </w:rPr>
        <w:footnoteRef/>
      </w:r>
      <w:r>
        <w:t xml:space="preserve"> VRS is a form of </w:t>
      </w:r>
      <w:r w:rsidR="00BC1A54">
        <w:t xml:space="preserve">Internet-based </w:t>
      </w:r>
      <w:r>
        <w:t xml:space="preserve">telecommunications relay service </w:t>
      </w:r>
      <w:r w:rsidR="00BC1A54">
        <w:t xml:space="preserve">(TRS) </w:t>
      </w:r>
      <w:r>
        <w:t xml:space="preserve">that </w:t>
      </w:r>
      <w:r w:rsidR="00BC1A54">
        <w:t>“</w:t>
      </w:r>
      <w:r>
        <w:t>allows people with hearing or speech disabilities who use sign language to communicate with voice telephone users through video equipment.  The video link allows the [</w:t>
      </w:r>
      <w:r w:rsidR="00450EE9">
        <w:t>c</w:t>
      </w:r>
      <w:r>
        <w:t xml:space="preserve">ommunications </w:t>
      </w:r>
      <w:r w:rsidR="00450EE9">
        <w:t>a</w:t>
      </w:r>
      <w:r>
        <w:t>ssistant] to view and interpret the party’s signed conversations and relay the conversation back and forth with a voice caller.”  47 CFR § 64.601(a)(40).</w:t>
      </w:r>
    </w:p>
  </w:footnote>
  <w:footnote w:id="4">
    <w:p w14:paraId="43364B5A" w14:textId="77777777" w:rsidR="00667BB6" w:rsidRDefault="00667BB6" w:rsidP="00667BB6">
      <w:pPr>
        <w:pStyle w:val="FootnoteText"/>
      </w:pPr>
      <w:r>
        <w:rPr>
          <w:rStyle w:val="FootnoteReference"/>
        </w:rPr>
        <w:footnoteRef/>
      </w:r>
      <w:r>
        <w:t xml:space="preserve"> </w:t>
      </w:r>
      <w:r w:rsidRPr="00116839">
        <w:rPr>
          <w:i/>
        </w:rPr>
        <w:t>See</w:t>
      </w:r>
      <w:r>
        <w:rPr>
          <w:i/>
        </w:rPr>
        <w:t xml:space="preserve"> Notice of Conditional Grant of Application o</w:t>
      </w:r>
      <w:r w:rsidRPr="00E34378">
        <w:rPr>
          <w:i/>
        </w:rPr>
        <w:t xml:space="preserve">f Convo Communications, </w:t>
      </w:r>
      <w:r>
        <w:rPr>
          <w:i/>
        </w:rPr>
        <w:t>LLC for Certification as a Provider of Video Relay Service Eligible for Compensation f</w:t>
      </w:r>
      <w:r w:rsidRPr="00E34378">
        <w:rPr>
          <w:i/>
        </w:rPr>
        <w:t>rom Interstate Telecommunications Relay Service</w:t>
      </w:r>
      <w:r>
        <w:rPr>
          <w:i/>
        </w:rPr>
        <w:t>s</w:t>
      </w:r>
      <w:r w:rsidRPr="00E34378">
        <w:rPr>
          <w:i/>
        </w:rPr>
        <w:t xml:space="preserve"> Fund</w:t>
      </w:r>
      <w:r>
        <w:t>, Public Notice, 26 FCC Rcd 15956 (2011) (</w:t>
      </w:r>
      <w:r w:rsidRPr="00AF49FB">
        <w:rPr>
          <w:i/>
        </w:rPr>
        <w:t>Conditional Grant</w:t>
      </w:r>
      <w:r>
        <w:t xml:space="preserve">).  </w:t>
      </w:r>
    </w:p>
  </w:footnote>
  <w:footnote w:id="5">
    <w:p w14:paraId="14F58CD8" w14:textId="326132A4" w:rsidR="00667BB6" w:rsidRDefault="00667BB6" w:rsidP="00667BB6">
      <w:pPr>
        <w:pStyle w:val="FootnoteText"/>
      </w:pPr>
      <w:r>
        <w:rPr>
          <w:rStyle w:val="FootnoteReference"/>
        </w:rPr>
        <w:footnoteRef/>
      </w:r>
      <w:r>
        <w:t xml:space="preserve"> </w:t>
      </w:r>
      <w:r>
        <w:rPr>
          <w:i/>
        </w:rPr>
        <w:t xml:space="preserve">See </w:t>
      </w:r>
      <w:r w:rsidRPr="006217C7">
        <w:rPr>
          <w:i/>
          <w:iCs/>
        </w:rPr>
        <w:t>Structure and Practices of the Video Relay Services Program</w:t>
      </w:r>
      <w:r w:rsidR="004F374F">
        <w:rPr>
          <w:i/>
          <w:iCs/>
        </w:rPr>
        <w:t xml:space="preserve"> et al.</w:t>
      </w:r>
      <w:r w:rsidRPr="006217C7">
        <w:rPr>
          <w:i/>
          <w:iCs/>
        </w:rPr>
        <w:t xml:space="preserve">, </w:t>
      </w:r>
      <w:r w:rsidRPr="006E1A95">
        <w:t xml:space="preserve">Report and Order and Further Notice of Proposed Rulemaking, </w:t>
      </w:r>
      <w:r w:rsidRPr="006047C0">
        <w:t>28 FCC Rcd 8618,</w:t>
      </w:r>
      <w:r w:rsidRPr="006217C7">
        <w:rPr>
          <w:i/>
        </w:rPr>
        <w:t> </w:t>
      </w:r>
      <w:r>
        <w:t>8689, para. 175 (2013).</w:t>
      </w:r>
    </w:p>
  </w:footnote>
  <w:footnote w:id="6">
    <w:p w14:paraId="2B290972" w14:textId="77777777" w:rsidR="00667BB6" w:rsidRDefault="00667BB6" w:rsidP="00667BB6">
      <w:pPr>
        <w:pStyle w:val="FootnoteText"/>
      </w:pPr>
      <w:r>
        <w:rPr>
          <w:rStyle w:val="FootnoteReference"/>
        </w:rPr>
        <w:footnoteRef/>
      </w:r>
      <w:r>
        <w:t xml:space="preserve"> </w:t>
      </w:r>
      <w:r w:rsidR="00AD70EC" w:rsidRPr="00AD70EC">
        <w:rPr>
          <w:i/>
        </w:rPr>
        <w:t>Structure and Practices of the Video Relay Service Program</w:t>
      </w:r>
      <w:r w:rsidR="00AD70EC" w:rsidRPr="00AD70EC">
        <w:t xml:space="preserve">, Second Report and Order, 26 FCC Rcd 10898, 10902, para. </w:t>
      </w:r>
      <w:r w:rsidR="00AD70EC">
        <w:t>8</w:t>
      </w:r>
      <w:r w:rsidR="00AD70EC" w:rsidRPr="00AD70EC">
        <w:t xml:space="preserve"> (2011) (</w:t>
      </w:r>
      <w:r w:rsidR="00AD70EC" w:rsidRPr="00AD70EC">
        <w:rPr>
          <w:i/>
        </w:rPr>
        <w:t>Internet-based TRS Certification Order</w:t>
      </w:r>
      <w:r w:rsidR="00AD70EC" w:rsidRPr="00AD70EC">
        <w:t>)</w:t>
      </w:r>
      <w:r w:rsidR="00AD70EC">
        <w:t>;</w:t>
      </w:r>
      <w:r>
        <w:t xml:space="preserve"> </w:t>
      </w:r>
      <w:r>
        <w:rPr>
          <w:i/>
        </w:rPr>
        <w:t>see also</w:t>
      </w:r>
      <w:r w:rsidRPr="0056047B">
        <w:t xml:space="preserve"> 47</w:t>
      </w:r>
      <w:r w:rsidRPr="005B5E73">
        <w:t xml:space="preserve"> </w:t>
      </w:r>
      <w:r>
        <w:t>CFR</w:t>
      </w:r>
      <w:r w:rsidRPr="005B5E73">
        <w:t xml:space="preserve"> § 64.606</w:t>
      </w:r>
      <w:r w:rsidRPr="00AD70EC">
        <w:t>.</w:t>
      </w:r>
      <w:r w:rsidR="00AD70EC" w:rsidRPr="00AD70EC">
        <w:t xml:space="preserve">  </w:t>
      </w:r>
    </w:p>
  </w:footnote>
  <w:footnote w:id="7">
    <w:p w14:paraId="605C1F1F" w14:textId="1E41A623" w:rsidR="00667BB6" w:rsidRPr="00CD699F" w:rsidRDefault="00667BB6" w:rsidP="00667BB6">
      <w:pPr>
        <w:spacing w:after="120"/>
        <w:rPr>
          <w:sz w:val="20"/>
        </w:rPr>
      </w:pPr>
      <w:r w:rsidRPr="00374619">
        <w:rPr>
          <w:rStyle w:val="FootnoteReference"/>
        </w:rPr>
        <w:footnoteRef/>
      </w:r>
      <w:r w:rsidRPr="00374619">
        <w:rPr>
          <w:sz w:val="20"/>
        </w:rPr>
        <w:t xml:space="preserve"> </w:t>
      </w:r>
      <w:r w:rsidRPr="00374619">
        <w:rPr>
          <w:i/>
          <w:sz w:val="20"/>
        </w:rPr>
        <w:t>Internet-based TRS Certification Order</w:t>
      </w:r>
      <w:r>
        <w:rPr>
          <w:sz w:val="20"/>
        </w:rPr>
        <w:t>, 26 FCC Rcd at 10909-13</w:t>
      </w:r>
      <w:r w:rsidR="00D530B7">
        <w:rPr>
          <w:sz w:val="20"/>
        </w:rPr>
        <w:t>,</w:t>
      </w:r>
      <w:r>
        <w:rPr>
          <w:sz w:val="20"/>
        </w:rPr>
        <w:t xml:space="preserve"> paras.</w:t>
      </w:r>
      <w:r w:rsidRPr="00374619">
        <w:rPr>
          <w:sz w:val="20"/>
        </w:rPr>
        <w:t xml:space="preserve"> 23-34; 47 </w:t>
      </w:r>
      <w:r>
        <w:rPr>
          <w:sz w:val="20"/>
        </w:rPr>
        <w:t>CFR § 64.606</w:t>
      </w:r>
      <w:r w:rsidRPr="00374619">
        <w:rPr>
          <w:sz w:val="20"/>
        </w:rPr>
        <w:t>(a</w:t>
      </w:r>
      <w:r w:rsidRPr="00CD699F">
        <w:rPr>
          <w:sz w:val="20"/>
        </w:rPr>
        <w:t>)</w:t>
      </w:r>
      <w:r w:rsidR="00D157F9">
        <w:rPr>
          <w:sz w:val="20"/>
        </w:rPr>
        <w:t>(2), (4), (b)(2)</w:t>
      </w:r>
      <w:r w:rsidRPr="00CD699F">
        <w:rPr>
          <w:sz w:val="20"/>
        </w:rPr>
        <w:t xml:space="preserve">; </w:t>
      </w:r>
      <w:r w:rsidRPr="00CD699F">
        <w:rPr>
          <w:i/>
          <w:sz w:val="20"/>
        </w:rPr>
        <w:t>see also Structure and Practices of the Video Relay Service Program</w:t>
      </w:r>
      <w:r w:rsidR="004F374F">
        <w:rPr>
          <w:i/>
          <w:sz w:val="20"/>
        </w:rPr>
        <w:t xml:space="preserve"> et al.</w:t>
      </w:r>
      <w:r w:rsidRPr="00CD699F">
        <w:rPr>
          <w:sz w:val="20"/>
        </w:rPr>
        <w:t xml:space="preserve">, Memorandum Opinion and Order, Order, and Further Notice of Proposed Rulemaking, 26 FCC Rcd 14895 (2011) (clarifying </w:t>
      </w:r>
      <w:r w:rsidR="00D157F9">
        <w:rPr>
          <w:sz w:val="20"/>
        </w:rPr>
        <w:t>and modifying</w:t>
      </w:r>
      <w:r w:rsidRPr="00CD699F">
        <w:rPr>
          <w:sz w:val="20"/>
        </w:rPr>
        <w:t xml:space="preserve"> the certification requirements adopted in the </w:t>
      </w:r>
      <w:r>
        <w:rPr>
          <w:i/>
          <w:sz w:val="20"/>
        </w:rPr>
        <w:t>Internet-based TRS</w:t>
      </w:r>
      <w:r w:rsidRPr="00CD699F">
        <w:rPr>
          <w:i/>
          <w:sz w:val="20"/>
        </w:rPr>
        <w:t xml:space="preserve"> Certification Order</w:t>
      </w:r>
      <w:r>
        <w:rPr>
          <w:sz w:val="20"/>
        </w:rPr>
        <w:t>)</w:t>
      </w:r>
      <w:r w:rsidRPr="00CD699F">
        <w:rPr>
          <w:sz w:val="20"/>
        </w:rPr>
        <w:t>.</w:t>
      </w:r>
    </w:p>
  </w:footnote>
  <w:footnote w:id="8">
    <w:p w14:paraId="4922D7C1" w14:textId="77777777" w:rsidR="004D2EE0" w:rsidRDefault="004D2EE0">
      <w:pPr>
        <w:pStyle w:val="FootnoteText"/>
      </w:pPr>
      <w:r>
        <w:rPr>
          <w:rStyle w:val="FootnoteReference"/>
        </w:rPr>
        <w:footnoteRef/>
      </w:r>
      <w:r>
        <w:t xml:space="preserve"> 47 CFR § 64.606(a)(2).</w:t>
      </w:r>
    </w:p>
  </w:footnote>
  <w:footnote w:id="9">
    <w:p w14:paraId="58BBEBBE" w14:textId="725C5D14" w:rsidR="00B67AF2" w:rsidRDefault="00B67AF2">
      <w:pPr>
        <w:pStyle w:val="FootnoteText"/>
      </w:pPr>
      <w:r>
        <w:rPr>
          <w:rStyle w:val="FootnoteReference"/>
        </w:rPr>
        <w:footnoteRef/>
      </w:r>
      <w:r>
        <w:t xml:space="preserve"> </w:t>
      </w:r>
      <w:r w:rsidRPr="006E1A95">
        <w:rPr>
          <w:i/>
        </w:rPr>
        <w:t>Internet-based TRS Certification Order</w:t>
      </w:r>
      <w:r w:rsidRPr="006E1A95">
        <w:t>, 26 FCC Rcd at 109</w:t>
      </w:r>
      <w:r w:rsidR="004D2EE0">
        <w:t>05</w:t>
      </w:r>
      <w:r>
        <w:t>, para.</w:t>
      </w:r>
      <w:r w:rsidRPr="006E1A95">
        <w:t xml:space="preserve"> </w:t>
      </w:r>
      <w:r>
        <w:t>1</w:t>
      </w:r>
      <w:r w:rsidR="00B11BAB">
        <w:t>5</w:t>
      </w:r>
      <w:r>
        <w:t>.</w:t>
      </w:r>
    </w:p>
  </w:footnote>
  <w:footnote w:id="10">
    <w:p w14:paraId="3C4FAFB1" w14:textId="20E79A88" w:rsidR="003E1D9C" w:rsidRDefault="003E1D9C">
      <w:pPr>
        <w:pStyle w:val="FootnoteText"/>
      </w:pPr>
      <w:r>
        <w:rPr>
          <w:rStyle w:val="FootnoteReference"/>
        </w:rPr>
        <w:footnoteRef/>
      </w:r>
      <w:r>
        <w:t xml:space="preserve"> </w:t>
      </w:r>
      <w:r w:rsidR="004F374F">
        <w:rPr>
          <w:i/>
        </w:rPr>
        <w:t>Id.</w:t>
      </w:r>
      <w:r w:rsidR="001F4488" w:rsidRPr="006E1A95">
        <w:t xml:space="preserve"> at 109</w:t>
      </w:r>
      <w:r w:rsidR="001F4488">
        <w:t>05, para.</w:t>
      </w:r>
      <w:r w:rsidR="001F4488" w:rsidRPr="006E1A95">
        <w:t xml:space="preserve"> </w:t>
      </w:r>
      <w:r w:rsidR="001F4488">
        <w:t>13</w:t>
      </w:r>
      <w:r w:rsidR="00450EE9">
        <w:t>.</w:t>
      </w:r>
    </w:p>
  </w:footnote>
  <w:footnote w:id="11">
    <w:p w14:paraId="5813E0B5" w14:textId="77777777" w:rsidR="004D2EE0" w:rsidRDefault="004D2EE0">
      <w:pPr>
        <w:pStyle w:val="FootnoteText"/>
      </w:pPr>
      <w:r>
        <w:rPr>
          <w:rStyle w:val="FootnoteReference"/>
        </w:rPr>
        <w:footnoteRef/>
      </w:r>
      <w:r>
        <w:t xml:space="preserve"> </w:t>
      </w:r>
      <w:r w:rsidR="001F4488">
        <w:rPr>
          <w:lang w:val="es-ES"/>
        </w:rPr>
        <w:t>47 CFR § 64.606(a)(2)(i).</w:t>
      </w:r>
    </w:p>
  </w:footnote>
  <w:footnote w:id="12">
    <w:p w14:paraId="0DA05D91" w14:textId="1BCB2EB4" w:rsidR="00965281" w:rsidRDefault="00965281">
      <w:pPr>
        <w:pStyle w:val="FootnoteText"/>
      </w:pPr>
      <w:r>
        <w:rPr>
          <w:rStyle w:val="FootnoteReference"/>
        </w:rPr>
        <w:footnoteRef/>
      </w:r>
      <w:r>
        <w:t xml:space="preserve"> </w:t>
      </w:r>
      <w:r w:rsidR="004F374F" w:rsidRPr="004F374F">
        <w:rPr>
          <w:i/>
          <w:lang w:val="es-ES"/>
        </w:rPr>
        <w:t>Id</w:t>
      </w:r>
      <w:r w:rsidR="004F374F">
        <w:rPr>
          <w:lang w:val="es-ES"/>
        </w:rPr>
        <w:t>.</w:t>
      </w:r>
      <w:r>
        <w:rPr>
          <w:lang w:val="es-ES"/>
        </w:rPr>
        <w:t xml:space="preserve"> § 64.606(a)(2)(ii).</w:t>
      </w:r>
    </w:p>
  </w:footnote>
  <w:footnote w:id="13">
    <w:p w14:paraId="5C324709" w14:textId="5CE2F12E" w:rsidR="00F64B67" w:rsidRDefault="00F64B67">
      <w:pPr>
        <w:pStyle w:val="FootnoteText"/>
      </w:pPr>
      <w:r>
        <w:rPr>
          <w:rStyle w:val="FootnoteReference"/>
        </w:rPr>
        <w:footnoteRef/>
      </w:r>
      <w:r w:rsidR="00B04BAA">
        <w:t xml:space="preserve"> </w:t>
      </w:r>
      <w:r w:rsidR="004F374F" w:rsidRPr="004F374F">
        <w:rPr>
          <w:i/>
          <w:lang w:val="es-ES"/>
        </w:rPr>
        <w:t>Id</w:t>
      </w:r>
      <w:r w:rsidR="004F374F">
        <w:rPr>
          <w:lang w:val="es-ES"/>
        </w:rPr>
        <w:t>.</w:t>
      </w:r>
      <w:r w:rsidR="00B04BAA">
        <w:rPr>
          <w:lang w:val="es-ES"/>
        </w:rPr>
        <w:t xml:space="preserve"> § 64.606(a)(2)(ii)(A)(</w:t>
      </w:r>
      <w:r w:rsidR="00B04BAA">
        <w:rPr>
          <w:i/>
          <w:lang w:val="es-ES"/>
        </w:rPr>
        <w:t>1</w:t>
      </w:r>
      <w:r w:rsidR="00B04BAA">
        <w:rPr>
          <w:lang w:val="es-ES"/>
        </w:rPr>
        <w:t>)</w:t>
      </w:r>
      <w:r w:rsidR="001F4488">
        <w:rPr>
          <w:lang w:val="es-ES"/>
        </w:rPr>
        <w:t>-</w:t>
      </w:r>
      <w:r w:rsidR="00B04BAA">
        <w:rPr>
          <w:lang w:val="es-ES"/>
        </w:rPr>
        <w:t>(</w:t>
      </w:r>
      <w:r w:rsidR="00B04BAA">
        <w:rPr>
          <w:i/>
          <w:lang w:val="es-ES"/>
        </w:rPr>
        <w:t>2</w:t>
      </w:r>
      <w:r w:rsidR="001F4488">
        <w:t xml:space="preserve">); </w:t>
      </w:r>
      <w:r w:rsidR="001F4488">
        <w:rPr>
          <w:i/>
        </w:rPr>
        <w:t>see also</w:t>
      </w:r>
      <w:r w:rsidR="001F4488">
        <w:t xml:space="preserve"> </w:t>
      </w:r>
      <w:r w:rsidR="004F374F">
        <w:rPr>
          <w:i/>
          <w:lang w:val="es-ES"/>
        </w:rPr>
        <w:t>i</w:t>
      </w:r>
      <w:r w:rsidR="004F374F" w:rsidRPr="004F374F">
        <w:rPr>
          <w:i/>
          <w:lang w:val="es-ES"/>
        </w:rPr>
        <w:t>d</w:t>
      </w:r>
      <w:r w:rsidR="004F374F">
        <w:rPr>
          <w:lang w:val="es-ES"/>
        </w:rPr>
        <w:t>.</w:t>
      </w:r>
      <w:r w:rsidR="001F4488">
        <w:rPr>
          <w:lang w:val="es-ES"/>
        </w:rPr>
        <w:t xml:space="preserve"> § 64.606(a)(2)(ii)(A)(</w:t>
      </w:r>
      <w:r w:rsidR="001F4488">
        <w:rPr>
          <w:i/>
          <w:lang w:val="es-ES"/>
        </w:rPr>
        <w:t>5</w:t>
      </w:r>
      <w:r w:rsidR="001F4488">
        <w:rPr>
          <w:lang w:val="es-ES"/>
        </w:rPr>
        <w:t>)-(</w:t>
      </w:r>
      <w:r w:rsidR="001F4488">
        <w:rPr>
          <w:i/>
          <w:lang w:val="es-ES"/>
        </w:rPr>
        <w:t>6</w:t>
      </w:r>
      <w:r w:rsidR="001F4488">
        <w:t>) (</w:t>
      </w:r>
      <w:r w:rsidR="001F4488">
        <w:rPr>
          <w:lang w:val="es-ES"/>
        </w:rPr>
        <w:t>requiring</w:t>
      </w:r>
      <w:r w:rsidR="001F4488">
        <w:t xml:space="preserve"> copies of proofs of purchase, leases, or licenses for all technology and equipment used to support the functions</w:t>
      </w:r>
      <w:r w:rsidR="00F05356">
        <w:t xml:space="preserve"> of the associated call centers).</w:t>
      </w:r>
      <w:r w:rsidR="001F4488">
        <w:t xml:space="preserve"> </w:t>
      </w:r>
    </w:p>
  </w:footnote>
  <w:footnote w:id="14">
    <w:p w14:paraId="0FDC096D" w14:textId="57BEF5CC" w:rsidR="00F64B67" w:rsidRDefault="00F64B67">
      <w:pPr>
        <w:pStyle w:val="FootnoteText"/>
      </w:pPr>
      <w:r>
        <w:rPr>
          <w:rStyle w:val="FootnoteReference"/>
        </w:rPr>
        <w:footnoteRef/>
      </w:r>
      <w:r w:rsidR="00B04BAA">
        <w:t xml:space="preserve"> </w:t>
      </w:r>
      <w:r w:rsidR="004F374F" w:rsidRPr="004F374F">
        <w:rPr>
          <w:i/>
          <w:lang w:val="es-ES"/>
        </w:rPr>
        <w:t>Id</w:t>
      </w:r>
      <w:r w:rsidR="004F374F">
        <w:rPr>
          <w:lang w:val="es-ES"/>
        </w:rPr>
        <w:t>.</w:t>
      </w:r>
      <w:r w:rsidR="00B04BAA">
        <w:rPr>
          <w:lang w:val="es-ES"/>
        </w:rPr>
        <w:t xml:space="preserve"> § 64.606(a)(2)(ii)(A)(</w:t>
      </w:r>
      <w:r w:rsidR="00B04BAA">
        <w:rPr>
          <w:i/>
          <w:lang w:val="es-ES"/>
        </w:rPr>
        <w:t>3</w:t>
      </w:r>
      <w:r w:rsidR="00B04BAA">
        <w:rPr>
          <w:lang w:val="es-ES"/>
        </w:rPr>
        <w:t>)</w:t>
      </w:r>
      <w:r w:rsidR="002862D1">
        <w:rPr>
          <w:lang w:val="es-ES"/>
        </w:rPr>
        <w:t>;</w:t>
      </w:r>
      <w:r w:rsidR="00F05356">
        <w:rPr>
          <w:lang w:val="es-ES"/>
        </w:rPr>
        <w:t xml:space="preserve"> </w:t>
      </w:r>
      <w:r w:rsidR="00F05356">
        <w:rPr>
          <w:i/>
          <w:lang w:val="es-ES"/>
        </w:rPr>
        <w:t>see also</w:t>
      </w:r>
      <w:r w:rsidR="00F05356">
        <w:rPr>
          <w:lang w:val="es-ES"/>
        </w:rPr>
        <w:t xml:space="preserve"> </w:t>
      </w:r>
      <w:r w:rsidR="004F374F">
        <w:rPr>
          <w:i/>
          <w:lang w:val="es-ES"/>
        </w:rPr>
        <w:t>i</w:t>
      </w:r>
      <w:r w:rsidR="004F374F" w:rsidRPr="004F374F">
        <w:rPr>
          <w:i/>
          <w:lang w:val="es-ES"/>
        </w:rPr>
        <w:t>d</w:t>
      </w:r>
      <w:r w:rsidR="004F374F">
        <w:rPr>
          <w:lang w:val="es-ES"/>
        </w:rPr>
        <w:t>.</w:t>
      </w:r>
      <w:r w:rsidR="00F05356">
        <w:rPr>
          <w:lang w:val="es-ES"/>
        </w:rPr>
        <w:t xml:space="preserve"> § 64.606(a)(2)(ii)(A)(</w:t>
      </w:r>
      <w:r w:rsidR="00F05356">
        <w:rPr>
          <w:i/>
          <w:lang w:val="es-ES"/>
        </w:rPr>
        <w:t>7</w:t>
      </w:r>
      <w:r w:rsidR="00F05356">
        <w:rPr>
          <w:lang w:val="es-ES"/>
        </w:rPr>
        <w:t>)</w:t>
      </w:r>
      <w:r w:rsidR="00740031">
        <w:t>.</w:t>
      </w:r>
    </w:p>
  </w:footnote>
  <w:footnote w:id="15">
    <w:p w14:paraId="07625652" w14:textId="1AD6C21E" w:rsidR="005D753C" w:rsidRDefault="005D753C" w:rsidP="005D753C">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w:t>
      </w:r>
      <w:r>
        <w:rPr>
          <w:lang w:val="es-ES"/>
        </w:rPr>
        <w:t xml:space="preserve"> § 64.606(a)(2)(ii)(A)(</w:t>
      </w:r>
      <w:r>
        <w:rPr>
          <w:i/>
          <w:lang w:val="es-ES"/>
        </w:rPr>
        <w:t>4</w:t>
      </w:r>
      <w:r>
        <w:rPr>
          <w:lang w:val="es-ES"/>
        </w:rPr>
        <w:t>)</w:t>
      </w:r>
      <w:r>
        <w:t xml:space="preserve">.  </w:t>
      </w:r>
    </w:p>
  </w:footnote>
  <w:footnote w:id="16">
    <w:p w14:paraId="62963259" w14:textId="1C75D070" w:rsidR="00214B2A" w:rsidRPr="003E1D9C" w:rsidRDefault="00214B2A" w:rsidP="00214B2A">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 xml:space="preserve">. </w:t>
      </w:r>
      <w:r>
        <w:rPr>
          <w:lang w:val="es-ES"/>
        </w:rPr>
        <w:t>§ 64.606(a)(2)(ii)(A)(</w:t>
      </w:r>
      <w:r>
        <w:rPr>
          <w:i/>
          <w:lang w:val="es-ES"/>
        </w:rPr>
        <w:t>8</w:t>
      </w:r>
      <w:r>
        <w:rPr>
          <w:lang w:val="es-ES"/>
        </w:rPr>
        <w:t>)</w:t>
      </w:r>
      <w:r w:rsidRPr="003E1D9C">
        <w:t xml:space="preserve">.  </w:t>
      </w:r>
    </w:p>
  </w:footnote>
  <w:footnote w:id="17">
    <w:p w14:paraId="371660C4" w14:textId="1C8B061A" w:rsidR="00F64B67" w:rsidRDefault="00F64B67">
      <w:pPr>
        <w:pStyle w:val="FootnoteText"/>
      </w:pPr>
      <w:r>
        <w:rPr>
          <w:rStyle w:val="FootnoteReference"/>
        </w:rPr>
        <w:footnoteRef/>
      </w:r>
      <w:r w:rsidR="00B04BAA">
        <w:t xml:space="preserve"> </w:t>
      </w:r>
      <w:r w:rsidR="004F374F">
        <w:rPr>
          <w:i/>
          <w:lang w:val="es-ES"/>
        </w:rPr>
        <w:t>I</w:t>
      </w:r>
      <w:r w:rsidR="004F374F" w:rsidRPr="004F374F">
        <w:rPr>
          <w:i/>
          <w:lang w:val="es-ES"/>
        </w:rPr>
        <w:t>d</w:t>
      </w:r>
      <w:r w:rsidR="004F374F">
        <w:rPr>
          <w:lang w:val="es-ES"/>
        </w:rPr>
        <w:t xml:space="preserve">. </w:t>
      </w:r>
      <w:r w:rsidR="00B04BAA">
        <w:rPr>
          <w:lang w:val="es-ES"/>
        </w:rPr>
        <w:t>§ 64.606(a)(2)(ii)(B)</w:t>
      </w:r>
      <w:r w:rsidR="00740031">
        <w:t>.</w:t>
      </w:r>
    </w:p>
  </w:footnote>
  <w:footnote w:id="18">
    <w:p w14:paraId="21FC3BCD" w14:textId="7CCF813B" w:rsidR="00E71818" w:rsidRDefault="00E71818">
      <w:pPr>
        <w:pStyle w:val="FootnoteText"/>
      </w:pPr>
      <w:r>
        <w:rPr>
          <w:rStyle w:val="FootnoteReference"/>
        </w:rPr>
        <w:footnoteRef/>
      </w:r>
      <w:r w:rsidDel="00B04BAA">
        <w:t xml:space="preserve"> </w:t>
      </w:r>
      <w:r w:rsidR="004F374F">
        <w:rPr>
          <w:i/>
          <w:lang w:val="es-ES"/>
        </w:rPr>
        <w:t>I</w:t>
      </w:r>
      <w:r w:rsidR="004F374F" w:rsidRPr="004F374F">
        <w:rPr>
          <w:i/>
          <w:lang w:val="es-ES"/>
        </w:rPr>
        <w:t>d</w:t>
      </w:r>
      <w:r w:rsidR="004F374F">
        <w:rPr>
          <w:lang w:val="es-ES"/>
        </w:rPr>
        <w:t>.</w:t>
      </w:r>
    </w:p>
  </w:footnote>
  <w:footnote w:id="19">
    <w:p w14:paraId="648EF060" w14:textId="745C690F" w:rsidR="003E1D9C" w:rsidRDefault="003E1D9C">
      <w:pPr>
        <w:pStyle w:val="FootnoteText"/>
      </w:pPr>
      <w:r>
        <w:rPr>
          <w:rStyle w:val="FootnoteReference"/>
        </w:rPr>
        <w:footnoteRef/>
      </w:r>
      <w:r w:rsidR="00E71818">
        <w:t xml:space="preserve"> </w:t>
      </w:r>
      <w:r w:rsidR="004F374F">
        <w:rPr>
          <w:i/>
          <w:lang w:val="es-ES"/>
        </w:rPr>
        <w:t>I</w:t>
      </w:r>
      <w:r w:rsidR="004F374F" w:rsidRPr="004F374F">
        <w:rPr>
          <w:i/>
          <w:lang w:val="es-ES"/>
        </w:rPr>
        <w:t>d</w:t>
      </w:r>
      <w:r w:rsidR="004F374F">
        <w:rPr>
          <w:lang w:val="es-ES"/>
        </w:rPr>
        <w:t xml:space="preserve">. </w:t>
      </w:r>
      <w:r w:rsidR="00E71818">
        <w:rPr>
          <w:lang w:val="es-ES"/>
        </w:rPr>
        <w:t>§ 64.606(a)(2)(ii)(C)</w:t>
      </w:r>
      <w:r w:rsidR="00740031">
        <w:t>.</w:t>
      </w:r>
    </w:p>
  </w:footnote>
  <w:footnote w:id="20">
    <w:p w14:paraId="5AA888F6" w14:textId="30447167" w:rsidR="00F64B67" w:rsidRDefault="00F64B67">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 xml:space="preserve">. </w:t>
      </w:r>
      <w:r w:rsidR="00214B2A">
        <w:rPr>
          <w:lang w:val="es-ES"/>
        </w:rPr>
        <w:t>§ 64.606(a)(2)(ii)(E)</w:t>
      </w:r>
      <w:r w:rsidR="00214B2A">
        <w:t>.</w:t>
      </w:r>
      <w:r w:rsidR="00450EE9">
        <w:t xml:space="preserve">  </w:t>
      </w:r>
    </w:p>
  </w:footnote>
  <w:footnote w:id="21">
    <w:p w14:paraId="34021143" w14:textId="1C41352D" w:rsidR="00E10374" w:rsidRDefault="00E10374" w:rsidP="00E10374">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 xml:space="preserve">. </w:t>
      </w:r>
      <w:r>
        <w:t>§ 64.606(a)(2)(iii).</w:t>
      </w:r>
    </w:p>
  </w:footnote>
  <w:footnote w:id="22">
    <w:p w14:paraId="3BA2C04B" w14:textId="3666AB82" w:rsidR="00E10374" w:rsidRDefault="00E10374" w:rsidP="00E10374">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 xml:space="preserve">. </w:t>
      </w:r>
      <w:r>
        <w:t>§ 64.606(a)(2)(iv).</w:t>
      </w:r>
    </w:p>
  </w:footnote>
  <w:footnote w:id="23">
    <w:p w14:paraId="3043869F" w14:textId="5ADCFB1F" w:rsidR="00E10374" w:rsidRDefault="00E10374">
      <w:pPr>
        <w:pStyle w:val="FootnoteText"/>
      </w:pPr>
      <w:r>
        <w:rPr>
          <w:rStyle w:val="FootnoteReference"/>
        </w:rPr>
        <w:footnoteRef/>
      </w:r>
      <w:r>
        <w:t xml:space="preserve"> </w:t>
      </w:r>
      <w:r w:rsidR="004F374F">
        <w:rPr>
          <w:i/>
          <w:lang w:val="es-ES"/>
        </w:rPr>
        <w:t>I</w:t>
      </w:r>
      <w:r w:rsidR="004F374F" w:rsidRPr="004F374F">
        <w:rPr>
          <w:i/>
          <w:lang w:val="es-ES"/>
        </w:rPr>
        <w:t>d</w:t>
      </w:r>
      <w:r w:rsidR="004F374F">
        <w:rPr>
          <w:lang w:val="es-ES"/>
        </w:rPr>
        <w:t xml:space="preserve">. </w:t>
      </w:r>
      <w:r>
        <w:t>§ 64.606(a)(2)(v).</w:t>
      </w:r>
    </w:p>
  </w:footnote>
  <w:footnote w:id="24">
    <w:p w14:paraId="0E9B2966" w14:textId="702F83A2" w:rsidR="00667BB6" w:rsidRDefault="00667BB6" w:rsidP="00667BB6">
      <w:pPr>
        <w:pStyle w:val="FootnoteText"/>
      </w:pPr>
      <w:r>
        <w:rPr>
          <w:rStyle w:val="FootnoteReference"/>
        </w:rPr>
        <w:footnoteRef/>
      </w:r>
      <w:r>
        <w:t xml:space="preserve"> </w:t>
      </w:r>
      <w:r w:rsidRPr="006E1A95">
        <w:rPr>
          <w:i/>
        </w:rPr>
        <w:t>Internet-based TRS Certification Order</w:t>
      </w:r>
      <w:r w:rsidRPr="006E1A95">
        <w:t>, 26 FCC Rcd at 10914</w:t>
      </w:r>
      <w:r>
        <w:t>-15, para.</w:t>
      </w:r>
      <w:r w:rsidRPr="006E1A95">
        <w:t xml:space="preserve"> 37.  </w:t>
      </w:r>
      <w:r w:rsidR="00A650FA" w:rsidRPr="002F3F64">
        <w:t>Such conditional certifications are granted without prejudice to the Commission’s final determination of the applicant’s qualifications and thus preserve the Commission’s ability to fully review an application for certification on the merits</w:t>
      </w:r>
      <w:r w:rsidR="00A650FA">
        <w:t xml:space="preserve">.  </w:t>
      </w:r>
      <w:r w:rsidRPr="006E1A95">
        <w:rPr>
          <w:i/>
        </w:rPr>
        <w:t>Id</w:t>
      </w:r>
      <w:r w:rsidRPr="006E1A95">
        <w:t>. at 1091</w:t>
      </w:r>
      <w:r>
        <w:t>4, para.</w:t>
      </w:r>
      <w:r w:rsidRPr="006E1A95">
        <w:t xml:space="preserve"> 37</w:t>
      </w:r>
      <w:r>
        <w:t>;</w:t>
      </w:r>
      <w:r>
        <w:rPr>
          <w:i/>
        </w:rPr>
        <w:t xml:space="preserve"> see also Conditional Grant</w:t>
      </w:r>
      <w:r w:rsidRPr="00DE667F">
        <w:t>, 29 F</w:t>
      </w:r>
      <w:r>
        <w:t>CC Rcd at</w:t>
      </w:r>
      <w:r w:rsidRPr="00DE667F">
        <w:t xml:space="preserve"> </w:t>
      </w:r>
      <w:r>
        <w:t>15958</w:t>
      </w:r>
      <w:r w:rsidRPr="00DE667F">
        <w:t xml:space="preserve">.  </w:t>
      </w:r>
    </w:p>
  </w:footnote>
  <w:footnote w:id="25">
    <w:p w14:paraId="718FF456" w14:textId="77777777" w:rsidR="00BC1A54" w:rsidRDefault="00BC1A54">
      <w:pPr>
        <w:pStyle w:val="FootnoteText"/>
      </w:pPr>
      <w:r>
        <w:rPr>
          <w:rStyle w:val="FootnoteReference"/>
        </w:rPr>
        <w:footnoteRef/>
      </w:r>
      <w:r>
        <w:t xml:space="preserve"> </w:t>
      </w:r>
      <w:r w:rsidRPr="00BC1A54">
        <w:t>47 CFR § 64.606(g).</w:t>
      </w:r>
    </w:p>
  </w:footnote>
  <w:footnote w:id="26">
    <w:p w14:paraId="3A9D6F9E" w14:textId="67F6A47C" w:rsidR="002F3F64" w:rsidRDefault="002F3F64">
      <w:pPr>
        <w:pStyle w:val="FootnoteText"/>
      </w:pPr>
      <w:r>
        <w:rPr>
          <w:rStyle w:val="FootnoteReference"/>
        </w:rPr>
        <w:footnoteRef/>
      </w:r>
      <w:r>
        <w:t xml:space="preserve"> </w:t>
      </w:r>
      <w:r w:rsidRPr="00CA5308">
        <w:rPr>
          <w:i/>
        </w:rPr>
        <w:t>See</w:t>
      </w:r>
      <w:r>
        <w:t xml:space="preserve"> </w:t>
      </w:r>
      <w:r w:rsidR="00D648AE">
        <w:rPr>
          <w:i/>
          <w:lang w:val="es-ES"/>
        </w:rPr>
        <w:t>i</w:t>
      </w:r>
      <w:r w:rsidR="00D648AE" w:rsidRPr="004F374F">
        <w:rPr>
          <w:i/>
          <w:lang w:val="es-ES"/>
        </w:rPr>
        <w:t>d</w:t>
      </w:r>
      <w:r w:rsidR="00D648AE">
        <w:rPr>
          <w:lang w:val="es-ES"/>
        </w:rPr>
        <w:t xml:space="preserve">. </w:t>
      </w:r>
      <w:r w:rsidR="00D648AE" w:rsidRPr="00BC1A54">
        <w:t xml:space="preserve">§ </w:t>
      </w:r>
      <w:r>
        <w:t>64.604(c)(13).</w:t>
      </w:r>
    </w:p>
  </w:footnote>
  <w:footnote w:id="27">
    <w:p w14:paraId="44CFDB49" w14:textId="77777777" w:rsidR="00667BB6" w:rsidRDefault="00667BB6" w:rsidP="00667BB6">
      <w:pPr>
        <w:pStyle w:val="FootnoteText"/>
      </w:pPr>
      <w:r w:rsidRPr="000561AF">
        <w:rPr>
          <w:rStyle w:val="FootnoteReference"/>
        </w:rPr>
        <w:footnoteRef/>
      </w:r>
      <w:r w:rsidRPr="000561AF">
        <w:t xml:space="preserve"> </w:t>
      </w:r>
      <w:r w:rsidRPr="000561AF">
        <w:rPr>
          <w:i/>
        </w:rPr>
        <w:t>See</w:t>
      </w:r>
      <w:r w:rsidRPr="000561AF">
        <w:t xml:space="preserve"> </w:t>
      </w:r>
      <w:r>
        <w:t xml:space="preserve">Amended and Restated Video Relay Service </w:t>
      </w:r>
      <w:r w:rsidRPr="005B5E73">
        <w:t>Certification Application</w:t>
      </w:r>
      <w:r>
        <w:t xml:space="preserve"> of Convo Communications, LLC, CG Docket No. 10-51 (filed Nov. 4, 2011) (Certification Application)</w:t>
      </w:r>
      <w:r w:rsidR="00DE735E">
        <w:t>.</w:t>
      </w:r>
    </w:p>
  </w:footnote>
  <w:footnote w:id="28">
    <w:p w14:paraId="751C6605" w14:textId="77777777" w:rsidR="00667BB6" w:rsidRPr="005B3EF2" w:rsidRDefault="00667BB6" w:rsidP="00667BB6">
      <w:pPr>
        <w:pStyle w:val="FootnoteText"/>
      </w:pPr>
      <w:r>
        <w:rPr>
          <w:rStyle w:val="FootnoteReference"/>
        </w:rPr>
        <w:footnoteRef/>
      </w:r>
      <w:r>
        <w:t xml:space="preserve"> </w:t>
      </w:r>
      <w:r>
        <w:rPr>
          <w:i/>
        </w:rPr>
        <w:t>Conditional Grant</w:t>
      </w:r>
      <w:r>
        <w:t xml:space="preserve">, </w:t>
      </w:r>
      <w:r w:rsidRPr="00DE667F">
        <w:t>29 F</w:t>
      </w:r>
      <w:r>
        <w:t>CC Rcd at</w:t>
      </w:r>
      <w:r w:rsidRPr="00DE667F">
        <w:t xml:space="preserve"> </w:t>
      </w:r>
      <w:r>
        <w:t>15958.</w:t>
      </w:r>
      <w:r w:rsidR="00491FD9">
        <w:t xml:space="preserve">  </w:t>
      </w:r>
      <w:r w:rsidR="00D742D0">
        <w:t xml:space="preserve">  </w:t>
      </w:r>
      <w:r w:rsidR="00D742D0" w:rsidRPr="00D742D0">
        <w:t xml:space="preserve">  </w:t>
      </w:r>
      <w:r w:rsidR="00D742D0">
        <w:t xml:space="preserve"> </w:t>
      </w:r>
    </w:p>
  </w:footnote>
  <w:footnote w:id="29">
    <w:p w14:paraId="5D82BA3C" w14:textId="0119658D" w:rsidR="007A58B8" w:rsidRDefault="007A58B8">
      <w:pPr>
        <w:pStyle w:val="FootnoteText"/>
      </w:pPr>
      <w:r>
        <w:rPr>
          <w:rStyle w:val="FootnoteReference"/>
        </w:rPr>
        <w:footnoteRef/>
      </w:r>
      <w:r>
        <w:t xml:space="preserve"> </w:t>
      </w:r>
      <w:r w:rsidR="00D648AE">
        <w:rPr>
          <w:i/>
          <w:lang w:val="es-ES"/>
        </w:rPr>
        <w:t>I</w:t>
      </w:r>
      <w:r w:rsidR="00D648AE" w:rsidRPr="004F374F">
        <w:rPr>
          <w:i/>
          <w:lang w:val="es-ES"/>
        </w:rPr>
        <w:t>d</w:t>
      </w:r>
      <w:r w:rsidR="00D648AE">
        <w:rPr>
          <w:lang w:val="es-ES"/>
        </w:rPr>
        <w:t xml:space="preserve">. </w:t>
      </w:r>
      <w:r w:rsidRPr="00D742D0">
        <w:t xml:space="preserve">at </w:t>
      </w:r>
      <w:r w:rsidR="003B5126">
        <w:t>15956</w:t>
      </w:r>
      <w:r w:rsidRPr="00D742D0">
        <w:t>.</w:t>
      </w:r>
    </w:p>
  </w:footnote>
  <w:footnote w:id="30">
    <w:p w14:paraId="7B2F89B4" w14:textId="5207ABC7" w:rsidR="00DE735E" w:rsidRDefault="00DE735E">
      <w:pPr>
        <w:pStyle w:val="FootnoteText"/>
      </w:pPr>
      <w:r>
        <w:rPr>
          <w:rStyle w:val="FootnoteReference"/>
        </w:rPr>
        <w:footnoteRef/>
      </w:r>
      <w:r w:rsidR="00621BB1" w:rsidRPr="00621BB1">
        <w:t xml:space="preserve"> </w:t>
      </w:r>
      <w:r w:rsidR="00621BB1" w:rsidRPr="00DE735E">
        <w:t>Convo Communications, LLC, Annual Report of Compliance with the Non-Waived Mandatory Minimum Standards Applicable to VRS as Set Forth in Section 64.604, CG Docket Nos. 03-123, 10-51 (filed Nov. 15, 2012) (2012 Annual Report)</w:t>
      </w:r>
      <w:r w:rsidRPr="00DE735E">
        <w:t>; Convo Communications, LLC, Annual Report of Compliance with the Regulations Applicable to VRS as Set Forth in Section 64.604, CG Docket Nos. 03-123, 10-51 (filed Nov. 15, 2013) (2013 Annual Report); Annual Report of Convo Communications, CG Docket Nos. 03-123, 10-51 (filed Nov. 13, 2014) (2014 Annual Report); Annual Report of Convo Communications, LLC, CG Docket Nos. 03-123, 10-51 (filed Nov. 11, 2015) (2015 Annual Report); Annual Report of Convo Communications, LLC, CG Docket Nos. 03-123, 10-51 (filed Nov. 15, 2016) (2016 Annual Report).</w:t>
      </w:r>
      <w:r w:rsidR="00BC1A54">
        <w:t xml:space="preserve"> </w:t>
      </w:r>
    </w:p>
  </w:footnote>
  <w:footnote w:id="31">
    <w:p w14:paraId="69C2AC88" w14:textId="4FB24404" w:rsidR="00DF3C78" w:rsidRDefault="00DF3C78">
      <w:pPr>
        <w:pStyle w:val="FootnoteText"/>
      </w:pPr>
      <w:r>
        <w:rPr>
          <w:rStyle w:val="FootnoteReference"/>
        </w:rPr>
        <w:footnoteRef/>
      </w:r>
      <w:r>
        <w:t xml:space="preserve"> </w:t>
      </w:r>
      <w:r w:rsidR="003D49AF">
        <w:t xml:space="preserve">Certification Application at 11.  </w:t>
      </w:r>
    </w:p>
  </w:footnote>
  <w:footnote w:id="32">
    <w:p w14:paraId="6C61DE35" w14:textId="57DFC06C" w:rsidR="00667BB6" w:rsidRDefault="00667BB6" w:rsidP="00667BB6">
      <w:pPr>
        <w:pStyle w:val="FootnoteText"/>
      </w:pPr>
      <w:r>
        <w:rPr>
          <w:rStyle w:val="FootnoteReference"/>
        </w:rPr>
        <w:footnoteRef/>
      </w:r>
      <w:r>
        <w:t xml:space="preserve"> </w:t>
      </w:r>
      <w:r w:rsidR="00FB7851">
        <w:rPr>
          <w:i/>
        </w:rPr>
        <w:t>See</w:t>
      </w:r>
      <w:r w:rsidR="00FB7851">
        <w:t xml:space="preserve"> </w:t>
      </w:r>
      <w:r w:rsidR="00D648AE">
        <w:rPr>
          <w:i/>
          <w:lang w:val="es-ES"/>
        </w:rPr>
        <w:t>i</w:t>
      </w:r>
      <w:r w:rsidR="00D648AE" w:rsidRPr="004F374F">
        <w:rPr>
          <w:i/>
          <w:lang w:val="es-ES"/>
        </w:rPr>
        <w:t>d</w:t>
      </w:r>
      <w:r w:rsidR="00D648AE">
        <w:rPr>
          <w:lang w:val="es-ES"/>
        </w:rPr>
        <w:t xml:space="preserve">. </w:t>
      </w:r>
      <w:r>
        <w:t>at 11</w:t>
      </w:r>
      <w:r w:rsidR="00FB7851">
        <w:t>-</w:t>
      </w:r>
      <w:r>
        <w:t>26</w:t>
      </w:r>
      <w:r w:rsidR="00B1248E">
        <w:t>; 2016 Annual Report at 2-7</w:t>
      </w:r>
      <w:r w:rsidR="0083514A">
        <w:t xml:space="preserve">; </w:t>
      </w:r>
      <w:r w:rsidR="0083514A">
        <w:rPr>
          <w:i/>
        </w:rPr>
        <w:t>see also</w:t>
      </w:r>
      <w:r w:rsidR="0083514A">
        <w:t xml:space="preserve"> 47 CFR § 64.606(a)(2)(ii)</w:t>
      </w:r>
      <w:r w:rsidR="00B1248E">
        <w:t xml:space="preserve">.  </w:t>
      </w:r>
    </w:p>
  </w:footnote>
  <w:footnote w:id="33">
    <w:p w14:paraId="01967A50" w14:textId="46597E81" w:rsidR="00667BB6" w:rsidRDefault="00667BB6" w:rsidP="00667BB6">
      <w:pPr>
        <w:pStyle w:val="FootnoteText"/>
      </w:pPr>
      <w:r>
        <w:rPr>
          <w:rStyle w:val="FootnoteReference"/>
        </w:rPr>
        <w:footnoteRef/>
      </w:r>
      <w:r>
        <w:t xml:space="preserve"> Certification Application at 29-32, Exhs. 2-5, 6(A)-(K); </w:t>
      </w:r>
      <w:r w:rsidR="000C77BE">
        <w:t>2012 Annual Report at 12, Exhs. A-C</w:t>
      </w:r>
      <w:r w:rsidR="00B1248E">
        <w:t xml:space="preserve">; 2013 Annual Report at 9, Exh. A; </w:t>
      </w:r>
      <w:r w:rsidR="000C77BE">
        <w:t>2014 Annual Report at 8, Exh. A; 2015</w:t>
      </w:r>
      <w:r w:rsidR="00D648AE">
        <w:t>;</w:t>
      </w:r>
      <w:r w:rsidR="000C77BE">
        <w:t xml:space="preserve"> Annual Report at 9, Exh. A; </w:t>
      </w:r>
      <w:r w:rsidR="00FB7851">
        <w:rPr>
          <w:i/>
        </w:rPr>
        <w:t>see</w:t>
      </w:r>
      <w:r w:rsidR="00DB1B6B">
        <w:rPr>
          <w:i/>
        </w:rPr>
        <w:t xml:space="preserve"> also</w:t>
      </w:r>
      <w:r w:rsidR="00FB7851">
        <w:t xml:space="preserve"> 47 CFR §§ 64.606(a)(2)(ii)(A)(2)-(4)</w:t>
      </w:r>
      <w:r w:rsidR="00DF5F62">
        <w:t>,</w:t>
      </w:r>
      <w:r w:rsidR="00FB7851">
        <w:t xml:space="preserve"> (6)-(7)</w:t>
      </w:r>
      <w:r>
        <w:t>.</w:t>
      </w:r>
    </w:p>
  </w:footnote>
  <w:footnote w:id="34">
    <w:p w14:paraId="2B6EB0B3" w14:textId="237CA9C6" w:rsidR="00816E03" w:rsidRDefault="00816E03">
      <w:pPr>
        <w:pStyle w:val="FootnoteText"/>
      </w:pPr>
      <w:r>
        <w:rPr>
          <w:rStyle w:val="FootnoteReference"/>
        </w:rPr>
        <w:footnoteRef/>
      </w:r>
      <w:r>
        <w:t xml:space="preserve"> </w:t>
      </w:r>
      <w:r w:rsidR="003D49AF">
        <w:t>Cer</w:t>
      </w:r>
      <w:r w:rsidR="00AF0A93">
        <w:t>tification Application at 16-18,</w:t>
      </w:r>
      <w:r w:rsidR="003D49AF">
        <w:t xml:space="preserve"> Exhs. 6(A)-(K).</w:t>
      </w:r>
    </w:p>
  </w:footnote>
  <w:footnote w:id="35">
    <w:p w14:paraId="17E533F3" w14:textId="23F4085A" w:rsidR="00621BB1" w:rsidRDefault="00621BB1">
      <w:pPr>
        <w:pStyle w:val="FootnoteText"/>
      </w:pPr>
      <w:r>
        <w:rPr>
          <w:rStyle w:val="FootnoteReference"/>
        </w:rPr>
        <w:footnoteRef/>
      </w:r>
      <w:r>
        <w:t xml:space="preserve"> </w:t>
      </w:r>
      <w:r w:rsidR="00355BBC">
        <w:t>In its 2012 Annual Report, Convo stated that it began using an in-house ACD platform on June 21, 2012.</w:t>
      </w:r>
      <w:r w:rsidR="00AF0A93">
        <w:rPr>
          <w:iCs/>
          <w:color w:val="1F497D"/>
        </w:rPr>
        <w:t xml:space="preserve">  </w:t>
      </w:r>
      <w:r>
        <w:t>2012</w:t>
      </w:r>
      <w:r w:rsidRPr="00DE735E">
        <w:t xml:space="preserve"> Annual Report </w:t>
      </w:r>
      <w:r w:rsidR="00355BBC">
        <w:t>at</w:t>
      </w:r>
      <w:r w:rsidR="003D49AF">
        <w:t xml:space="preserve"> 6; </w:t>
      </w:r>
      <w:r w:rsidR="003D49AF">
        <w:rPr>
          <w:i/>
        </w:rPr>
        <w:t>see</w:t>
      </w:r>
      <w:r w:rsidR="002D74EE">
        <w:rPr>
          <w:i/>
        </w:rPr>
        <w:t xml:space="preserve"> also</w:t>
      </w:r>
      <w:r w:rsidR="003D49AF">
        <w:rPr>
          <w:i/>
        </w:rPr>
        <w:t xml:space="preserve"> </w:t>
      </w:r>
      <w:r w:rsidR="003D49AF">
        <w:t>Certification Application at Exhs. 6(E)-(F) (attaching ACD license agreements in effect at the time of the application).</w:t>
      </w:r>
    </w:p>
  </w:footnote>
  <w:footnote w:id="36">
    <w:p w14:paraId="04DF07A3" w14:textId="77777777" w:rsidR="00667BB6" w:rsidRDefault="00667BB6" w:rsidP="00667BB6">
      <w:pPr>
        <w:pStyle w:val="FootnoteText"/>
      </w:pPr>
      <w:r>
        <w:rPr>
          <w:rStyle w:val="FootnoteReference"/>
        </w:rPr>
        <w:footnoteRef/>
      </w:r>
      <w:r>
        <w:t xml:space="preserve"> </w:t>
      </w:r>
      <w:r w:rsidR="00A30086">
        <w:t xml:space="preserve">Certification Application at </w:t>
      </w:r>
      <w:r>
        <w:t>Exhs. 7-7(E);</w:t>
      </w:r>
      <w:r w:rsidR="004E543C">
        <w:t xml:space="preserve"> 2016 Annual Report</w:t>
      </w:r>
      <w:r w:rsidR="00B1248E">
        <w:t xml:space="preserve"> at 16</w:t>
      </w:r>
      <w:r w:rsidR="000C77BE">
        <w:t>,</w:t>
      </w:r>
      <w:r w:rsidR="00B1248E">
        <w:t xml:space="preserve"> Exhs. A, D</w:t>
      </w:r>
      <w:r w:rsidR="00DB1B6B">
        <w:t xml:space="preserve">; </w:t>
      </w:r>
      <w:r w:rsidR="00DB1B6B">
        <w:rPr>
          <w:i/>
        </w:rPr>
        <w:t>see</w:t>
      </w:r>
      <w:r w:rsidR="00DB1B6B">
        <w:t xml:space="preserve"> 47 CFR § 64.606(a)(2)(ii)(B)</w:t>
      </w:r>
      <w:r>
        <w:t xml:space="preserve">. </w:t>
      </w:r>
    </w:p>
  </w:footnote>
  <w:footnote w:id="37">
    <w:p w14:paraId="7B34B102" w14:textId="77777777" w:rsidR="00667BB6" w:rsidRDefault="00667BB6" w:rsidP="00667BB6">
      <w:pPr>
        <w:pStyle w:val="FootnoteText"/>
      </w:pPr>
      <w:r>
        <w:rPr>
          <w:rStyle w:val="FootnoteReference"/>
        </w:rPr>
        <w:footnoteRef/>
      </w:r>
      <w:r>
        <w:t xml:space="preserve"> </w:t>
      </w:r>
      <w:r w:rsidR="00A30086">
        <w:t xml:space="preserve">Certification Application at </w:t>
      </w:r>
      <w:r>
        <w:t xml:space="preserve">Exh. 8; </w:t>
      </w:r>
      <w:r w:rsidR="00812472">
        <w:t xml:space="preserve">2016 Annual Report at Exh. E; </w:t>
      </w:r>
      <w:r>
        <w:rPr>
          <w:i/>
        </w:rPr>
        <w:t>see</w:t>
      </w:r>
      <w:r w:rsidR="00911AD0">
        <w:rPr>
          <w:i/>
        </w:rPr>
        <w:t xml:space="preserve"> also</w:t>
      </w:r>
      <w:r>
        <w:t xml:space="preserve"> 47 CFR § 64.606(a)(2)(ii)(C).</w:t>
      </w:r>
    </w:p>
  </w:footnote>
  <w:footnote w:id="38">
    <w:p w14:paraId="2F77994A" w14:textId="77777777" w:rsidR="00667BB6" w:rsidRDefault="00667BB6" w:rsidP="00667BB6">
      <w:pPr>
        <w:pStyle w:val="FootnoteText"/>
      </w:pPr>
      <w:r>
        <w:rPr>
          <w:rStyle w:val="FootnoteReference"/>
        </w:rPr>
        <w:footnoteRef/>
      </w:r>
      <w:r>
        <w:t xml:space="preserve"> </w:t>
      </w:r>
      <w:r w:rsidR="00A30086">
        <w:t xml:space="preserve">Certification Application at </w:t>
      </w:r>
      <w:r>
        <w:t xml:space="preserve">Exh. 9; </w:t>
      </w:r>
      <w:r w:rsidR="00812472">
        <w:t xml:space="preserve">2016 Annual Report at Exh. F; </w:t>
      </w:r>
      <w:r>
        <w:rPr>
          <w:i/>
        </w:rPr>
        <w:t>see</w:t>
      </w:r>
      <w:r w:rsidR="00911AD0">
        <w:rPr>
          <w:i/>
        </w:rPr>
        <w:t xml:space="preserve"> also</w:t>
      </w:r>
      <w:r>
        <w:t xml:space="preserve"> 47 CFR § 64.606(a)(2)(ii)(E).</w:t>
      </w:r>
    </w:p>
  </w:footnote>
  <w:footnote w:id="39">
    <w:p w14:paraId="1A407457" w14:textId="77777777" w:rsidR="00667BB6" w:rsidRDefault="00667BB6" w:rsidP="00667BB6">
      <w:pPr>
        <w:pStyle w:val="FootnoteText"/>
      </w:pPr>
      <w:r>
        <w:rPr>
          <w:rStyle w:val="FootnoteReference"/>
        </w:rPr>
        <w:footnoteRef/>
      </w:r>
      <w:r>
        <w:t xml:space="preserve"> Certification Application at 32; </w:t>
      </w:r>
      <w:r w:rsidR="00812472">
        <w:t xml:space="preserve">2016 Annual Report at 9; </w:t>
      </w:r>
      <w:r>
        <w:rPr>
          <w:i/>
        </w:rPr>
        <w:t>see</w:t>
      </w:r>
      <w:r w:rsidR="00882EFE">
        <w:rPr>
          <w:i/>
        </w:rPr>
        <w:t xml:space="preserve"> also</w:t>
      </w:r>
      <w:r>
        <w:t xml:space="preserve"> 47 CFR § 64.606(a)(2)(iii).</w:t>
      </w:r>
    </w:p>
  </w:footnote>
  <w:footnote w:id="40">
    <w:p w14:paraId="35BBF9E2" w14:textId="77777777" w:rsidR="00667BB6" w:rsidRDefault="00667BB6" w:rsidP="00667BB6">
      <w:pPr>
        <w:pStyle w:val="FootnoteText"/>
      </w:pPr>
      <w:r>
        <w:rPr>
          <w:rStyle w:val="FootnoteReference"/>
        </w:rPr>
        <w:footnoteRef/>
      </w:r>
      <w:r>
        <w:t xml:space="preserve"> Certification Application at 32; </w:t>
      </w:r>
      <w:r>
        <w:rPr>
          <w:i/>
        </w:rPr>
        <w:t>see</w:t>
      </w:r>
      <w:r w:rsidR="004853E1">
        <w:rPr>
          <w:i/>
        </w:rPr>
        <w:t xml:space="preserve"> also</w:t>
      </w:r>
      <w:r>
        <w:t xml:space="preserve"> 47 CFR § 64.606(a)(2)(iv).</w:t>
      </w:r>
    </w:p>
  </w:footnote>
  <w:footnote w:id="41">
    <w:p w14:paraId="08C98CDE" w14:textId="0C53D609" w:rsidR="00764A7E" w:rsidRDefault="00764A7E">
      <w:pPr>
        <w:pStyle w:val="FootnoteText"/>
      </w:pPr>
      <w:r>
        <w:rPr>
          <w:rStyle w:val="FootnoteReference"/>
        </w:rPr>
        <w:footnoteRef/>
      </w:r>
      <w:r>
        <w:t xml:space="preserve"> </w:t>
      </w:r>
      <w:r w:rsidR="003D49AF">
        <w:t>Certification Application at Exh. 1 (CEO Certification).</w:t>
      </w:r>
    </w:p>
  </w:footnote>
  <w:footnote w:id="42">
    <w:p w14:paraId="076E297F" w14:textId="3608D97E" w:rsidR="00667BB6" w:rsidRDefault="00667BB6" w:rsidP="00667BB6">
      <w:pPr>
        <w:pStyle w:val="FootnoteText"/>
        <w:rPr>
          <w:i/>
        </w:rPr>
      </w:pPr>
      <w:r>
        <w:rPr>
          <w:rStyle w:val="FootnoteReference"/>
        </w:rPr>
        <w:footnoteRef/>
      </w:r>
      <w:r>
        <w:t xml:space="preserve"> </w:t>
      </w:r>
      <w:r>
        <w:rPr>
          <w:i/>
        </w:rPr>
        <w:t>See</w:t>
      </w:r>
      <w:r>
        <w:t xml:space="preserve"> 47 CFR § 64.606(c)(2).</w:t>
      </w:r>
    </w:p>
  </w:footnote>
  <w:footnote w:id="43">
    <w:p w14:paraId="283AB12C" w14:textId="77777777" w:rsidR="00667BB6" w:rsidRDefault="00667BB6" w:rsidP="00667BB6">
      <w:pPr>
        <w:pStyle w:val="FootnoteText"/>
      </w:pPr>
      <w:r>
        <w:rPr>
          <w:rStyle w:val="FootnoteReference"/>
        </w:rPr>
        <w:footnoteRef/>
      </w:r>
      <w:r>
        <w:t xml:space="preserve"> </w:t>
      </w:r>
      <w:r w:rsidR="008F0DE1">
        <w:rPr>
          <w:i/>
        </w:rPr>
        <w:t xml:space="preserve">See </w:t>
      </w:r>
      <w:r>
        <w:rPr>
          <w:i/>
        </w:rPr>
        <w:t>Internet-based TRS Certification Order</w:t>
      </w:r>
      <w:r>
        <w:t>, 26 FCC Rcd at 10900, para. 2.</w:t>
      </w:r>
    </w:p>
  </w:footnote>
  <w:footnote w:id="44">
    <w:p w14:paraId="6EABBC20" w14:textId="77777777" w:rsidR="00667BB6" w:rsidRDefault="00667BB6" w:rsidP="00667BB6">
      <w:pPr>
        <w:pStyle w:val="FootnoteText"/>
      </w:pPr>
      <w:r>
        <w:rPr>
          <w:rStyle w:val="FootnoteReference"/>
        </w:rPr>
        <w:footnoteRef/>
      </w:r>
      <w:r>
        <w:t xml:space="preserve"> </w:t>
      </w:r>
      <w:r>
        <w:rPr>
          <w:i/>
        </w:rPr>
        <w:t xml:space="preserve">See </w:t>
      </w:r>
      <w:r>
        <w:t>47 CFR § 64.606(e)(2).</w:t>
      </w:r>
    </w:p>
  </w:footnote>
  <w:footnote w:id="45">
    <w:p w14:paraId="4D5CFAFB" w14:textId="6E6DCEBF" w:rsidR="00A15947" w:rsidRPr="001663F0" w:rsidRDefault="00A15947" w:rsidP="00A15947">
      <w:pPr>
        <w:pStyle w:val="FootnoteText"/>
      </w:pPr>
      <w:r w:rsidRPr="001663F0">
        <w:rPr>
          <w:rStyle w:val="FootnoteReference"/>
        </w:rPr>
        <w:footnoteRef/>
      </w:r>
      <w:r w:rsidRPr="001663F0">
        <w:t xml:space="preserve"> </w:t>
      </w:r>
      <w:r w:rsidRPr="006E1A95">
        <w:rPr>
          <w:i/>
        </w:rPr>
        <w:t>Internet-based TRS Certification Order</w:t>
      </w:r>
      <w:r w:rsidRPr="006E1A95">
        <w:t>, 26 FCC Rcd at 109</w:t>
      </w:r>
      <w:r w:rsidR="00D75121">
        <w:t>14</w:t>
      </w:r>
      <w:r>
        <w:t>, para. 36</w:t>
      </w:r>
      <w:r w:rsidRPr="001663F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FC367" w14:textId="77777777" w:rsidR="00DE609E" w:rsidRDefault="00DE6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4CDB9" w14:textId="77777777" w:rsidR="00DE609E" w:rsidRDefault="00DE6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1B95"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49116461" wp14:editId="3B44B6A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4629" w14:textId="77777777" w:rsidR="00D47505" w:rsidRDefault="00D47505" w:rsidP="00D47505">
                          <w:pPr>
                            <w:rPr>
                              <w:rFonts w:ascii="Arial" w:hAnsi="Arial"/>
                              <w:b/>
                            </w:rPr>
                          </w:pPr>
                          <w:r>
                            <w:rPr>
                              <w:rFonts w:ascii="Arial" w:hAnsi="Arial"/>
                              <w:b/>
                            </w:rPr>
                            <w:t>Federal Communications Commission</w:t>
                          </w:r>
                        </w:p>
                        <w:p w14:paraId="0E208876"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111FE120"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F04394"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rsidR="00D47505" w:rsidRDefault="00D47505" w:rsidP="00D47505">
                    <w:pPr>
                      <w:rPr>
                        <w:rFonts w:ascii="Arial" w:hAnsi="Arial"/>
                        <w:b/>
                      </w:rPr>
                    </w:pPr>
                    <w:r>
                      <w:rPr>
                        <w:rFonts w:ascii="Arial" w:hAnsi="Arial"/>
                        <w:b/>
                      </w:rPr>
                      <w:t>Federal Communications Commission</w:t>
                    </w:r>
                  </w:p>
                  <w:p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561F0CB6" wp14:editId="0037943D">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4045E5D1"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6F3E8DC6" wp14:editId="4DD1C5D0">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76C21F"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039E9F8C" wp14:editId="775B6F4F">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322BA"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53082CF6" w14:textId="7F82F1F0"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2800EC">
                            <w:rPr>
                              <w:rFonts w:ascii="Arial" w:hAnsi="Arial"/>
                              <w:b/>
                              <w:sz w:val="16"/>
                            </w:rPr>
                            <w:instrText>HYPERLINK "https://www.fcc.gov/"</w:instrText>
                          </w:r>
                          <w:r w:rsidR="002800EC">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7BB1A8B7"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637322BA"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53082CF6" w14:textId="7F82F1F0"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2800EC">
                      <w:rPr>
                        <w:rFonts w:ascii="Arial" w:hAnsi="Arial"/>
                        <w:b/>
                        <w:sz w:val="16"/>
                      </w:rPr>
                      <w:instrText>HYPERLINK "https://www.fcc.gov/"</w:instrText>
                    </w:r>
                    <w:r w:rsidR="002800EC">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7BB1A8B7"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7">
    <w:nsid w:val="63904BB5"/>
    <w:multiLevelType w:val="hybridMultilevel"/>
    <w:tmpl w:val="1A3A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C8"/>
    <w:rsid w:val="00002DC7"/>
    <w:rsid w:val="000035AE"/>
    <w:rsid w:val="000122D4"/>
    <w:rsid w:val="0003136D"/>
    <w:rsid w:val="00036039"/>
    <w:rsid w:val="00037F90"/>
    <w:rsid w:val="00040B5C"/>
    <w:rsid w:val="00066ADA"/>
    <w:rsid w:val="0007331B"/>
    <w:rsid w:val="000855B0"/>
    <w:rsid w:val="00085F2D"/>
    <w:rsid w:val="000875BF"/>
    <w:rsid w:val="00096D8C"/>
    <w:rsid w:val="000A5DB8"/>
    <w:rsid w:val="000B0C03"/>
    <w:rsid w:val="000C0B65"/>
    <w:rsid w:val="000C77BE"/>
    <w:rsid w:val="000D0AC2"/>
    <w:rsid w:val="000E05FE"/>
    <w:rsid w:val="000E3D42"/>
    <w:rsid w:val="00122BD5"/>
    <w:rsid w:val="0013376A"/>
    <w:rsid w:val="00133F79"/>
    <w:rsid w:val="00141DDD"/>
    <w:rsid w:val="00141F40"/>
    <w:rsid w:val="00152C21"/>
    <w:rsid w:val="001634FE"/>
    <w:rsid w:val="00194A66"/>
    <w:rsid w:val="001B749C"/>
    <w:rsid w:val="001C38D5"/>
    <w:rsid w:val="001C3AEA"/>
    <w:rsid w:val="001C3CA4"/>
    <w:rsid w:val="001D6841"/>
    <w:rsid w:val="001D6BCF"/>
    <w:rsid w:val="001E01CA"/>
    <w:rsid w:val="001E46EB"/>
    <w:rsid w:val="001F4488"/>
    <w:rsid w:val="00200B5A"/>
    <w:rsid w:val="00214B2A"/>
    <w:rsid w:val="00265067"/>
    <w:rsid w:val="00273149"/>
    <w:rsid w:val="00275CF5"/>
    <w:rsid w:val="002800EC"/>
    <w:rsid w:val="0028301F"/>
    <w:rsid w:val="00285017"/>
    <w:rsid w:val="002862D1"/>
    <w:rsid w:val="002A2D2E"/>
    <w:rsid w:val="002B1CDC"/>
    <w:rsid w:val="002C00E8"/>
    <w:rsid w:val="002D74EE"/>
    <w:rsid w:val="002D78BF"/>
    <w:rsid w:val="002E1CBD"/>
    <w:rsid w:val="002E743D"/>
    <w:rsid w:val="002F3F64"/>
    <w:rsid w:val="00324589"/>
    <w:rsid w:val="00331975"/>
    <w:rsid w:val="0034044B"/>
    <w:rsid w:val="00343749"/>
    <w:rsid w:val="00355BBC"/>
    <w:rsid w:val="003660ED"/>
    <w:rsid w:val="00386B9D"/>
    <w:rsid w:val="003957B2"/>
    <w:rsid w:val="003B0550"/>
    <w:rsid w:val="003B5126"/>
    <w:rsid w:val="003B694F"/>
    <w:rsid w:val="003C7CAF"/>
    <w:rsid w:val="003D49AF"/>
    <w:rsid w:val="003E1D9C"/>
    <w:rsid w:val="003F171C"/>
    <w:rsid w:val="00412FC5"/>
    <w:rsid w:val="00422276"/>
    <w:rsid w:val="004242F1"/>
    <w:rsid w:val="00443E6B"/>
    <w:rsid w:val="00445A00"/>
    <w:rsid w:val="00450DB0"/>
    <w:rsid w:val="00450EE9"/>
    <w:rsid w:val="00451B0F"/>
    <w:rsid w:val="00461217"/>
    <w:rsid w:val="004853E1"/>
    <w:rsid w:val="00491FD9"/>
    <w:rsid w:val="00497CDD"/>
    <w:rsid w:val="004C2EE3"/>
    <w:rsid w:val="004D2EE0"/>
    <w:rsid w:val="004E4A22"/>
    <w:rsid w:val="004E543C"/>
    <w:rsid w:val="004E75E5"/>
    <w:rsid w:val="004F374F"/>
    <w:rsid w:val="004F5F45"/>
    <w:rsid w:val="004F6382"/>
    <w:rsid w:val="00511968"/>
    <w:rsid w:val="005463D5"/>
    <w:rsid w:val="005475DA"/>
    <w:rsid w:val="0055614C"/>
    <w:rsid w:val="005660CF"/>
    <w:rsid w:val="00577AE1"/>
    <w:rsid w:val="00580F37"/>
    <w:rsid w:val="0059169E"/>
    <w:rsid w:val="005A10DA"/>
    <w:rsid w:val="005B20B1"/>
    <w:rsid w:val="005D1A02"/>
    <w:rsid w:val="005D2482"/>
    <w:rsid w:val="005D753C"/>
    <w:rsid w:val="005E02F2"/>
    <w:rsid w:val="005E14C2"/>
    <w:rsid w:val="005F1CBE"/>
    <w:rsid w:val="00607BA5"/>
    <w:rsid w:val="0061180A"/>
    <w:rsid w:val="00617C3B"/>
    <w:rsid w:val="00621BB1"/>
    <w:rsid w:val="006255CA"/>
    <w:rsid w:val="00625869"/>
    <w:rsid w:val="00626EB6"/>
    <w:rsid w:val="00655D03"/>
    <w:rsid w:val="00667315"/>
    <w:rsid w:val="00667BB6"/>
    <w:rsid w:val="006739AB"/>
    <w:rsid w:val="00683388"/>
    <w:rsid w:val="00683F84"/>
    <w:rsid w:val="006947F3"/>
    <w:rsid w:val="006A1F49"/>
    <w:rsid w:val="006A6A81"/>
    <w:rsid w:val="006B1456"/>
    <w:rsid w:val="006C1BB6"/>
    <w:rsid w:val="006E32BF"/>
    <w:rsid w:val="006F7393"/>
    <w:rsid w:val="0070224F"/>
    <w:rsid w:val="00702C88"/>
    <w:rsid w:val="007030BE"/>
    <w:rsid w:val="00703E96"/>
    <w:rsid w:val="007044EF"/>
    <w:rsid w:val="007115F7"/>
    <w:rsid w:val="007130A0"/>
    <w:rsid w:val="007136FE"/>
    <w:rsid w:val="00713E9A"/>
    <w:rsid w:val="00740031"/>
    <w:rsid w:val="00741B81"/>
    <w:rsid w:val="00764A7E"/>
    <w:rsid w:val="00785689"/>
    <w:rsid w:val="00786BFE"/>
    <w:rsid w:val="0078702A"/>
    <w:rsid w:val="0079754B"/>
    <w:rsid w:val="007A1E6D"/>
    <w:rsid w:val="007A58B8"/>
    <w:rsid w:val="007B0EB2"/>
    <w:rsid w:val="007B6769"/>
    <w:rsid w:val="007B6953"/>
    <w:rsid w:val="007C6E47"/>
    <w:rsid w:val="007E0A91"/>
    <w:rsid w:val="007F413A"/>
    <w:rsid w:val="00810B6F"/>
    <w:rsid w:val="00812472"/>
    <w:rsid w:val="00816E03"/>
    <w:rsid w:val="00822CE0"/>
    <w:rsid w:val="008256F0"/>
    <w:rsid w:val="0083514A"/>
    <w:rsid w:val="00841AB1"/>
    <w:rsid w:val="008603AE"/>
    <w:rsid w:val="00877984"/>
    <w:rsid w:val="00881DA8"/>
    <w:rsid w:val="00882EFE"/>
    <w:rsid w:val="00891DCC"/>
    <w:rsid w:val="008B30A9"/>
    <w:rsid w:val="008C68F1"/>
    <w:rsid w:val="008C7F77"/>
    <w:rsid w:val="008D3628"/>
    <w:rsid w:val="008D6B86"/>
    <w:rsid w:val="008E1068"/>
    <w:rsid w:val="008F0DE1"/>
    <w:rsid w:val="0090332D"/>
    <w:rsid w:val="00911AD0"/>
    <w:rsid w:val="00921803"/>
    <w:rsid w:val="00922F8F"/>
    <w:rsid w:val="00926503"/>
    <w:rsid w:val="00946F00"/>
    <w:rsid w:val="00957449"/>
    <w:rsid w:val="00965281"/>
    <w:rsid w:val="009726D8"/>
    <w:rsid w:val="00991C78"/>
    <w:rsid w:val="00993364"/>
    <w:rsid w:val="00996923"/>
    <w:rsid w:val="009C1E7A"/>
    <w:rsid w:val="009D6DC8"/>
    <w:rsid w:val="009F76DB"/>
    <w:rsid w:val="00A0728C"/>
    <w:rsid w:val="00A15947"/>
    <w:rsid w:val="00A30086"/>
    <w:rsid w:val="00A32C3B"/>
    <w:rsid w:val="00A37554"/>
    <w:rsid w:val="00A45F4F"/>
    <w:rsid w:val="00A600A9"/>
    <w:rsid w:val="00A6252B"/>
    <w:rsid w:val="00A650FA"/>
    <w:rsid w:val="00A83364"/>
    <w:rsid w:val="00AA55B7"/>
    <w:rsid w:val="00AA5B9E"/>
    <w:rsid w:val="00AB2407"/>
    <w:rsid w:val="00AB53DF"/>
    <w:rsid w:val="00AC3499"/>
    <w:rsid w:val="00AC424B"/>
    <w:rsid w:val="00AD70EC"/>
    <w:rsid w:val="00AF0A93"/>
    <w:rsid w:val="00AF46DC"/>
    <w:rsid w:val="00B04BAA"/>
    <w:rsid w:val="00B063A6"/>
    <w:rsid w:val="00B07E5C"/>
    <w:rsid w:val="00B11BAB"/>
    <w:rsid w:val="00B1248E"/>
    <w:rsid w:val="00B171BB"/>
    <w:rsid w:val="00B17540"/>
    <w:rsid w:val="00B20363"/>
    <w:rsid w:val="00B22E61"/>
    <w:rsid w:val="00B338A9"/>
    <w:rsid w:val="00B44DF6"/>
    <w:rsid w:val="00B679AB"/>
    <w:rsid w:val="00B67AF2"/>
    <w:rsid w:val="00B717CF"/>
    <w:rsid w:val="00B76B1D"/>
    <w:rsid w:val="00B76DB8"/>
    <w:rsid w:val="00B811F7"/>
    <w:rsid w:val="00B85A22"/>
    <w:rsid w:val="00BA5DC6"/>
    <w:rsid w:val="00BA6196"/>
    <w:rsid w:val="00BC1A54"/>
    <w:rsid w:val="00BC6D8C"/>
    <w:rsid w:val="00BD2531"/>
    <w:rsid w:val="00BF65DF"/>
    <w:rsid w:val="00C04665"/>
    <w:rsid w:val="00C34006"/>
    <w:rsid w:val="00C40B91"/>
    <w:rsid w:val="00C426B1"/>
    <w:rsid w:val="00C66160"/>
    <w:rsid w:val="00C6799D"/>
    <w:rsid w:val="00C721AC"/>
    <w:rsid w:val="00C74EC3"/>
    <w:rsid w:val="00C877DA"/>
    <w:rsid w:val="00C90D6A"/>
    <w:rsid w:val="00CA247E"/>
    <w:rsid w:val="00CA5308"/>
    <w:rsid w:val="00CC728F"/>
    <w:rsid w:val="00CC72B6"/>
    <w:rsid w:val="00CC776F"/>
    <w:rsid w:val="00CE4CA3"/>
    <w:rsid w:val="00D0218D"/>
    <w:rsid w:val="00D157F9"/>
    <w:rsid w:val="00D20C23"/>
    <w:rsid w:val="00D25FB5"/>
    <w:rsid w:val="00D44223"/>
    <w:rsid w:val="00D47505"/>
    <w:rsid w:val="00D530B7"/>
    <w:rsid w:val="00D53547"/>
    <w:rsid w:val="00D63B1C"/>
    <w:rsid w:val="00D648AE"/>
    <w:rsid w:val="00D70F38"/>
    <w:rsid w:val="00D742D0"/>
    <w:rsid w:val="00D75121"/>
    <w:rsid w:val="00D8577B"/>
    <w:rsid w:val="00D92C05"/>
    <w:rsid w:val="00D94B4F"/>
    <w:rsid w:val="00DA2529"/>
    <w:rsid w:val="00DA6C2F"/>
    <w:rsid w:val="00DB0E99"/>
    <w:rsid w:val="00DB130A"/>
    <w:rsid w:val="00DB1B6B"/>
    <w:rsid w:val="00DB2EBB"/>
    <w:rsid w:val="00DB549E"/>
    <w:rsid w:val="00DC10A1"/>
    <w:rsid w:val="00DC655F"/>
    <w:rsid w:val="00DD0B59"/>
    <w:rsid w:val="00DD7EBD"/>
    <w:rsid w:val="00DE4C8D"/>
    <w:rsid w:val="00DE609E"/>
    <w:rsid w:val="00DE735E"/>
    <w:rsid w:val="00DF0810"/>
    <w:rsid w:val="00DF3C78"/>
    <w:rsid w:val="00DF5F62"/>
    <w:rsid w:val="00DF62B6"/>
    <w:rsid w:val="00DF7B11"/>
    <w:rsid w:val="00E07225"/>
    <w:rsid w:val="00E10374"/>
    <w:rsid w:val="00E1537D"/>
    <w:rsid w:val="00E17156"/>
    <w:rsid w:val="00E532FD"/>
    <w:rsid w:val="00E5409F"/>
    <w:rsid w:val="00E54E33"/>
    <w:rsid w:val="00E55CC4"/>
    <w:rsid w:val="00E6276F"/>
    <w:rsid w:val="00E64F15"/>
    <w:rsid w:val="00E71818"/>
    <w:rsid w:val="00EB4ACC"/>
    <w:rsid w:val="00EC17C1"/>
    <w:rsid w:val="00EE19F8"/>
    <w:rsid w:val="00EE6488"/>
    <w:rsid w:val="00F00A5B"/>
    <w:rsid w:val="00F021FA"/>
    <w:rsid w:val="00F05356"/>
    <w:rsid w:val="00F57E33"/>
    <w:rsid w:val="00F608C8"/>
    <w:rsid w:val="00F62E97"/>
    <w:rsid w:val="00F64209"/>
    <w:rsid w:val="00F64B67"/>
    <w:rsid w:val="00F8591E"/>
    <w:rsid w:val="00F91A81"/>
    <w:rsid w:val="00F93BF5"/>
    <w:rsid w:val="00FA3AA8"/>
    <w:rsid w:val="00FA5A5C"/>
    <w:rsid w:val="00FA7576"/>
    <w:rsid w:val="00FB7851"/>
    <w:rsid w:val="00FE2C64"/>
    <w:rsid w:val="00FF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3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BB6"/>
    <w:rPr>
      <w:sz w:val="22"/>
    </w:rPr>
  </w:style>
  <w:style w:type="paragraph" w:styleId="Heading1">
    <w:name w:val="heading 1"/>
    <w:basedOn w:val="Normal"/>
    <w:next w:val="ParaNum"/>
    <w:qFormat/>
    <w:rsid w:val="00626EB6"/>
    <w:pPr>
      <w:keepNext/>
      <w:widowControl w:val="0"/>
      <w:numPr>
        <w:numId w:val="3"/>
      </w:numPr>
      <w:tabs>
        <w:tab w:val="left" w:pos="720"/>
      </w:tabs>
      <w:suppressAutoHyphens/>
      <w:spacing w:after="120"/>
      <w:outlineLvl w:val="0"/>
    </w:pPr>
    <w:rPr>
      <w:rFonts w:ascii="Times New Roman Bold" w:hAnsi="Times New Roman Bold"/>
      <w:b/>
      <w:caps/>
      <w:snapToGrid w:val="0"/>
      <w:kern w:val="28"/>
    </w:rPr>
  </w:style>
  <w:style w:type="paragraph" w:styleId="Heading2">
    <w:name w:val="heading 2"/>
    <w:basedOn w:val="Normal"/>
    <w:next w:val="ParaNum"/>
    <w:autoRedefine/>
    <w:qFormat/>
    <w:rsid w:val="007A1E6D"/>
    <w:pPr>
      <w:keepNext/>
      <w:widowControl w:val="0"/>
      <w:numPr>
        <w:ilvl w:val="1"/>
        <w:numId w:val="3"/>
      </w:numPr>
      <w:spacing w:after="120"/>
      <w:outlineLvl w:val="1"/>
    </w:pPr>
    <w:rPr>
      <w:b/>
      <w:snapToGrid w:val="0"/>
      <w:kern w:val="28"/>
    </w:rPr>
  </w:style>
  <w:style w:type="paragraph" w:styleId="Heading3">
    <w:name w:val="heading 3"/>
    <w:basedOn w:val="Normal"/>
    <w:next w:val="ParaNum"/>
    <w:qFormat/>
    <w:rsid w:val="00BA6196"/>
    <w:pPr>
      <w:keepNext/>
      <w:widowControl w:val="0"/>
      <w:numPr>
        <w:ilvl w:val="2"/>
        <w:numId w:val="3"/>
      </w:numPr>
      <w:tabs>
        <w:tab w:val="left" w:pos="2160"/>
      </w:tabs>
      <w:spacing w:after="120"/>
      <w:outlineLvl w:val="2"/>
    </w:pPr>
    <w:rPr>
      <w:b/>
      <w:snapToGrid w:val="0"/>
      <w:kern w:val="28"/>
    </w:rPr>
  </w:style>
  <w:style w:type="paragraph" w:styleId="Heading4">
    <w:name w:val="heading 4"/>
    <w:basedOn w:val="Normal"/>
    <w:next w:val="ParaNum"/>
    <w:qFormat/>
    <w:rsid w:val="00C426B1"/>
    <w:pPr>
      <w:keepNext/>
      <w:widowControl w:val="0"/>
      <w:numPr>
        <w:ilvl w:val="3"/>
        <w:numId w:val="3"/>
      </w:numPr>
      <w:tabs>
        <w:tab w:val="left" w:pos="2880"/>
      </w:tabs>
      <w:spacing w:after="120"/>
      <w:outlineLvl w:val="3"/>
    </w:pPr>
    <w:rPr>
      <w:b/>
      <w:snapToGrid w:val="0"/>
      <w:kern w:val="28"/>
    </w:rPr>
  </w:style>
  <w:style w:type="paragraph" w:styleId="Heading5">
    <w:name w:val="heading 5"/>
    <w:basedOn w:val="Normal"/>
    <w:next w:val="ParaNum"/>
    <w:qFormat/>
    <w:rsid w:val="00511968"/>
    <w:pPr>
      <w:keepNext/>
      <w:widowControl w:val="0"/>
      <w:numPr>
        <w:ilvl w:val="4"/>
        <w:numId w:val="3"/>
      </w:numPr>
      <w:tabs>
        <w:tab w:val="left" w:pos="3600"/>
      </w:tabs>
      <w:suppressAutoHyphens/>
      <w:spacing w:after="120"/>
      <w:outlineLvl w:val="4"/>
    </w:pPr>
    <w:rPr>
      <w:b/>
      <w:snapToGrid w:val="0"/>
      <w:kern w:val="28"/>
    </w:rPr>
  </w:style>
  <w:style w:type="paragraph" w:styleId="Heading6">
    <w:name w:val="heading 6"/>
    <w:basedOn w:val="Normal"/>
    <w:next w:val="ParaNum"/>
    <w:qFormat/>
    <w:rsid w:val="00036039"/>
    <w:pPr>
      <w:widowControl w:val="0"/>
      <w:numPr>
        <w:ilvl w:val="5"/>
        <w:numId w:val="3"/>
      </w:numPr>
      <w:tabs>
        <w:tab w:val="left" w:pos="4320"/>
      </w:tabs>
      <w:spacing w:after="120"/>
      <w:outlineLvl w:val="5"/>
    </w:pPr>
    <w:rPr>
      <w:b/>
      <w:snapToGrid w:val="0"/>
      <w:kern w:val="28"/>
    </w:rPr>
  </w:style>
  <w:style w:type="paragraph" w:styleId="Heading7">
    <w:name w:val="heading 7"/>
    <w:basedOn w:val="Normal"/>
    <w:next w:val="ParaNum"/>
    <w:qFormat/>
    <w:rsid w:val="00036039"/>
    <w:pPr>
      <w:widowControl w:val="0"/>
      <w:numPr>
        <w:ilvl w:val="6"/>
        <w:numId w:val="3"/>
      </w:numPr>
      <w:tabs>
        <w:tab w:val="left" w:pos="5040"/>
      </w:tabs>
      <w:spacing w:after="120"/>
      <w:ind w:left="5040" w:hanging="720"/>
      <w:outlineLvl w:val="6"/>
    </w:pPr>
    <w:rPr>
      <w:b/>
      <w:snapToGrid w:val="0"/>
      <w:kern w:val="28"/>
    </w:rPr>
  </w:style>
  <w:style w:type="paragraph" w:styleId="Heading8">
    <w:name w:val="heading 8"/>
    <w:basedOn w:val="Normal"/>
    <w:next w:val="ParaNum"/>
    <w:qFormat/>
    <w:rsid w:val="001E01CA"/>
    <w:pPr>
      <w:widowControl w:val="0"/>
      <w:numPr>
        <w:ilvl w:val="7"/>
        <w:numId w:val="3"/>
      </w:numPr>
      <w:tabs>
        <w:tab w:val="clear" w:pos="5400"/>
        <w:tab w:val="left" w:pos="5760"/>
      </w:tabs>
      <w:spacing w:after="120"/>
      <w:ind w:left="5760" w:hanging="720"/>
      <w:outlineLvl w:val="7"/>
    </w:pPr>
    <w:rPr>
      <w:b/>
      <w:snapToGrid w:val="0"/>
      <w:kern w:val="28"/>
    </w:rPr>
  </w:style>
  <w:style w:type="paragraph" w:styleId="Heading9">
    <w:name w:val="heading 9"/>
    <w:basedOn w:val="Normal"/>
    <w:next w:val="ParaNum"/>
    <w:qFormat/>
    <w:rsid w:val="001E01CA"/>
    <w:pPr>
      <w:widowControl w:val="0"/>
      <w:numPr>
        <w:ilvl w:val="8"/>
        <w:numId w:val="3"/>
      </w:numPr>
      <w:tabs>
        <w:tab w:val="clear" w:pos="6120"/>
        <w:tab w:val="left" w:pos="6480"/>
      </w:tabs>
      <w:spacing w:after="120"/>
      <w:ind w:left="6480" w:hanging="720"/>
      <w:outlineLvl w:val="8"/>
    </w:pPr>
    <w:rPr>
      <w:b/>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widowControl w:val="0"/>
      <w:numPr>
        <w:numId w:val="2"/>
      </w:numPr>
      <w:tabs>
        <w:tab w:val="clear" w:pos="1080"/>
        <w:tab w:val="num" w:pos="1440"/>
      </w:tabs>
      <w:spacing w:after="120"/>
    </w:pPr>
    <w:rPr>
      <w:snapToGrid w:val="0"/>
      <w:kern w:val="28"/>
    </w:rPr>
  </w:style>
  <w:style w:type="paragraph" w:styleId="EndnoteText">
    <w:name w:val="endnote text"/>
    <w:basedOn w:val="Normal"/>
    <w:semiHidden/>
    <w:pPr>
      <w:widowControl w:val="0"/>
    </w:pPr>
    <w:rPr>
      <w:snapToGrid w:val="0"/>
      <w:kern w:val="28"/>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0E3D42"/>
    <w:pPr>
      <w:spacing w:after="120"/>
    </w:pPr>
  </w:style>
  <w:style w:type="character" w:styleId="FootnoteReference">
    <w:name w:val="footnote reference"/>
    <w:aliases w:val="Style 12,(NECG) Footnote Reference,Appel note de bas de p,Style 124,o,fr,Style 3,Style 13,FR"/>
    <w:rsid w:val="00A32C3B"/>
    <w:rPr>
      <w:rFonts w:ascii="Times New Roman" w:hAnsi="Times New Roman"/>
      <w:dstrike w:val="0"/>
      <w:color w:val="auto"/>
      <w:sz w:val="20"/>
      <w:vertAlign w:val="superscript"/>
    </w:rPr>
  </w:style>
  <w:style w:type="paragraph" w:styleId="TOC1">
    <w:name w:val="toc 1"/>
    <w:basedOn w:val="Normal"/>
    <w:next w:val="Normal"/>
    <w:semiHidden/>
    <w:pPr>
      <w:widowControl w:val="0"/>
      <w:tabs>
        <w:tab w:val="left" w:pos="360"/>
        <w:tab w:val="right" w:leader="dot" w:pos="9360"/>
      </w:tabs>
      <w:suppressAutoHyphens/>
      <w:ind w:left="360" w:right="720" w:hanging="360"/>
    </w:pPr>
    <w:rPr>
      <w:caps/>
      <w:noProof/>
      <w:snapToGrid w:val="0"/>
      <w:kern w:val="28"/>
    </w:rPr>
  </w:style>
  <w:style w:type="paragraph" w:styleId="TOC2">
    <w:name w:val="toc 2"/>
    <w:basedOn w:val="Normal"/>
    <w:next w:val="Normal"/>
    <w:semiHidden/>
    <w:pPr>
      <w:widowControl w:val="0"/>
      <w:tabs>
        <w:tab w:val="left" w:pos="720"/>
        <w:tab w:val="right" w:leader="dot" w:pos="9360"/>
      </w:tabs>
      <w:suppressAutoHyphens/>
      <w:ind w:left="720" w:right="720" w:hanging="360"/>
    </w:pPr>
    <w:rPr>
      <w:noProof/>
      <w:snapToGrid w:val="0"/>
      <w:kern w:val="28"/>
    </w:rPr>
  </w:style>
  <w:style w:type="paragraph" w:styleId="TOC3">
    <w:name w:val="toc 3"/>
    <w:basedOn w:val="Normal"/>
    <w:next w:val="Normal"/>
    <w:semiHidden/>
    <w:pPr>
      <w:widowControl w:val="0"/>
      <w:tabs>
        <w:tab w:val="left" w:pos="1080"/>
        <w:tab w:val="right" w:leader="dot" w:pos="9360"/>
      </w:tabs>
      <w:suppressAutoHyphens/>
      <w:ind w:left="1080" w:right="720" w:hanging="360"/>
    </w:pPr>
    <w:rPr>
      <w:noProof/>
      <w:snapToGrid w:val="0"/>
      <w:kern w:val="28"/>
    </w:rPr>
  </w:style>
  <w:style w:type="paragraph" w:styleId="TOC4">
    <w:name w:val="toc 4"/>
    <w:basedOn w:val="Normal"/>
    <w:next w:val="Normal"/>
    <w:autoRedefine/>
    <w:semiHidden/>
    <w:pPr>
      <w:widowControl w:val="0"/>
      <w:tabs>
        <w:tab w:val="left" w:pos="1440"/>
        <w:tab w:val="right" w:leader="dot" w:pos="9360"/>
      </w:tabs>
      <w:suppressAutoHyphens/>
      <w:ind w:left="1440" w:right="720" w:hanging="360"/>
    </w:pPr>
    <w:rPr>
      <w:noProof/>
      <w:snapToGrid w:val="0"/>
      <w:kern w:val="28"/>
    </w:rPr>
  </w:style>
  <w:style w:type="paragraph" w:styleId="TOC5">
    <w:name w:val="toc 5"/>
    <w:basedOn w:val="Normal"/>
    <w:next w:val="Normal"/>
    <w:autoRedefine/>
    <w:semiHidden/>
    <w:pPr>
      <w:widowControl w:val="0"/>
      <w:tabs>
        <w:tab w:val="left" w:pos="1800"/>
        <w:tab w:val="right" w:leader="dot" w:pos="9360"/>
      </w:tabs>
      <w:suppressAutoHyphens/>
      <w:ind w:left="1800" w:right="720" w:hanging="360"/>
    </w:pPr>
    <w:rPr>
      <w:noProof/>
      <w:snapToGrid w:val="0"/>
      <w:kern w:val="28"/>
    </w:rPr>
  </w:style>
  <w:style w:type="paragraph" w:styleId="TOC6">
    <w:name w:val="toc 6"/>
    <w:basedOn w:val="Normal"/>
    <w:next w:val="Normal"/>
    <w:autoRedefine/>
    <w:semiHidden/>
    <w:pPr>
      <w:widowControl w:val="0"/>
      <w:tabs>
        <w:tab w:val="left" w:pos="2160"/>
        <w:tab w:val="right" w:leader="dot" w:pos="9360"/>
      </w:tabs>
      <w:suppressAutoHyphens/>
      <w:ind w:left="2160" w:hanging="360"/>
    </w:pPr>
    <w:rPr>
      <w:noProof/>
      <w:snapToGrid w:val="0"/>
      <w:kern w:val="28"/>
    </w:rPr>
  </w:style>
  <w:style w:type="paragraph" w:styleId="TOC7">
    <w:name w:val="toc 7"/>
    <w:basedOn w:val="Normal"/>
    <w:next w:val="Normal"/>
    <w:autoRedefine/>
    <w:semiHidden/>
    <w:pPr>
      <w:widowControl w:val="0"/>
      <w:tabs>
        <w:tab w:val="left" w:pos="2520"/>
        <w:tab w:val="right" w:leader="dot" w:pos="9360"/>
      </w:tabs>
      <w:suppressAutoHyphens/>
      <w:ind w:left="2520" w:hanging="360"/>
    </w:pPr>
    <w:rPr>
      <w:noProof/>
      <w:snapToGrid w:val="0"/>
      <w:kern w:val="28"/>
    </w:rPr>
  </w:style>
  <w:style w:type="paragraph" w:styleId="TOC8">
    <w:name w:val="toc 8"/>
    <w:basedOn w:val="Normal"/>
    <w:next w:val="Normal"/>
    <w:autoRedefine/>
    <w:semiHidden/>
    <w:pPr>
      <w:widowControl w:val="0"/>
      <w:tabs>
        <w:tab w:val="left" w:pos="2880"/>
        <w:tab w:val="right" w:leader="dot" w:pos="9360"/>
      </w:tabs>
      <w:suppressAutoHyphens/>
      <w:ind w:left="2880" w:hanging="360"/>
    </w:pPr>
    <w:rPr>
      <w:noProof/>
      <w:snapToGrid w:val="0"/>
      <w:kern w:val="28"/>
    </w:rPr>
  </w:style>
  <w:style w:type="paragraph" w:styleId="TOC9">
    <w:name w:val="toc 9"/>
    <w:basedOn w:val="Normal"/>
    <w:next w:val="Normal"/>
    <w:autoRedefine/>
    <w:semiHidden/>
    <w:pPr>
      <w:widowControl w:val="0"/>
      <w:tabs>
        <w:tab w:val="left" w:pos="3240"/>
        <w:tab w:val="right" w:leader="dot" w:pos="9360"/>
      </w:tabs>
      <w:suppressAutoHyphens/>
      <w:ind w:left="3240" w:hanging="360"/>
    </w:pPr>
    <w:rPr>
      <w:noProof/>
      <w:snapToGrid w:val="0"/>
      <w:kern w:val="28"/>
    </w:rPr>
  </w:style>
  <w:style w:type="paragraph" w:styleId="TOAHeading">
    <w:name w:val="toa heading"/>
    <w:basedOn w:val="Normal"/>
    <w:next w:val="Normal"/>
    <w:semiHidden/>
    <w:pPr>
      <w:widowControl w:val="0"/>
      <w:tabs>
        <w:tab w:val="right" w:pos="9360"/>
      </w:tabs>
      <w:suppressAutoHyphens/>
    </w:pPr>
    <w:rPr>
      <w:snapToGrid w:val="0"/>
      <w:kern w:val="28"/>
    </w:rPr>
  </w:style>
  <w:style w:type="character" w:customStyle="1" w:styleId="EquationCaption">
    <w:name w:val="_Equation Caption"/>
  </w:style>
  <w:style w:type="paragraph" w:styleId="Header">
    <w:name w:val="header"/>
    <w:basedOn w:val="Normal"/>
    <w:autoRedefine/>
    <w:rsid w:val="00B338A9"/>
    <w:pPr>
      <w:widowControl w:val="0"/>
      <w:spacing w:before="40"/>
    </w:pPr>
    <w:rPr>
      <w:rFonts w:ascii="Arial" w:hAnsi="Arial" w:cs="Arial"/>
      <w:b/>
      <w:snapToGrid w:val="0"/>
      <w:kern w:val="28"/>
      <w:sz w:val="96"/>
    </w:rPr>
  </w:style>
  <w:style w:type="paragraph" w:styleId="Footer">
    <w:name w:val="footer"/>
    <w:basedOn w:val="Normal"/>
    <w:link w:val="FooterChar"/>
    <w:uiPriority w:val="99"/>
    <w:pPr>
      <w:widowControl w:val="0"/>
      <w:tabs>
        <w:tab w:val="center" w:pos="4320"/>
        <w:tab w:val="right" w:pos="8640"/>
      </w:tabs>
    </w:pPr>
    <w:rPr>
      <w:snapToGrid w:val="0"/>
      <w:kern w:val="28"/>
    </w:rPr>
  </w:style>
  <w:style w:type="character" w:styleId="PageNumber">
    <w:name w:val="page number"/>
    <w:basedOn w:val="DefaultParagraphFont"/>
  </w:style>
  <w:style w:type="paragraph" w:styleId="BlockText">
    <w:name w:val="Block Text"/>
    <w:basedOn w:val="Normal"/>
    <w:pPr>
      <w:widowControl w:val="0"/>
      <w:spacing w:after="240"/>
      <w:ind w:left="1440" w:right="1440"/>
    </w:pPr>
    <w:rPr>
      <w:snapToGrid w:val="0"/>
      <w:kern w:val="28"/>
    </w:rPr>
  </w:style>
  <w:style w:type="paragraph" w:customStyle="1" w:styleId="Paratitle">
    <w:name w:val="Para title"/>
    <w:basedOn w:val="Normal"/>
    <w:pPr>
      <w:widowControl w:val="0"/>
      <w:tabs>
        <w:tab w:val="center" w:pos="9270"/>
      </w:tabs>
      <w:spacing w:after="240"/>
    </w:pPr>
    <w:rPr>
      <w:snapToGrid w:val="0"/>
      <w:spacing w:val="-2"/>
      <w:kern w:val="28"/>
    </w:rPr>
  </w:style>
  <w:style w:type="paragraph" w:customStyle="1" w:styleId="Bullet">
    <w:name w:val="Bullet"/>
    <w:basedOn w:val="Normal"/>
    <w:pPr>
      <w:widowControl w:val="0"/>
      <w:tabs>
        <w:tab w:val="left" w:pos="2160"/>
      </w:tabs>
      <w:spacing w:after="220"/>
      <w:ind w:left="2160" w:hanging="720"/>
    </w:pPr>
    <w:rPr>
      <w:snapToGrid w:val="0"/>
      <w:kern w:val="28"/>
    </w:r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widowControl w:val="0"/>
      <w:spacing w:before="240" w:after="240"/>
      <w:jc w:val="center"/>
    </w:pPr>
    <w:rPr>
      <w:rFonts w:ascii="Times New Roman Bold" w:hAnsi="Times New Roman Bold"/>
      <w:b/>
      <w:caps/>
      <w:snapToGrid w:val="0"/>
      <w:spacing w:val="-2"/>
      <w:kern w:val="28"/>
    </w:rPr>
  </w:style>
  <w:style w:type="paragraph" w:customStyle="1" w:styleId="StyleBoldCentered">
    <w:name w:val="Style Bold Centered"/>
    <w:basedOn w:val="Normal"/>
    <w:rsid w:val="00096D8C"/>
    <w:pPr>
      <w:widowControl w:val="0"/>
      <w:jc w:val="center"/>
    </w:pPr>
    <w:rPr>
      <w:rFonts w:ascii="Times New Roman Bold" w:hAnsi="Times New Roman Bold"/>
      <w:b/>
      <w:bCs/>
      <w:caps/>
      <w:snapToGrid w:val="0"/>
      <w:kern w:val="28"/>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pPr>
      <w:widowControl w:val="0"/>
    </w:pPr>
    <w:rPr>
      <w:rFonts w:ascii="Segoe UI" w:hAnsi="Segoe UI" w:cs="Segoe UI"/>
      <w:snapToGrid w:val="0"/>
      <w:kern w:val="28"/>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styleId="CommentReference">
    <w:name w:val="annotation reference"/>
    <w:basedOn w:val="DefaultParagraphFont"/>
    <w:rsid w:val="00C40B91"/>
    <w:rPr>
      <w:sz w:val="16"/>
      <w:szCs w:val="16"/>
    </w:rPr>
  </w:style>
  <w:style w:type="paragraph" w:styleId="CommentText">
    <w:name w:val="annotation text"/>
    <w:basedOn w:val="Normal"/>
    <w:link w:val="CommentTextChar"/>
    <w:rsid w:val="00C40B91"/>
    <w:rPr>
      <w:sz w:val="20"/>
    </w:rPr>
  </w:style>
  <w:style w:type="character" w:customStyle="1" w:styleId="CommentTextChar">
    <w:name w:val="Comment Text Char"/>
    <w:basedOn w:val="DefaultParagraphFont"/>
    <w:link w:val="CommentText"/>
    <w:rsid w:val="00C40B91"/>
  </w:style>
  <w:style w:type="paragraph" w:styleId="CommentSubject">
    <w:name w:val="annotation subject"/>
    <w:basedOn w:val="CommentText"/>
    <w:next w:val="CommentText"/>
    <w:link w:val="CommentSubjectChar"/>
    <w:rsid w:val="00C40B91"/>
    <w:rPr>
      <w:b/>
      <w:bCs/>
    </w:rPr>
  </w:style>
  <w:style w:type="character" w:customStyle="1" w:styleId="CommentSubjectChar">
    <w:name w:val="Comment Subject Char"/>
    <w:basedOn w:val="CommentTextChar"/>
    <w:link w:val="CommentSubject"/>
    <w:rsid w:val="00C40B91"/>
    <w:rPr>
      <w:b/>
      <w:bCs/>
    </w:rPr>
  </w:style>
  <w:style w:type="paragraph" w:styleId="Revision">
    <w:name w:val="Revision"/>
    <w:hidden/>
    <w:uiPriority w:val="99"/>
    <w:semiHidden/>
    <w:rsid w:val="006739AB"/>
    <w:rPr>
      <w:sz w:val="22"/>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3E1D9C"/>
  </w:style>
  <w:style w:type="paragraph" w:styleId="ListParagraph">
    <w:name w:val="List Paragraph"/>
    <w:basedOn w:val="Normal"/>
    <w:uiPriority w:val="34"/>
    <w:qFormat/>
    <w:rsid w:val="003E1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BB6"/>
    <w:rPr>
      <w:sz w:val="22"/>
    </w:rPr>
  </w:style>
  <w:style w:type="paragraph" w:styleId="Heading1">
    <w:name w:val="heading 1"/>
    <w:basedOn w:val="Normal"/>
    <w:next w:val="ParaNum"/>
    <w:qFormat/>
    <w:rsid w:val="00626EB6"/>
    <w:pPr>
      <w:keepNext/>
      <w:widowControl w:val="0"/>
      <w:numPr>
        <w:numId w:val="3"/>
      </w:numPr>
      <w:tabs>
        <w:tab w:val="left" w:pos="720"/>
      </w:tabs>
      <w:suppressAutoHyphens/>
      <w:spacing w:after="120"/>
      <w:outlineLvl w:val="0"/>
    </w:pPr>
    <w:rPr>
      <w:rFonts w:ascii="Times New Roman Bold" w:hAnsi="Times New Roman Bold"/>
      <w:b/>
      <w:caps/>
      <w:snapToGrid w:val="0"/>
      <w:kern w:val="28"/>
    </w:rPr>
  </w:style>
  <w:style w:type="paragraph" w:styleId="Heading2">
    <w:name w:val="heading 2"/>
    <w:basedOn w:val="Normal"/>
    <w:next w:val="ParaNum"/>
    <w:autoRedefine/>
    <w:qFormat/>
    <w:rsid w:val="007A1E6D"/>
    <w:pPr>
      <w:keepNext/>
      <w:widowControl w:val="0"/>
      <w:numPr>
        <w:ilvl w:val="1"/>
        <w:numId w:val="3"/>
      </w:numPr>
      <w:spacing w:after="120"/>
      <w:outlineLvl w:val="1"/>
    </w:pPr>
    <w:rPr>
      <w:b/>
      <w:snapToGrid w:val="0"/>
      <w:kern w:val="28"/>
    </w:rPr>
  </w:style>
  <w:style w:type="paragraph" w:styleId="Heading3">
    <w:name w:val="heading 3"/>
    <w:basedOn w:val="Normal"/>
    <w:next w:val="ParaNum"/>
    <w:qFormat/>
    <w:rsid w:val="00BA6196"/>
    <w:pPr>
      <w:keepNext/>
      <w:widowControl w:val="0"/>
      <w:numPr>
        <w:ilvl w:val="2"/>
        <w:numId w:val="3"/>
      </w:numPr>
      <w:tabs>
        <w:tab w:val="left" w:pos="2160"/>
      </w:tabs>
      <w:spacing w:after="120"/>
      <w:outlineLvl w:val="2"/>
    </w:pPr>
    <w:rPr>
      <w:b/>
      <w:snapToGrid w:val="0"/>
      <w:kern w:val="28"/>
    </w:rPr>
  </w:style>
  <w:style w:type="paragraph" w:styleId="Heading4">
    <w:name w:val="heading 4"/>
    <w:basedOn w:val="Normal"/>
    <w:next w:val="ParaNum"/>
    <w:qFormat/>
    <w:rsid w:val="00C426B1"/>
    <w:pPr>
      <w:keepNext/>
      <w:widowControl w:val="0"/>
      <w:numPr>
        <w:ilvl w:val="3"/>
        <w:numId w:val="3"/>
      </w:numPr>
      <w:tabs>
        <w:tab w:val="left" w:pos="2880"/>
      </w:tabs>
      <w:spacing w:after="120"/>
      <w:outlineLvl w:val="3"/>
    </w:pPr>
    <w:rPr>
      <w:b/>
      <w:snapToGrid w:val="0"/>
      <w:kern w:val="28"/>
    </w:rPr>
  </w:style>
  <w:style w:type="paragraph" w:styleId="Heading5">
    <w:name w:val="heading 5"/>
    <w:basedOn w:val="Normal"/>
    <w:next w:val="ParaNum"/>
    <w:qFormat/>
    <w:rsid w:val="00511968"/>
    <w:pPr>
      <w:keepNext/>
      <w:widowControl w:val="0"/>
      <w:numPr>
        <w:ilvl w:val="4"/>
        <w:numId w:val="3"/>
      </w:numPr>
      <w:tabs>
        <w:tab w:val="left" w:pos="3600"/>
      </w:tabs>
      <w:suppressAutoHyphens/>
      <w:spacing w:after="120"/>
      <w:outlineLvl w:val="4"/>
    </w:pPr>
    <w:rPr>
      <w:b/>
      <w:snapToGrid w:val="0"/>
      <w:kern w:val="28"/>
    </w:rPr>
  </w:style>
  <w:style w:type="paragraph" w:styleId="Heading6">
    <w:name w:val="heading 6"/>
    <w:basedOn w:val="Normal"/>
    <w:next w:val="ParaNum"/>
    <w:qFormat/>
    <w:rsid w:val="00036039"/>
    <w:pPr>
      <w:widowControl w:val="0"/>
      <w:numPr>
        <w:ilvl w:val="5"/>
        <w:numId w:val="3"/>
      </w:numPr>
      <w:tabs>
        <w:tab w:val="left" w:pos="4320"/>
      </w:tabs>
      <w:spacing w:after="120"/>
      <w:outlineLvl w:val="5"/>
    </w:pPr>
    <w:rPr>
      <w:b/>
      <w:snapToGrid w:val="0"/>
      <w:kern w:val="28"/>
    </w:rPr>
  </w:style>
  <w:style w:type="paragraph" w:styleId="Heading7">
    <w:name w:val="heading 7"/>
    <w:basedOn w:val="Normal"/>
    <w:next w:val="ParaNum"/>
    <w:qFormat/>
    <w:rsid w:val="00036039"/>
    <w:pPr>
      <w:widowControl w:val="0"/>
      <w:numPr>
        <w:ilvl w:val="6"/>
        <w:numId w:val="3"/>
      </w:numPr>
      <w:tabs>
        <w:tab w:val="left" w:pos="5040"/>
      </w:tabs>
      <w:spacing w:after="120"/>
      <w:ind w:left="5040" w:hanging="720"/>
      <w:outlineLvl w:val="6"/>
    </w:pPr>
    <w:rPr>
      <w:b/>
      <w:snapToGrid w:val="0"/>
      <w:kern w:val="28"/>
    </w:rPr>
  </w:style>
  <w:style w:type="paragraph" w:styleId="Heading8">
    <w:name w:val="heading 8"/>
    <w:basedOn w:val="Normal"/>
    <w:next w:val="ParaNum"/>
    <w:qFormat/>
    <w:rsid w:val="001E01CA"/>
    <w:pPr>
      <w:widowControl w:val="0"/>
      <w:numPr>
        <w:ilvl w:val="7"/>
        <w:numId w:val="3"/>
      </w:numPr>
      <w:tabs>
        <w:tab w:val="clear" w:pos="5400"/>
        <w:tab w:val="left" w:pos="5760"/>
      </w:tabs>
      <w:spacing w:after="120"/>
      <w:ind w:left="5760" w:hanging="720"/>
      <w:outlineLvl w:val="7"/>
    </w:pPr>
    <w:rPr>
      <w:b/>
      <w:snapToGrid w:val="0"/>
      <w:kern w:val="28"/>
    </w:rPr>
  </w:style>
  <w:style w:type="paragraph" w:styleId="Heading9">
    <w:name w:val="heading 9"/>
    <w:basedOn w:val="Normal"/>
    <w:next w:val="ParaNum"/>
    <w:qFormat/>
    <w:rsid w:val="001E01CA"/>
    <w:pPr>
      <w:widowControl w:val="0"/>
      <w:numPr>
        <w:ilvl w:val="8"/>
        <w:numId w:val="3"/>
      </w:numPr>
      <w:tabs>
        <w:tab w:val="clear" w:pos="6120"/>
        <w:tab w:val="left" w:pos="6480"/>
      </w:tabs>
      <w:spacing w:after="120"/>
      <w:ind w:left="6480" w:hanging="720"/>
      <w:outlineLvl w:val="8"/>
    </w:pPr>
    <w:rPr>
      <w:b/>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widowControl w:val="0"/>
      <w:numPr>
        <w:numId w:val="2"/>
      </w:numPr>
      <w:tabs>
        <w:tab w:val="clear" w:pos="1080"/>
        <w:tab w:val="num" w:pos="1440"/>
      </w:tabs>
      <w:spacing w:after="120"/>
    </w:pPr>
    <w:rPr>
      <w:snapToGrid w:val="0"/>
      <w:kern w:val="28"/>
    </w:rPr>
  </w:style>
  <w:style w:type="paragraph" w:styleId="EndnoteText">
    <w:name w:val="endnote text"/>
    <w:basedOn w:val="Normal"/>
    <w:semiHidden/>
    <w:pPr>
      <w:widowControl w:val="0"/>
    </w:pPr>
    <w:rPr>
      <w:snapToGrid w:val="0"/>
      <w:kern w:val="28"/>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0E3D42"/>
    <w:pPr>
      <w:spacing w:after="120"/>
    </w:pPr>
  </w:style>
  <w:style w:type="character" w:styleId="FootnoteReference">
    <w:name w:val="footnote reference"/>
    <w:aliases w:val="Style 12,(NECG) Footnote Reference,Appel note de bas de p,Style 124,o,fr,Style 3,Style 13,FR"/>
    <w:rsid w:val="00A32C3B"/>
    <w:rPr>
      <w:rFonts w:ascii="Times New Roman" w:hAnsi="Times New Roman"/>
      <w:dstrike w:val="0"/>
      <w:color w:val="auto"/>
      <w:sz w:val="20"/>
      <w:vertAlign w:val="superscript"/>
    </w:rPr>
  </w:style>
  <w:style w:type="paragraph" w:styleId="TOC1">
    <w:name w:val="toc 1"/>
    <w:basedOn w:val="Normal"/>
    <w:next w:val="Normal"/>
    <w:semiHidden/>
    <w:pPr>
      <w:widowControl w:val="0"/>
      <w:tabs>
        <w:tab w:val="left" w:pos="360"/>
        <w:tab w:val="right" w:leader="dot" w:pos="9360"/>
      </w:tabs>
      <w:suppressAutoHyphens/>
      <w:ind w:left="360" w:right="720" w:hanging="360"/>
    </w:pPr>
    <w:rPr>
      <w:caps/>
      <w:noProof/>
      <w:snapToGrid w:val="0"/>
      <w:kern w:val="28"/>
    </w:rPr>
  </w:style>
  <w:style w:type="paragraph" w:styleId="TOC2">
    <w:name w:val="toc 2"/>
    <w:basedOn w:val="Normal"/>
    <w:next w:val="Normal"/>
    <w:semiHidden/>
    <w:pPr>
      <w:widowControl w:val="0"/>
      <w:tabs>
        <w:tab w:val="left" w:pos="720"/>
        <w:tab w:val="right" w:leader="dot" w:pos="9360"/>
      </w:tabs>
      <w:suppressAutoHyphens/>
      <w:ind w:left="720" w:right="720" w:hanging="360"/>
    </w:pPr>
    <w:rPr>
      <w:noProof/>
      <w:snapToGrid w:val="0"/>
      <w:kern w:val="28"/>
    </w:rPr>
  </w:style>
  <w:style w:type="paragraph" w:styleId="TOC3">
    <w:name w:val="toc 3"/>
    <w:basedOn w:val="Normal"/>
    <w:next w:val="Normal"/>
    <w:semiHidden/>
    <w:pPr>
      <w:widowControl w:val="0"/>
      <w:tabs>
        <w:tab w:val="left" w:pos="1080"/>
        <w:tab w:val="right" w:leader="dot" w:pos="9360"/>
      </w:tabs>
      <w:suppressAutoHyphens/>
      <w:ind w:left="1080" w:right="720" w:hanging="360"/>
    </w:pPr>
    <w:rPr>
      <w:noProof/>
      <w:snapToGrid w:val="0"/>
      <w:kern w:val="28"/>
    </w:rPr>
  </w:style>
  <w:style w:type="paragraph" w:styleId="TOC4">
    <w:name w:val="toc 4"/>
    <w:basedOn w:val="Normal"/>
    <w:next w:val="Normal"/>
    <w:autoRedefine/>
    <w:semiHidden/>
    <w:pPr>
      <w:widowControl w:val="0"/>
      <w:tabs>
        <w:tab w:val="left" w:pos="1440"/>
        <w:tab w:val="right" w:leader="dot" w:pos="9360"/>
      </w:tabs>
      <w:suppressAutoHyphens/>
      <w:ind w:left="1440" w:right="720" w:hanging="360"/>
    </w:pPr>
    <w:rPr>
      <w:noProof/>
      <w:snapToGrid w:val="0"/>
      <w:kern w:val="28"/>
    </w:rPr>
  </w:style>
  <w:style w:type="paragraph" w:styleId="TOC5">
    <w:name w:val="toc 5"/>
    <w:basedOn w:val="Normal"/>
    <w:next w:val="Normal"/>
    <w:autoRedefine/>
    <w:semiHidden/>
    <w:pPr>
      <w:widowControl w:val="0"/>
      <w:tabs>
        <w:tab w:val="left" w:pos="1800"/>
        <w:tab w:val="right" w:leader="dot" w:pos="9360"/>
      </w:tabs>
      <w:suppressAutoHyphens/>
      <w:ind w:left="1800" w:right="720" w:hanging="360"/>
    </w:pPr>
    <w:rPr>
      <w:noProof/>
      <w:snapToGrid w:val="0"/>
      <w:kern w:val="28"/>
    </w:rPr>
  </w:style>
  <w:style w:type="paragraph" w:styleId="TOC6">
    <w:name w:val="toc 6"/>
    <w:basedOn w:val="Normal"/>
    <w:next w:val="Normal"/>
    <w:autoRedefine/>
    <w:semiHidden/>
    <w:pPr>
      <w:widowControl w:val="0"/>
      <w:tabs>
        <w:tab w:val="left" w:pos="2160"/>
        <w:tab w:val="right" w:leader="dot" w:pos="9360"/>
      </w:tabs>
      <w:suppressAutoHyphens/>
      <w:ind w:left="2160" w:hanging="360"/>
    </w:pPr>
    <w:rPr>
      <w:noProof/>
      <w:snapToGrid w:val="0"/>
      <w:kern w:val="28"/>
    </w:rPr>
  </w:style>
  <w:style w:type="paragraph" w:styleId="TOC7">
    <w:name w:val="toc 7"/>
    <w:basedOn w:val="Normal"/>
    <w:next w:val="Normal"/>
    <w:autoRedefine/>
    <w:semiHidden/>
    <w:pPr>
      <w:widowControl w:val="0"/>
      <w:tabs>
        <w:tab w:val="left" w:pos="2520"/>
        <w:tab w:val="right" w:leader="dot" w:pos="9360"/>
      </w:tabs>
      <w:suppressAutoHyphens/>
      <w:ind w:left="2520" w:hanging="360"/>
    </w:pPr>
    <w:rPr>
      <w:noProof/>
      <w:snapToGrid w:val="0"/>
      <w:kern w:val="28"/>
    </w:rPr>
  </w:style>
  <w:style w:type="paragraph" w:styleId="TOC8">
    <w:name w:val="toc 8"/>
    <w:basedOn w:val="Normal"/>
    <w:next w:val="Normal"/>
    <w:autoRedefine/>
    <w:semiHidden/>
    <w:pPr>
      <w:widowControl w:val="0"/>
      <w:tabs>
        <w:tab w:val="left" w:pos="2880"/>
        <w:tab w:val="right" w:leader="dot" w:pos="9360"/>
      </w:tabs>
      <w:suppressAutoHyphens/>
      <w:ind w:left="2880" w:hanging="360"/>
    </w:pPr>
    <w:rPr>
      <w:noProof/>
      <w:snapToGrid w:val="0"/>
      <w:kern w:val="28"/>
    </w:rPr>
  </w:style>
  <w:style w:type="paragraph" w:styleId="TOC9">
    <w:name w:val="toc 9"/>
    <w:basedOn w:val="Normal"/>
    <w:next w:val="Normal"/>
    <w:autoRedefine/>
    <w:semiHidden/>
    <w:pPr>
      <w:widowControl w:val="0"/>
      <w:tabs>
        <w:tab w:val="left" w:pos="3240"/>
        <w:tab w:val="right" w:leader="dot" w:pos="9360"/>
      </w:tabs>
      <w:suppressAutoHyphens/>
      <w:ind w:left="3240" w:hanging="360"/>
    </w:pPr>
    <w:rPr>
      <w:noProof/>
      <w:snapToGrid w:val="0"/>
      <w:kern w:val="28"/>
    </w:rPr>
  </w:style>
  <w:style w:type="paragraph" w:styleId="TOAHeading">
    <w:name w:val="toa heading"/>
    <w:basedOn w:val="Normal"/>
    <w:next w:val="Normal"/>
    <w:semiHidden/>
    <w:pPr>
      <w:widowControl w:val="0"/>
      <w:tabs>
        <w:tab w:val="right" w:pos="9360"/>
      </w:tabs>
      <w:suppressAutoHyphens/>
    </w:pPr>
    <w:rPr>
      <w:snapToGrid w:val="0"/>
      <w:kern w:val="28"/>
    </w:rPr>
  </w:style>
  <w:style w:type="character" w:customStyle="1" w:styleId="EquationCaption">
    <w:name w:val="_Equation Caption"/>
  </w:style>
  <w:style w:type="paragraph" w:styleId="Header">
    <w:name w:val="header"/>
    <w:basedOn w:val="Normal"/>
    <w:autoRedefine/>
    <w:rsid w:val="00B338A9"/>
    <w:pPr>
      <w:widowControl w:val="0"/>
      <w:spacing w:before="40"/>
    </w:pPr>
    <w:rPr>
      <w:rFonts w:ascii="Arial" w:hAnsi="Arial" w:cs="Arial"/>
      <w:b/>
      <w:snapToGrid w:val="0"/>
      <w:kern w:val="28"/>
      <w:sz w:val="96"/>
    </w:rPr>
  </w:style>
  <w:style w:type="paragraph" w:styleId="Footer">
    <w:name w:val="footer"/>
    <w:basedOn w:val="Normal"/>
    <w:link w:val="FooterChar"/>
    <w:uiPriority w:val="99"/>
    <w:pPr>
      <w:widowControl w:val="0"/>
      <w:tabs>
        <w:tab w:val="center" w:pos="4320"/>
        <w:tab w:val="right" w:pos="8640"/>
      </w:tabs>
    </w:pPr>
    <w:rPr>
      <w:snapToGrid w:val="0"/>
      <w:kern w:val="28"/>
    </w:rPr>
  </w:style>
  <w:style w:type="character" w:styleId="PageNumber">
    <w:name w:val="page number"/>
    <w:basedOn w:val="DefaultParagraphFont"/>
  </w:style>
  <w:style w:type="paragraph" w:styleId="BlockText">
    <w:name w:val="Block Text"/>
    <w:basedOn w:val="Normal"/>
    <w:pPr>
      <w:widowControl w:val="0"/>
      <w:spacing w:after="240"/>
      <w:ind w:left="1440" w:right="1440"/>
    </w:pPr>
    <w:rPr>
      <w:snapToGrid w:val="0"/>
      <w:kern w:val="28"/>
    </w:rPr>
  </w:style>
  <w:style w:type="paragraph" w:customStyle="1" w:styleId="Paratitle">
    <w:name w:val="Para title"/>
    <w:basedOn w:val="Normal"/>
    <w:pPr>
      <w:widowControl w:val="0"/>
      <w:tabs>
        <w:tab w:val="center" w:pos="9270"/>
      </w:tabs>
      <w:spacing w:after="240"/>
    </w:pPr>
    <w:rPr>
      <w:snapToGrid w:val="0"/>
      <w:spacing w:val="-2"/>
      <w:kern w:val="28"/>
    </w:rPr>
  </w:style>
  <w:style w:type="paragraph" w:customStyle="1" w:styleId="Bullet">
    <w:name w:val="Bullet"/>
    <w:basedOn w:val="Normal"/>
    <w:pPr>
      <w:widowControl w:val="0"/>
      <w:tabs>
        <w:tab w:val="left" w:pos="2160"/>
      </w:tabs>
      <w:spacing w:after="220"/>
      <w:ind w:left="2160" w:hanging="720"/>
    </w:pPr>
    <w:rPr>
      <w:snapToGrid w:val="0"/>
      <w:kern w:val="28"/>
    </w:r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widowControl w:val="0"/>
      <w:spacing w:before="240" w:after="240"/>
      <w:jc w:val="center"/>
    </w:pPr>
    <w:rPr>
      <w:rFonts w:ascii="Times New Roman Bold" w:hAnsi="Times New Roman Bold"/>
      <w:b/>
      <w:caps/>
      <w:snapToGrid w:val="0"/>
      <w:spacing w:val="-2"/>
      <w:kern w:val="28"/>
    </w:rPr>
  </w:style>
  <w:style w:type="paragraph" w:customStyle="1" w:styleId="StyleBoldCentered">
    <w:name w:val="Style Bold Centered"/>
    <w:basedOn w:val="Normal"/>
    <w:rsid w:val="00096D8C"/>
    <w:pPr>
      <w:widowControl w:val="0"/>
      <w:jc w:val="center"/>
    </w:pPr>
    <w:rPr>
      <w:rFonts w:ascii="Times New Roman Bold" w:hAnsi="Times New Roman Bold"/>
      <w:b/>
      <w:bCs/>
      <w:caps/>
      <w:snapToGrid w:val="0"/>
      <w:kern w:val="28"/>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pPr>
      <w:widowControl w:val="0"/>
    </w:pPr>
    <w:rPr>
      <w:rFonts w:ascii="Segoe UI" w:hAnsi="Segoe UI" w:cs="Segoe UI"/>
      <w:snapToGrid w:val="0"/>
      <w:kern w:val="28"/>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styleId="CommentReference">
    <w:name w:val="annotation reference"/>
    <w:basedOn w:val="DefaultParagraphFont"/>
    <w:rsid w:val="00C40B91"/>
    <w:rPr>
      <w:sz w:val="16"/>
      <w:szCs w:val="16"/>
    </w:rPr>
  </w:style>
  <w:style w:type="paragraph" w:styleId="CommentText">
    <w:name w:val="annotation text"/>
    <w:basedOn w:val="Normal"/>
    <w:link w:val="CommentTextChar"/>
    <w:rsid w:val="00C40B91"/>
    <w:rPr>
      <w:sz w:val="20"/>
    </w:rPr>
  </w:style>
  <w:style w:type="character" w:customStyle="1" w:styleId="CommentTextChar">
    <w:name w:val="Comment Text Char"/>
    <w:basedOn w:val="DefaultParagraphFont"/>
    <w:link w:val="CommentText"/>
    <w:rsid w:val="00C40B91"/>
  </w:style>
  <w:style w:type="paragraph" w:styleId="CommentSubject">
    <w:name w:val="annotation subject"/>
    <w:basedOn w:val="CommentText"/>
    <w:next w:val="CommentText"/>
    <w:link w:val="CommentSubjectChar"/>
    <w:rsid w:val="00C40B91"/>
    <w:rPr>
      <w:b/>
      <w:bCs/>
    </w:rPr>
  </w:style>
  <w:style w:type="character" w:customStyle="1" w:styleId="CommentSubjectChar">
    <w:name w:val="Comment Subject Char"/>
    <w:basedOn w:val="CommentTextChar"/>
    <w:link w:val="CommentSubject"/>
    <w:rsid w:val="00C40B91"/>
    <w:rPr>
      <w:b/>
      <w:bCs/>
    </w:rPr>
  </w:style>
  <w:style w:type="paragraph" w:styleId="Revision">
    <w:name w:val="Revision"/>
    <w:hidden/>
    <w:uiPriority w:val="99"/>
    <w:semiHidden/>
    <w:rsid w:val="006739AB"/>
    <w:rPr>
      <w:sz w:val="22"/>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3E1D9C"/>
  </w:style>
  <w:style w:type="paragraph" w:styleId="ListParagraph">
    <w:name w:val="List Paragraph"/>
    <w:basedOn w:val="Normal"/>
    <w:uiPriority w:val="34"/>
    <w:qFormat/>
    <w:rsid w:val="003E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c504@fcc.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iot.Greenwald@fcc.gov" TargetMode="External"/><Relationship Id="rId4" Type="http://schemas.openxmlformats.org/officeDocument/2006/relationships/settings" Target="settings.xml"/><Relationship Id="rId9" Type="http://schemas.openxmlformats.org/officeDocument/2006/relationships/hyperlink" Target="http://www.fcc.gov/cgb/dr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1428</Words>
  <Characters>8239</Characters>
  <Application>Microsoft Office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9695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2016-12-12T18:19:00Z</cp:lastPrinted>
  <dcterms:created xsi:type="dcterms:W3CDTF">2016-12-21T18:20:00Z</dcterms:created>
  <dcterms:modified xsi:type="dcterms:W3CDTF">2016-12-21T18:20:00Z</dcterms:modified>
  <cp:category> </cp:category>
  <cp:contentStatus> </cp:contentStatus>
</cp:coreProperties>
</file>