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77" w:rsidRDefault="00602577">
      <w:pPr>
        <w:pStyle w:val="Header"/>
        <w:tabs>
          <w:tab w:val="clear" w:pos="4320"/>
          <w:tab w:val="clear" w:pos="8640"/>
        </w:tabs>
        <w:sectPr w:rsidR="0060257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720" w:footer="1440" w:gutter="0"/>
          <w:cols w:space="720"/>
          <w:titlePg/>
        </w:sectPr>
      </w:pPr>
      <w:bookmarkStart w:id="1" w:name="_GoBack"/>
      <w:bookmarkEnd w:id="1"/>
    </w:p>
    <w:p w:rsidR="002E2013" w:rsidRPr="00DE11D7" w:rsidRDefault="002E2013" w:rsidP="00D2686B">
      <w:pPr>
        <w:jc w:val="right"/>
        <w:rPr>
          <w:b/>
          <w:szCs w:val="22"/>
        </w:rPr>
      </w:pPr>
      <w:r w:rsidRPr="00DE11D7">
        <w:rPr>
          <w:b/>
          <w:szCs w:val="22"/>
        </w:rPr>
        <w:lastRenderedPageBreak/>
        <w:t xml:space="preserve">DA </w:t>
      </w:r>
      <w:r w:rsidRPr="00DE11D7">
        <w:rPr>
          <w:b/>
        </w:rPr>
        <w:t>1</w:t>
      </w:r>
      <w:r>
        <w:rPr>
          <w:b/>
        </w:rPr>
        <w:t>6-</w:t>
      </w:r>
      <w:r w:rsidR="00695543">
        <w:rPr>
          <w:b/>
        </w:rPr>
        <w:t>810</w:t>
      </w:r>
    </w:p>
    <w:p w:rsidR="002E2013" w:rsidRDefault="002E2013" w:rsidP="00D2686B">
      <w:pPr>
        <w:jc w:val="right"/>
        <w:rPr>
          <w:b/>
          <w:szCs w:val="22"/>
        </w:rPr>
      </w:pPr>
      <w:r>
        <w:rPr>
          <w:b/>
          <w:szCs w:val="22"/>
        </w:rPr>
        <w:t>Released: July 18, 2016</w:t>
      </w:r>
    </w:p>
    <w:p w:rsidR="002E2013" w:rsidRDefault="002E2013" w:rsidP="002E2013">
      <w:pPr>
        <w:jc w:val="right"/>
        <w:rPr>
          <w:szCs w:val="22"/>
        </w:rPr>
      </w:pPr>
    </w:p>
    <w:p w:rsidR="002E2013" w:rsidRDefault="002E2013" w:rsidP="002E2013">
      <w:pPr>
        <w:autoSpaceDE w:val="0"/>
        <w:autoSpaceDN w:val="0"/>
        <w:adjustRightInd w:val="0"/>
        <w:spacing w:after="120"/>
        <w:jc w:val="center"/>
        <w:rPr>
          <w:b/>
          <w:bCs/>
          <w:color w:val="000000"/>
          <w:szCs w:val="22"/>
        </w:rPr>
      </w:pPr>
      <w:r>
        <w:rPr>
          <w:b/>
          <w:bCs/>
          <w:color w:val="000000"/>
          <w:szCs w:val="22"/>
        </w:rPr>
        <w:t>WIRELINE COMPETITION BUREAU</w:t>
      </w:r>
      <w:r w:rsidRPr="0006419D">
        <w:rPr>
          <w:b/>
          <w:bCs/>
          <w:caps/>
          <w:color w:val="000000"/>
          <w:szCs w:val="22"/>
        </w:rPr>
        <w:t xml:space="preserve"> and</w:t>
      </w:r>
      <w:r>
        <w:rPr>
          <w:b/>
          <w:bCs/>
          <w:color w:val="000000"/>
          <w:szCs w:val="22"/>
        </w:rPr>
        <w:t xml:space="preserve"> CONSUMER &amp; GOVERNMENTAL AFFAIRS BUREAU SEEK COMMENT ON VTCSECURE LLC PETITION FOR WAIVER OF SECTIONS 64.613(a)(1)-(2), (4), 64.613(b)(2), </w:t>
      </w:r>
      <w:r w:rsidR="007239AB">
        <w:rPr>
          <w:b/>
          <w:bCs/>
          <w:color w:val="000000"/>
          <w:szCs w:val="22"/>
        </w:rPr>
        <w:t>AND</w:t>
      </w:r>
      <w:r>
        <w:rPr>
          <w:b/>
          <w:bCs/>
          <w:color w:val="000000"/>
          <w:szCs w:val="22"/>
        </w:rPr>
        <w:t xml:space="preserve"> 64.623(c) OF THE COMMISSION’S RULES AND REQUEST FOR DECLARATORY RULING TO PERMIT PROVIDERS OF DIRECT SIGN LANGUAGE CUSTOMER SUPPORT SERVICE TO ACCESS THE TELECOMMUNICATIONS RELAY SERVICES NUMBERING DIRECTORY</w:t>
      </w:r>
    </w:p>
    <w:p w:rsidR="002E2013" w:rsidRPr="009878FF" w:rsidRDefault="002E2013" w:rsidP="002E2013">
      <w:pPr>
        <w:autoSpaceDE w:val="0"/>
        <w:autoSpaceDN w:val="0"/>
        <w:adjustRightInd w:val="0"/>
        <w:jc w:val="center"/>
        <w:rPr>
          <w:b/>
          <w:color w:val="000000"/>
          <w:szCs w:val="22"/>
        </w:rPr>
      </w:pPr>
      <w:r>
        <w:rPr>
          <w:b/>
          <w:color w:val="000000"/>
          <w:szCs w:val="22"/>
        </w:rPr>
        <w:t>WC Docket No. 10-191</w:t>
      </w:r>
    </w:p>
    <w:p w:rsidR="002E2013" w:rsidRDefault="002E2013" w:rsidP="002E2013">
      <w:pPr>
        <w:autoSpaceDE w:val="0"/>
        <w:autoSpaceDN w:val="0"/>
        <w:adjustRightInd w:val="0"/>
        <w:jc w:val="center"/>
        <w:rPr>
          <w:b/>
          <w:color w:val="000000"/>
          <w:szCs w:val="22"/>
        </w:rPr>
      </w:pPr>
      <w:r>
        <w:rPr>
          <w:b/>
          <w:color w:val="000000"/>
          <w:szCs w:val="22"/>
        </w:rPr>
        <w:t>CG</w:t>
      </w:r>
      <w:r w:rsidRPr="009878FF">
        <w:rPr>
          <w:b/>
          <w:color w:val="000000"/>
          <w:szCs w:val="22"/>
        </w:rPr>
        <w:t xml:space="preserve"> Docket No</w:t>
      </w:r>
      <w:r>
        <w:rPr>
          <w:b/>
          <w:color w:val="000000"/>
          <w:szCs w:val="22"/>
        </w:rPr>
        <w:t>s</w:t>
      </w:r>
      <w:r w:rsidRPr="009878FF">
        <w:rPr>
          <w:b/>
          <w:color w:val="000000"/>
          <w:szCs w:val="22"/>
        </w:rPr>
        <w:t xml:space="preserve">. </w:t>
      </w:r>
      <w:r>
        <w:rPr>
          <w:b/>
          <w:color w:val="000000"/>
          <w:szCs w:val="22"/>
        </w:rPr>
        <w:t>03-123 and 10-51</w:t>
      </w:r>
    </w:p>
    <w:p w:rsidR="002E2013" w:rsidRPr="009878FF" w:rsidRDefault="002E2013" w:rsidP="002E2013">
      <w:pPr>
        <w:autoSpaceDE w:val="0"/>
        <w:autoSpaceDN w:val="0"/>
        <w:adjustRightInd w:val="0"/>
        <w:jc w:val="center"/>
        <w:rPr>
          <w:b/>
          <w:color w:val="000000"/>
          <w:szCs w:val="22"/>
        </w:rPr>
      </w:pPr>
    </w:p>
    <w:p w:rsidR="002E2013" w:rsidRPr="00E832CD" w:rsidRDefault="002E2013" w:rsidP="002E2013">
      <w:pPr>
        <w:autoSpaceDE w:val="0"/>
        <w:autoSpaceDN w:val="0"/>
        <w:adjustRightInd w:val="0"/>
        <w:rPr>
          <w:b/>
          <w:szCs w:val="22"/>
        </w:rPr>
      </w:pPr>
      <w:r w:rsidRPr="00E832CD">
        <w:rPr>
          <w:b/>
          <w:szCs w:val="22"/>
        </w:rPr>
        <w:t xml:space="preserve">Comment Date:  </w:t>
      </w:r>
      <w:r>
        <w:rPr>
          <w:b/>
          <w:szCs w:val="22"/>
        </w:rPr>
        <w:t xml:space="preserve">August 17, </w:t>
      </w:r>
      <w:r w:rsidRPr="00E832CD">
        <w:rPr>
          <w:b/>
          <w:szCs w:val="22"/>
        </w:rPr>
        <w:t>20</w:t>
      </w:r>
      <w:r>
        <w:rPr>
          <w:b/>
          <w:szCs w:val="22"/>
        </w:rPr>
        <w:t>16</w:t>
      </w:r>
      <w:r w:rsidRPr="00E832CD">
        <w:rPr>
          <w:b/>
          <w:szCs w:val="22"/>
        </w:rPr>
        <w:t xml:space="preserve"> </w:t>
      </w:r>
    </w:p>
    <w:p w:rsidR="002E2013" w:rsidRDefault="002E2013" w:rsidP="002E2013">
      <w:pPr>
        <w:autoSpaceDE w:val="0"/>
        <w:autoSpaceDN w:val="0"/>
        <w:adjustRightInd w:val="0"/>
        <w:spacing w:after="120"/>
        <w:rPr>
          <w:b/>
          <w:szCs w:val="22"/>
        </w:rPr>
      </w:pPr>
      <w:r w:rsidRPr="00E832CD">
        <w:rPr>
          <w:b/>
          <w:szCs w:val="22"/>
        </w:rPr>
        <w:t xml:space="preserve">Reply Comment Date:  </w:t>
      </w:r>
      <w:r>
        <w:rPr>
          <w:b/>
          <w:szCs w:val="22"/>
        </w:rPr>
        <w:t>September 1</w:t>
      </w:r>
      <w:r w:rsidRPr="00E832CD">
        <w:rPr>
          <w:b/>
          <w:szCs w:val="22"/>
        </w:rPr>
        <w:t>, 201</w:t>
      </w:r>
      <w:r>
        <w:rPr>
          <w:b/>
          <w:szCs w:val="22"/>
        </w:rPr>
        <w:t>6</w:t>
      </w:r>
    </w:p>
    <w:p w:rsidR="002E2013" w:rsidRDefault="002E2013" w:rsidP="002E2013">
      <w:pPr>
        <w:spacing w:after="120"/>
        <w:ind w:firstLine="720"/>
        <w:rPr>
          <w:szCs w:val="22"/>
        </w:rPr>
      </w:pPr>
      <w:r>
        <w:rPr>
          <w:szCs w:val="22"/>
        </w:rPr>
        <w:t>On July 6, 2016, VTCSecure LLC (VTCSecure) filed a Petition for Waiver requesting a waiver of sections 64.613(a)(1)-(2), (4), 64.613(b)(2), and 64.623(c) of the Commission’s rules and a Declaratory Ruling to permit providers of direct Sign Language customer support services to access the Telecommunications Relay Services (TRS) Numbering Directory.</w:t>
      </w:r>
      <w:r>
        <w:rPr>
          <w:rStyle w:val="FootnoteReference"/>
          <w:szCs w:val="22"/>
        </w:rPr>
        <w:footnoteReference w:id="1"/>
      </w:r>
      <w:r>
        <w:rPr>
          <w:szCs w:val="22"/>
        </w:rPr>
        <w:t xml:space="preserve">  VTCSecure states that these actions “are needed to enable VTCSecure, and any other provider that chooses to do so, to be able to offer direct [Sign Language] customer support service to increase functional equivalence for hearing impaired and speech impaired individuals, reduce costs to the [TRS] Fund, and improve the utility of the Nation’s telephone network.”</w:t>
      </w:r>
      <w:r>
        <w:rPr>
          <w:rStyle w:val="FootnoteReference"/>
          <w:szCs w:val="22"/>
        </w:rPr>
        <w:footnoteReference w:id="2"/>
      </w:r>
      <w:r>
        <w:rPr>
          <w:szCs w:val="22"/>
        </w:rPr>
        <w:t xml:space="preserve">  VTCSecure also asserts that the Commission should issue a Declaratory Ruling clarifying that Video Relay Service (VRS) providers are required “to support the ability of VRS users to make direct video, voice and text calls to, and receive direct video, voice and text calls from, any [North American Numbering Plan (NANP)] telephone number listed in the TRS Numbering Directory, including direct [Sign Language] customer support service NANP telephone numbers, using the routing information for each such number contained in the TRS Numbering Directory.”</w:t>
      </w:r>
      <w:r>
        <w:rPr>
          <w:rStyle w:val="FootnoteReference"/>
          <w:szCs w:val="22"/>
        </w:rPr>
        <w:footnoteReference w:id="3"/>
      </w:r>
      <w:r>
        <w:rPr>
          <w:szCs w:val="22"/>
        </w:rPr>
        <w:t xml:space="preserve">  </w:t>
      </w:r>
    </w:p>
    <w:p w:rsidR="002E2013" w:rsidRPr="004C5C5C" w:rsidRDefault="002E2013" w:rsidP="002E2013">
      <w:pPr>
        <w:pStyle w:val="Default"/>
        <w:spacing w:after="120"/>
        <w:ind w:firstLine="720"/>
        <w:rPr>
          <w:sz w:val="22"/>
          <w:szCs w:val="22"/>
        </w:rPr>
      </w:pPr>
      <w:r w:rsidRPr="004C5C5C">
        <w:rPr>
          <w:sz w:val="22"/>
          <w:szCs w:val="22"/>
        </w:rPr>
        <w:t>Pursuant to section 1</w:t>
      </w:r>
      <w:r>
        <w:rPr>
          <w:sz w:val="22"/>
          <w:szCs w:val="22"/>
        </w:rPr>
        <w:t>.419 of the Commission’s rules,</w:t>
      </w:r>
      <w:r>
        <w:rPr>
          <w:rStyle w:val="FootnoteReference"/>
          <w:sz w:val="22"/>
          <w:szCs w:val="22"/>
        </w:rPr>
        <w:footnoteReference w:id="4"/>
      </w:r>
      <w:r w:rsidRPr="004C5C5C">
        <w:rPr>
          <w:sz w:val="22"/>
          <w:szCs w:val="22"/>
        </w:rPr>
        <w:t xml:space="preserve"> interested parties may file comments and reply comments on or before the dates indicated </w:t>
      </w:r>
      <w:r>
        <w:rPr>
          <w:sz w:val="22"/>
          <w:szCs w:val="22"/>
        </w:rPr>
        <w:t>above</w:t>
      </w:r>
      <w:r w:rsidRPr="00F934FC">
        <w:rPr>
          <w:sz w:val="22"/>
          <w:szCs w:val="22"/>
        </w:rPr>
        <w:t xml:space="preserve">.  </w:t>
      </w:r>
      <w:r w:rsidRPr="00665B9B">
        <w:rPr>
          <w:rFonts w:eastAsia="Calibri"/>
          <w:sz w:val="22"/>
          <w:szCs w:val="22"/>
        </w:rPr>
        <w:t xml:space="preserve">All filings must be addressed to the Commission’s Secretary, Office of the Secretary, Federal Communications Commission.  </w:t>
      </w:r>
      <w:r w:rsidRPr="00F934FC">
        <w:rPr>
          <w:sz w:val="22"/>
          <w:szCs w:val="22"/>
        </w:rPr>
        <w:t>Comments</w:t>
      </w:r>
      <w:r w:rsidRPr="004C5C5C">
        <w:rPr>
          <w:sz w:val="22"/>
          <w:szCs w:val="22"/>
        </w:rPr>
        <w:t xml:space="preserve"> </w:t>
      </w:r>
      <w:r>
        <w:rPr>
          <w:sz w:val="22"/>
          <w:szCs w:val="22"/>
        </w:rPr>
        <w:t xml:space="preserve">and </w:t>
      </w:r>
      <w:r>
        <w:rPr>
          <w:sz w:val="22"/>
          <w:szCs w:val="22"/>
        </w:rPr>
        <w:lastRenderedPageBreak/>
        <w:t xml:space="preserve">reply comments </w:t>
      </w:r>
      <w:r w:rsidRPr="004C5C5C">
        <w:rPr>
          <w:sz w:val="22"/>
          <w:szCs w:val="22"/>
        </w:rPr>
        <w:t xml:space="preserve">may be filed </w:t>
      </w:r>
      <w:r>
        <w:rPr>
          <w:sz w:val="22"/>
          <w:szCs w:val="22"/>
        </w:rPr>
        <w:t xml:space="preserve">by paper or by </w:t>
      </w:r>
      <w:r w:rsidRPr="004C5C5C">
        <w:rPr>
          <w:sz w:val="22"/>
          <w:szCs w:val="22"/>
        </w:rPr>
        <w:t>using the Commission’s Electronic Comment Filing System (ECFS).</w:t>
      </w:r>
      <w:r>
        <w:rPr>
          <w:rStyle w:val="FootnoteReference"/>
          <w:sz w:val="22"/>
          <w:szCs w:val="22"/>
        </w:rPr>
        <w:footnoteReference w:id="5"/>
      </w:r>
      <w:r w:rsidRPr="004C5C5C">
        <w:rPr>
          <w:sz w:val="22"/>
          <w:szCs w:val="22"/>
        </w:rPr>
        <w:t xml:space="preserve">  </w:t>
      </w:r>
    </w:p>
    <w:p w:rsidR="002E2013" w:rsidRDefault="002E2013" w:rsidP="002E2013">
      <w:pPr>
        <w:numPr>
          <w:ilvl w:val="0"/>
          <w:numId w:val="13"/>
        </w:numPr>
        <w:spacing w:after="120"/>
        <w:contextualSpacing/>
        <w:rPr>
          <w:rFonts w:eastAsia="Calibri"/>
          <w:szCs w:val="22"/>
        </w:rPr>
      </w:pPr>
      <w:r w:rsidRPr="00376BAC">
        <w:rPr>
          <w:rFonts w:eastAsia="Calibri"/>
          <w:szCs w:val="22"/>
        </w:rPr>
        <w:t xml:space="preserve">Electronic Filers:  Comments and reply comments may be filed electronically via </w:t>
      </w:r>
      <w:r w:rsidRPr="00376BAC">
        <w:rPr>
          <w:rFonts w:eastAsia="Calibri"/>
          <w:color w:val="000000"/>
          <w:szCs w:val="22"/>
        </w:rPr>
        <w:t>ECFS</w:t>
      </w:r>
      <w:r w:rsidRPr="00376BAC">
        <w:rPr>
          <w:rFonts w:eastAsia="Calibri"/>
          <w:szCs w:val="22"/>
        </w:rPr>
        <w:t>:</w:t>
      </w:r>
      <w:r w:rsidRPr="00563E62">
        <w:t xml:space="preserve"> </w:t>
      </w:r>
      <w:hyperlink r:id="rId14" w:history="1">
        <w:r w:rsidRPr="00376BAC">
          <w:rPr>
            <w:rStyle w:val="Hyperlink"/>
            <w:rFonts w:eastAsia="Calibri"/>
            <w:szCs w:val="22"/>
          </w:rPr>
          <w:t>http://apps.fcc.gov/ecfs</w:t>
        </w:r>
      </w:hyperlink>
      <w:r w:rsidRPr="00376BAC">
        <w:rPr>
          <w:rFonts w:eastAsia="Calibri"/>
          <w:szCs w:val="22"/>
        </w:rPr>
        <w:t xml:space="preserve">.  </w:t>
      </w:r>
    </w:p>
    <w:p w:rsidR="002E2013" w:rsidRDefault="002E2013" w:rsidP="002E2013">
      <w:pPr>
        <w:ind w:left="720"/>
        <w:rPr>
          <w:rFonts w:eastAsia="Calibri"/>
          <w:sz w:val="12"/>
          <w:szCs w:val="12"/>
        </w:rPr>
      </w:pPr>
    </w:p>
    <w:p w:rsidR="002E2013" w:rsidRPr="00563E62" w:rsidRDefault="002E2013" w:rsidP="002E2013">
      <w:pPr>
        <w:ind w:left="720"/>
        <w:rPr>
          <w:rFonts w:eastAsia="Calibri"/>
          <w:sz w:val="12"/>
          <w:szCs w:val="12"/>
        </w:rPr>
      </w:pPr>
    </w:p>
    <w:p w:rsidR="002E2013" w:rsidRPr="009C5958" w:rsidRDefault="002E2013" w:rsidP="002E2013">
      <w:pPr>
        <w:numPr>
          <w:ilvl w:val="0"/>
          <w:numId w:val="13"/>
        </w:numPr>
        <w:spacing w:after="120"/>
        <w:contextualSpacing/>
        <w:rPr>
          <w:rFonts w:eastAsia="Calibri"/>
          <w:szCs w:val="22"/>
        </w:rPr>
      </w:pPr>
      <w:r w:rsidRPr="00F934FC">
        <w:rPr>
          <w:rFonts w:eastAsia="Calibri"/>
          <w:szCs w:val="22"/>
        </w:rPr>
        <w:t xml:space="preserve">Paper Filers:  Parties who choose to file by paper must file an original and one copy of each filing.  </w:t>
      </w:r>
      <w:r>
        <w:rPr>
          <w:rFonts w:eastAsia="Calibri"/>
          <w:szCs w:val="22"/>
        </w:rPr>
        <w:t xml:space="preserve">Filings can be sent by hand or messenger delivery, by commercial overnight courier, or by first-class or overnight U.S. Postal Service mail.  </w:t>
      </w:r>
    </w:p>
    <w:p w:rsidR="002E2013" w:rsidRDefault="002E2013" w:rsidP="002E2013">
      <w:pPr>
        <w:spacing w:after="120"/>
        <w:ind w:left="720"/>
        <w:contextualSpacing/>
        <w:rPr>
          <w:rFonts w:eastAsia="Calibri"/>
          <w:sz w:val="12"/>
          <w:szCs w:val="12"/>
        </w:rPr>
      </w:pPr>
    </w:p>
    <w:p w:rsidR="002E2013" w:rsidRDefault="002E2013" w:rsidP="002E2013">
      <w:pPr>
        <w:keepNext/>
        <w:numPr>
          <w:ilvl w:val="0"/>
          <w:numId w:val="14"/>
        </w:numPr>
        <w:spacing w:after="120"/>
        <w:ind w:left="1080"/>
        <w:contextualSpacing/>
        <w:rPr>
          <w:rFonts w:eastAsia="Calibri"/>
          <w:szCs w:val="22"/>
        </w:rPr>
      </w:pPr>
      <w:r>
        <w:rPr>
          <w:rFonts w:eastAsia="Calibri"/>
          <w:szCs w:val="22"/>
        </w:rPr>
        <w:t xml:space="preserve">All hand-delivered or messenger-delivered paper filings for the Commission’s Secretary must be delivered to FCC Headquarters at 445 12th Street, SW, Room TW-A325, Washington, DC 20554.  The filing hours are 8:00 a.m. to 7:00 p.m.  All hand deliveries must be held together with rubber bands or fasteners.  Any envelopes and boxes must be disposed of </w:t>
      </w:r>
      <w:r>
        <w:rPr>
          <w:rFonts w:eastAsia="Calibri"/>
          <w:szCs w:val="22"/>
          <w:u w:val="single"/>
        </w:rPr>
        <w:t>before</w:t>
      </w:r>
      <w:r>
        <w:rPr>
          <w:rFonts w:eastAsia="Calibri"/>
          <w:szCs w:val="22"/>
        </w:rPr>
        <w:t xml:space="preserve"> entering the building.</w:t>
      </w:r>
    </w:p>
    <w:p w:rsidR="002E2013" w:rsidRDefault="002E2013" w:rsidP="002E2013">
      <w:pPr>
        <w:ind w:left="1080"/>
        <w:contextualSpacing/>
        <w:rPr>
          <w:rFonts w:eastAsia="Calibri"/>
          <w:sz w:val="12"/>
          <w:szCs w:val="12"/>
        </w:rPr>
      </w:pPr>
    </w:p>
    <w:p w:rsidR="002E2013" w:rsidRDefault="002E2013" w:rsidP="002E2013">
      <w:pPr>
        <w:numPr>
          <w:ilvl w:val="0"/>
          <w:numId w:val="14"/>
        </w:numPr>
        <w:spacing w:after="120"/>
        <w:ind w:left="1080"/>
        <w:contextualSpacing/>
        <w:rPr>
          <w:rFonts w:eastAsia="Calibri"/>
          <w:szCs w:val="22"/>
        </w:rPr>
      </w:pPr>
      <w:r>
        <w:rPr>
          <w:rFonts w:eastAsia="Calibri"/>
          <w:szCs w:val="22"/>
        </w:rPr>
        <w:t>Commercial overnight mail (other than U.S. Postal Service Express Mail and Priority Mail) must be sent to 9300 East Hampton Drive, Capitol Heights, MD 20743.</w:t>
      </w:r>
    </w:p>
    <w:p w:rsidR="002E2013" w:rsidRDefault="002E2013" w:rsidP="002E2013">
      <w:pPr>
        <w:ind w:left="1080"/>
        <w:contextualSpacing/>
        <w:rPr>
          <w:rFonts w:eastAsia="Calibri"/>
          <w:sz w:val="12"/>
          <w:szCs w:val="12"/>
        </w:rPr>
      </w:pPr>
    </w:p>
    <w:p w:rsidR="002E2013" w:rsidRDefault="002E2013" w:rsidP="002E2013">
      <w:pPr>
        <w:numPr>
          <w:ilvl w:val="0"/>
          <w:numId w:val="14"/>
        </w:numPr>
        <w:spacing w:after="120"/>
        <w:ind w:left="1080"/>
        <w:contextualSpacing/>
        <w:rPr>
          <w:rFonts w:eastAsia="Calibri"/>
          <w:szCs w:val="22"/>
        </w:rPr>
      </w:pPr>
      <w:r>
        <w:rPr>
          <w:rFonts w:eastAsia="Calibri"/>
          <w:szCs w:val="22"/>
        </w:rPr>
        <w:t>U.S. Postal Service first-class, Express, and Priority mail must be addressed to 445 12th Street, SW, Washington, DC 20554.</w:t>
      </w:r>
    </w:p>
    <w:p w:rsidR="002E2013" w:rsidRDefault="002E2013" w:rsidP="002E2013">
      <w:pPr>
        <w:ind w:left="1080"/>
        <w:contextualSpacing/>
        <w:rPr>
          <w:rFonts w:eastAsia="Calibri"/>
          <w:sz w:val="12"/>
          <w:szCs w:val="12"/>
        </w:rPr>
      </w:pPr>
    </w:p>
    <w:p w:rsidR="002E2013" w:rsidRDefault="002E2013" w:rsidP="002E2013">
      <w:pPr>
        <w:ind w:firstLine="720"/>
        <w:contextualSpacing/>
        <w:rPr>
          <w:rFonts w:eastAsia="Calibri"/>
          <w:szCs w:val="22"/>
        </w:rPr>
      </w:pPr>
      <w:r>
        <w:rPr>
          <w:rFonts w:eastAsia="Calibri"/>
          <w:szCs w:val="22"/>
        </w:rPr>
        <w:t>People with Disabilities:  To request materials in accessible formats for people with disabilities</w:t>
      </w:r>
    </w:p>
    <w:p w:rsidR="002E2013" w:rsidRDefault="002E2013" w:rsidP="002E2013">
      <w:pPr>
        <w:spacing w:after="120"/>
        <w:contextualSpacing/>
        <w:rPr>
          <w:rFonts w:eastAsia="Calibri"/>
          <w:szCs w:val="22"/>
        </w:rPr>
      </w:pPr>
      <w:r>
        <w:rPr>
          <w:rFonts w:eastAsia="Calibri"/>
          <w:szCs w:val="22"/>
        </w:rPr>
        <w:t xml:space="preserve">(Braille, large print, electronic files, audio format), send an e-mail to </w:t>
      </w:r>
      <w:hyperlink r:id="rId15" w:history="1">
        <w:r w:rsidRPr="00323EB3">
          <w:rPr>
            <w:rStyle w:val="Hyperlink"/>
            <w:rFonts w:eastAsia="Calibri"/>
            <w:szCs w:val="22"/>
          </w:rPr>
          <w:t>fcc504@fcc.gov</w:t>
        </w:r>
      </w:hyperlink>
      <w:r>
        <w:rPr>
          <w:rFonts w:eastAsia="Calibri"/>
          <w:szCs w:val="22"/>
          <w:u w:val="single"/>
        </w:rPr>
        <w:t xml:space="preserve"> </w:t>
      </w:r>
      <w:r>
        <w:rPr>
          <w:rFonts w:eastAsia="Calibri"/>
          <w:szCs w:val="22"/>
        </w:rPr>
        <w:t>or call the Consumer &amp; Governmental Affairs Bureau at (202) 418-0530 (voice) or (202) 418-0432 (tty).</w:t>
      </w:r>
    </w:p>
    <w:p w:rsidR="002E2013" w:rsidRPr="009C5958" w:rsidRDefault="002E2013" w:rsidP="002E2013">
      <w:pPr>
        <w:spacing w:after="120"/>
        <w:contextualSpacing/>
        <w:rPr>
          <w:rFonts w:eastAsia="Calibri"/>
          <w:sz w:val="12"/>
          <w:szCs w:val="12"/>
        </w:rPr>
      </w:pPr>
    </w:p>
    <w:p w:rsidR="002E2013" w:rsidRDefault="002E2013" w:rsidP="002E2013">
      <w:pPr>
        <w:spacing w:after="120"/>
        <w:ind w:firstLine="720"/>
        <w:contextualSpacing/>
        <w:rPr>
          <w:szCs w:val="22"/>
        </w:rPr>
      </w:pPr>
      <w:r w:rsidRPr="00170A3F">
        <w:rPr>
          <w:szCs w:val="22"/>
        </w:rPr>
        <w:t xml:space="preserve">The proceeding this Notice initiates shall be treated as a “permit-but-disclose” proceeding in accordance with the Commission’s </w:t>
      </w:r>
      <w:r w:rsidRPr="00170A3F">
        <w:rPr>
          <w:i/>
          <w:iCs/>
          <w:szCs w:val="22"/>
        </w:rPr>
        <w:t xml:space="preserve">ex parte </w:t>
      </w:r>
      <w:r w:rsidRPr="00170A3F">
        <w:rPr>
          <w:szCs w:val="22"/>
        </w:rPr>
        <w:t>rules.</w:t>
      </w:r>
      <w:r w:rsidRPr="00B8354E">
        <w:rPr>
          <w:rStyle w:val="FootnoteReference"/>
          <w:szCs w:val="22"/>
        </w:rPr>
        <w:footnoteReference w:id="6"/>
      </w:r>
      <w:r w:rsidRPr="00B8354E">
        <w:rPr>
          <w:szCs w:val="22"/>
        </w:rPr>
        <w:t xml:space="preserve">  Persons making </w:t>
      </w:r>
      <w:r w:rsidRPr="005D2406">
        <w:rPr>
          <w:i/>
          <w:szCs w:val="22"/>
        </w:rPr>
        <w:t xml:space="preserve">ex parte </w:t>
      </w:r>
      <w:r w:rsidRPr="005D2406">
        <w:rPr>
          <w:szCs w:val="22"/>
        </w:rPr>
        <w:t xml:space="preserve">presentations must file a copy of any written presentation or a memorandum summarizing any oral presentation within two business days after the presentation (unless a different deadline applicable to the Sunshine period applies).  </w:t>
      </w:r>
      <w:r w:rsidRPr="00170A3F">
        <w:rPr>
          <w:szCs w:val="22"/>
        </w:rPr>
        <w:t xml:space="preserve">Persons making oral </w:t>
      </w:r>
      <w:r w:rsidRPr="00170A3F">
        <w:rPr>
          <w:i/>
          <w:iCs/>
          <w:szCs w:val="22"/>
        </w:rPr>
        <w:t xml:space="preserve">ex parte </w:t>
      </w:r>
      <w:r w:rsidRPr="00170A3F">
        <w:rPr>
          <w:szCs w:val="22"/>
        </w:rPr>
        <w:t xml:space="preserve">presentations are reminded that memoranda summarizing the presentation must (1) list all persons attending or otherwise participating in the meeting at which the </w:t>
      </w:r>
      <w:r w:rsidRPr="00170A3F">
        <w:rPr>
          <w:i/>
          <w:iCs/>
          <w:szCs w:val="22"/>
        </w:rPr>
        <w:t xml:space="preserve">ex parte </w:t>
      </w:r>
      <w:r w:rsidRPr="00170A3F">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170A3F">
        <w:rPr>
          <w:i/>
          <w:iCs/>
          <w:szCs w:val="22"/>
        </w:rPr>
        <w:t xml:space="preserve">ex parte </w:t>
      </w:r>
      <w:r w:rsidRPr="00170A3F">
        <w:rPr>
          <w:szCs w:val="22"/>
        </w:rPr>
        <w:t xml:space="preserve">meetings are deemed to be written </w:t>
      </w:r>
      <w:r w:rsidRPr="00170A3F">
        <w:rPr>
          <w:i/>
          <w:iCs/>
          <w:szCs w:val="22"/>
        </w:rPr>
        <w:t>ex parte</w:t>
      </w:r>
      <w:r w:rsidRPr="00170A3F">
        <w:rPr>
          <w:szCs w:val="22"/>
        </w:rPr>
        <w:t xml:space="preserve"> presentations and must be filed consistent with rule 1.1206(b).</w:t>
      </w:r>
      <w:r>
        <w:rPr>
          <w:rStyle w:val="FootnoteReference"/>
          <w:szCs w:val="22"/>
        </w:rPr>
        <w:footnoteReference w:id="7"/>
      </w:r>
      <w:r w:rsidRPr="00170A3F">
        <w:rPr>
          <w:szCs w:val="22"/>
        </w:rPr>
        <w:t xml:space="preserve">  In proceedings governed by rule 1.49(f) or for which the Commission has made available a method of electronic filing, written </w:t>
      </w:r>
      <w:r w:rsidRPr="00170A3F">
        <w:rPr>
          <w:i/>
          <w:iCs/>
          <w:szCs w:val="22"/>
        </w:rPr>
        <w:t xml:space="preserve">ex parte </w:t>
      </w:r>
      <w:r w:rsidRPr="00170A3F">
        <w:rPr>
          <w:szCs w:val="22"/>
        </w:rPr>
        <w:t xml:space="preserve">presentations and memoranda summarizing oral </w:t>
      </w:r>
      <w:r w:rsidRPr="00170A3F">
        <w:rPr>
          <w:i/>
          <w:iCs/>
          <w:szCs w:val="22"/>
        </w:rPr>
        <w:t xml:space="preserve">ex parte </w:t>
      </w:r>
      <w:r w:rsidRPr="00170A3F">
        <w:rPr>
          <w:szCs w:val="22"/>
        </w:rPr>
        <w:t>presentations, and all attachments thereto, must be filed through the electronic comment filing system available for that proceeding, and must be filed in thei</w:t>
      </w:r>
      <w:r w:rsidRPr="00D86975">
        <w:rPr>
          <w:szCs w:val="22"/>
        </w:rPr>
        <w:t>r native format (</w:t>
      </w:r>
      <w:r w:rsidRPr="00665B9B">
        <w:rPr>
          <w:iCs/>
          <w:szCs w:val="22"/>
        </w:rPr>
        <w:t>e.g.</w:t>
      </w:r>
      <w:r w:rsidRPr="00F934FC">
        <w:rPr>
          <w:szCs w:val="22"/>
        </w:rPr>
        <w:t>,</w:t>
      </w:r>
      <w:r w:rsidRPr="004C5C5C">
        <w:rPr>
          <w:szCs w:val="22"/>
        </w:rPr>
        <w:t xml:space="preserve"> .doc, .xml, .ppt, searchable .pdf).  Participants in this proceeding should familiarize themselves with the Commission’s </w:t>
      </w:r>
      <w:r w:rsidRPr="004C5C5C">
        <w:rPr>
          <w:i/>
          <w:iCs/>
          <w:szCs w:val="22"/>
        </w:rPr>
        <w:t xml:space="preserve">ex parte </w:t>
      </w:r>
      <w:r w:rsidRPr="004C5C5C">
        <w:rPr>
          <w:szCs w:val="22"/>
        </w:rPr>
        <w:t>rules.</w:t>
      </w:r>
    </w:p>
    <w:p w:rsidR="002E2013" w:rsidRPr="009C5958" w:rsidRDefault="002E2013" w:rsidP="002E2013">
      <w:pPr>
        <w:spacing w:after="120"/>
        <w:ind w:firstLine="720"/>
        <w:contextualSpacing/>
        <w:rPr>
          <w:rFonts w:eastAsia="Calibri"/>
          <w:sz w:val="12"/>
          <w:szCs w:val="12"/>
        </w:rPr>
      </w:pPr>
    </w:p>
    <w:p w:rsidR="00602577" w:rsidRDefault="002E2013" w:rsidP="002E2013">
      <w:pPr>
        <w:spacing w:after="240"/>
        <w:ind w:firstLine="720"/>
        <w:rPr>
          <w:rFonts w:eastAsia="Calibri"/>
          <w:szCs w:val="22"/>
        </w:rPr>
      </w:pPr>
      <w:r>
        <w:rPr>
          <w:rFonts w:eastAsia="Calibri"/>
          <w:szCs w:val="22"/>
        </w:rPr>
        <w:lastRenderedPageBreak/>
        <w:t xml:space="preserve">For further information, please contact Michele Levy Berlove, Competition Policy Division, Wireline Competition Bureau, at (202) 418-1477 or via email at </w:t>
      </w:r>
      <w:hyperlink r:id="rId16" w:history="1">
        <w:r w:rsidRPr="005F7761">
          <w:rPr>
            <w:rStyle w:val="Hyperlink"/>
            <w:rFonts w:eastAsia="Calibri"/>
            <w:szCs w:val="22"/>
          </w:rPr>
          <w:t>Michele.Berlove@fcc.gov</w:t>
        </w:r>
      </w:hyperlink>
      <w:r>
        <w:rPr>
          <w:rFonts w:eastAsia="Calibri"/>
          <w:szCs w:val="22"/>
        </w:rPr>
        <w:t xml:space="preserve">.  </w:t>
      </w:r>
    </w:p>
    <w:p w:rsidR="002E2013" w:rsidRPr="009272B6" w:rsidRDefault="002E2013" w:rsidP="002E2013">
      <w:pPr>
        <w:contextualSpacing/>
        <w:jc w:val="center"/>
      </w:pPr>
      <w:r>
        <w:rPr>
          <w:rFonts w:eastAsia="Calibri"/>
          <w:b/>
          <w:szCs w:val="22"/>
        </w:rPr>
        <w:t>- FCC -</w:t>
      </w:r>
    </w:p>
    <w:sectPr w:rsidR="002E2013" w:rsidRPr="009272B6" w:rsidSect="00D2686B">
      <w:type w:val="continuous"/>
      <w:pgSz w:w="12240" w:h="15840" w:code="1"/>
      <w:pgMar w:top="1440" w:right="1440" w:bottom="720" w:left="1440"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89" w:rsidRDefault="006E4389">
      <w:r>
        <w:separator/>
      </w:r>
    </w:p>
  </w:endnote>
  <w:endnote w:type="continuationSeparator" w:id="0">
    <w:p w:rsidR="006E4389" w:rsidRDefault="006E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s Gothic MT">
    <w:altName w:val="Arial"/>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AB" w:rsidRDefault="00787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B0" w:rsidRDefault="007E5FB0">
    <w:pPr>
      <w:pStyle w:val="Footer"/>
      <w:jc w:val="center"/>
    </w:pPr>
    <w:r>
      <w:fldChar w:fldCharType="begin"/>
    </w:r>
    <w:r>
      <w:instrText xml:space="preserve"> PAGE   \* MERGEFORMAT </w:instrText>
    </w:r>
    <w:r>
      <w:fldChar w:fldCharType="separate"/>
    </w:r>
    <w:r w:rsidR="00D32CA4">
      <w:rPr>
        <w:noProof/>
      </w:rPr>
      <w:t>2</w:t>
    </w:r>
    <w:r>
      <w:rPr>
        <w:noProof/>
      </w:rPr>
      <w:fldChar w:fldCharType="end"/>
    </w:r>
  </w:p>
  <w:p w:rsidR="007E5FB0" w:rsidRDefault="007E5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AB" w:rsidRDefault="0078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89" w:rsidRDefault="006E4389">
      <w:r>
        <w:separator/>
      </w:r>
    </w:p>
  </w:footnote>
  <w:footnote w:type="continuationSeparator" w:id="0">
    <w:p w:rsidR="006E4389" w:rsidRDefault="006E4389">
      <w:r>
        <w:continuationSeparator/>
      </w:r>
    </w:p>
  </w:footnote>
  <w:footnote w:id="1">
    <w:p w:rsidR="002E2013" w:rsidRPr="009F56D7" w:rsidRDefault="002E2013" w:rsidP="002E2013">
      <w:pPr>
        <w:autoSpaceDE w:val="0"/>
        <w:autoSpaceDN w:val="0"/>
        <w:adjustRightInd w:val="0"/>
        <w:spacing w:after="120"/>
        <w:rPr>
          <w:sz w:val="20"/>
        </w:rPr>
      </w:pPr>
      <w:r w:rsidRPr="009F56D7">
        <w:rPr>
          <w:rStyle w:val="FootnoteReference"/>
          <w:sz w:val="20"/>
        </w:rPr>
        <w:footnoteRef/>
      </w:r>
      <w:r w:rsidRPr="009F56D7">
        <w:rPr>
          <w:sz w:val="20"/>
        </w:rPr>
        <w:t xml:space="preserve"> Petition of VTCSecure LLC for Waiver of Sections 64.613(a)(1), 64.613(a)(2), 64.613(a)(4), 64.613(b)(2), and 64.623(c) of the Commissions Regulations and Request for Declaratory Ruling to Permit Providers of Direct Sign Language Customer Support Service to Access the TRS Numbering Directory, CG Docket Nos.10-51 and 03-123 (filed Jul. 6, 2016).</w:t>
      </w:r>
    </w:p>
  </w:footnote>
  <w:footnote w:id="2">
    <w:p w:rsidR="002E2013" w:rsidRPr="009F56D7" w:rsidRDefault="002E2013" w:rsidP="002E2013">
      <w:pPr>
        <w:pStyle w:val="FootnoteText"/>
        <w:rPr>
          <w:sz w:val="20"/>
        </w:rPr>
      </w:pPr>
      <w:r w:rsidRPr="009F56D7">
        <w:rPr>
          <w:rStyle w:val="FootnoteReference"/>
          <w:sz w:val="20"/>
        </w:rPr>
        <w:footnoteRef/>
      </w:r>
      <w:r w:rsidRPr="009F56D7">
        <w:rPr>
          <w:sz w:val="20"/>
        </w:rPr>
        <w:t xml:space="preserve"> </w:t>
      </w:r>
      <w:r w:rsidRPr="009F56D7">
        <w:rPr>
          <w:i/>
          <w:sz w:val="20"/>
        </w:rPr>
        <w:t>Id</w:t>
      </w:r>
      <w:r w:rsidRPr="009F56D7">
        <w:rPr>
          <w:sz w:val="20"/>
        </w:rPr>
        <w:t xml:space="preserve">. at 4.  </w:t>
      </w:r>
    </w:p>
  </w:footnote>
  <w:footnote w:id="3">
    <w:p w:rsidR="002E2013" w:rsidRPr="009F56D7" w:rsidRDefault="002E2013" w:rsidP="002E2013">
      <w:pPr>
        <w:pStyle w:val="FootnoteText"/>
        <w:rPr>
          <w:sz w:val="20"/>
        </w:rPr>
      </w:pPr>
      <w:r w:rsidRPr="009F56D7">
        <w:rPr>
          <w:rStyle w:val="FootnoteReference"/>
          <w:sz w:val="20"/>
        </w:rPr>
        <w:footnoteRef/>
      </w:r>
      <w:r w:rsidRPr="009F56D7">
        <w:rPr>
          <w:sz w:val="20"/>
        </w:rPr>
        <w:t xml:space="preserve"> </w:t>
      </w:r>
      <w:r w:rsidRPr="009F56D7">
        <w:rPr>
          <w:i/>
          <w:sz w:val="20"/>
        </w:rPr>
        <w:t>Id</w:t>
      </w:r>
      <w:r w:rsidRPr="009F56D7">
        <w:rPr>
          <w:sz w:val="20"/>
        </w:rPr>
        <w:t xml:space="preserve">. at 18-19. </w:t>
      </w:r>
    </w:p>
  </w:footnote>
  <w:footnote w:id="4">
    <w:p w:rsidR="002E2013" w:rsidRPr="009F56D7" w:rsidRDefault="002E2013" w:rsidP="002E2013">
      <w:pPr>
        <w:pStyle w:val="FootnoteText"/>
        <w:rPr>
          <w:sz w:val="20"/>
        </w:rPr>
      </w:pPr>
      <w:r w:rsidRPr="009F56D7">
        <w:rPr>
          <w:rStyle w:val="FootnoteReference"/>
          <w:sz w:val="20"/>
        </w:rPr>
        <w:footnoteRef/>
      </w:r>
      <w:r w:rsidRPr="009F56D7">
        <w:rPr>
          <w:sz w:val="20"/>
        </w:rPr>
        <w:t xml:space="preserve"> 47 CFR § 1.419.  </w:t>
      </w:r>
    </w:p>
  </w:footnote>
  <w:footnote w:id="5">
    <w:p w:rsidR="002E2013" w:rsidRPr="00563E62" w:rsidRDefault="002E2013" w:rsidP="007E5FB0">
      <w:pPr>
        <w:pStyle w:val="FootnoteText"/>
        <w:spacing w:after="120"/>
        <w:rPr>
          <w:sz w:val="20"/>
        </w:rPr>
      </w:pPr>
      <w:r w:rsidRPr="00563E62">
        <w:rPr>
          <w:rStyle w:val="FootnoteReference"/>
          <w:sz w:val="20"/>
        </w:rPr>
        <w:footnoteRef/>
      </w:r>
      <w:r w:rsidRPr="00563E62">
        <w:rPr>
          <w:sz w:val="20"/>
        </w:rPr>
        <w:t xml:space="preserve"> </w:t>
      </w:r>
      <w:r w:rsidRPr="00563E62">
        <w:rPr>
          <w:i/>
          <w:sz w:val="20"/>
        </w:rPr>
        <w:t xml:space="preserve">See </w:t>
      </w:r>
      <w:r w:rsidRPr="00563E62">
        <w:rPr>
          <w:sz w:val="20"/>
        </w:rPr>
        <w:t>Federal Communications Commission, Electronic Filing of Documents in Rulemaking Proceedings, 63 Fed. Reg. 24121 (May 1, 1998).</w:t>
      </w:r>
    </w:p>
  </w:footnote>
  <w:footnote w:id="6">
    <w:p w:rsidR="002E2013" w:rsidRPr="00563E62" w:rsidRDefault="002E2013" w:rsidP="007E5FB0">
      <w:pPr>
        <w:pStyle w:val="FootnoteText"/>
        <w:spacing w:after="120"/>
        <w:rPr>
          <w:i/>
          <w:iCs/>
          <w:sz w:val="20"/>
        </w:rPr>
      </w:pPr>
      <w:r w:rsidRPr="00563E62">
        <w:rPr>
          <w:rStyle w:val="FootnoteReference"/>
          <w:sz w:val="20"/>
        </w:rPr>
        <w:footnoteRef/>
      </w:r>
      <w:r w:rsidRPr="00563E62">
        <w:rPr>
          <w:sz w:val="20"/>
        </w:rPr>
        <w:t xml:space="preserve"> 47 CFR § 1.1200 </w:t>
      </w:r>
      <w:r w:rsidRPr="00563E62">
        <w:rPr>
          <w:i/>
          <w:iCs/>
          <w:sz w:val="20"/>
        </w:rPr>
        <w:t>et seq.</w:t>
      </w:r>
    </w:p>
  </w:footnote>
  <w:footnote w:id="7">
    <w:p w:rsidR="002E2013" w:rsidRPr="00BF447D" w:rsidRDefault="002E2013" w:rsidP="007E5FB0">
      <w:pPr>
        <w:pStyle w:val="FootnoteText"/>
        <w:spacing w:after="120"/>
        <w:rPr>
          <w:sz w:val="20"/>
        </w:rPr>
      </w:pPr>
      <w:r w:rsidRPr="00563E62">
        <w:rPr>
          <w:rStyle w:val="FootnoteReference"/>
          <w:sz w:val="20"/>
        </w:rPr>
        <w:footnoteRef/>
      </w:r>
      <w:r w:rsidRPr="00563E62">
        <w:rPr>
          <w:sz w:val="20"/>
        </w:rPr>
        <w:t xml:space="preserve"> 47 CFR §</w:t>
      </w:r>
      <w:r w:rsidRPr="00BF447D">
        <w:rPr>
          <w:sz w:val="20"/>
        </w:rPr>
        <w:t xml:space="preserve"> 1.1206(b).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AB" w:rsidRDefault="00787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AB" w:rsidRDefault="00787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77" w:rsidRDefault="00D32CA4">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4.95pt;margin-top:8.5pt;width:41.75pt;height:41.75pt;z-index:251659264" o:allowincell="f">
          <v:imagedata r:id="rId1" o:title="fcc_logo"/>
          <w10:wrap type="topAndBottom"/>
        </v:shape>
      </w:pict>
    </w:r>
    <w:r w:rsidR="00D60EFF">
      <w:rPr>
        <w:rFonts w:ascii="News Gothic MT" w:hAnsi="News Gothic MT"/>
        <w:b/>
        <w:kern w:val="28"/>
        <w:sz w:val="96"/>
      </w:rPr>
      <w:t xml:space="preserve">  </w:t>
    </w:r>
    <w:r w:rsidR="00602577">
      <w:rPr>
        <w:rFonts w:ascii="News Gothic MT" w:hAnsi="News Gothic MT"/>
        <w:b/>
        <w:kern w:val="28"/>
        <w:sz w:val="96"/>
      </w:rPr>
      <w:t>PUBLIC NOTICE</w:t>
    </w:r>
  </w:p>
  <w:p w:rsidR="00602577" w:rsidRDefault="00D32CA4">
    <w:pPr>
      <w:pStyle w:val="Header"/>
      <w:tabs>
        <w:tab w:val="clear" w:pos="4320"/>
        <w:tab w:val="clear" w:pos="8640"/>
        <w:tab w:val="left" w:pos="1080"/>
      </w:tabs>
      <w:spacing w:line="1120" w:lineRule="exact"/>
      <w:ind w:left="720"/>
      <w:rPr>
        <w:rFonts w:ascii="Arial" w:hAnsi="Arial"/>
        <w:b/>
        <w:sz w:val="28"/>
      </w:rPr>
    </w:pPr>
    <w:r>
      <w:rPr>
        <w:rFonts w:ascii="Arial" w:hAnsi="Arial"/>
        <w:b/>
        <w:noProof/>
      </w:rPr>
      <w:pict>
        <v:line id="_x0000_s2052" style="position:absolute;left:0;text-align:left;z-index:251657216" from="37.6pt,54.95pt" to="501.1pt,55.15pt" o:allowincell="f"/>
      </w:pict>
    </w:r>
    <w:r>
      <w:rPr>
        <w:rFonts w:ascii="News Gothic MT" w:hAnsi="News Gothic MT"/>
        <w:b/>
        <w:noProof/>
        <w:sz w:val="24"/>
      </w:rPr>
      <w:pict>
        <v:shapetype id="_x0000_t202" coordsize="21600,21600" o:spt="202" path="m,l,21600r21600,l21600,xe">
          <v:stroke joinstyle="miter"/>
          <v:path gradientshapeok="t" o:connecttype="rect"/>
        </v:shapetype>
        <v:shape id="_x0000_s2050" type="#_x0000_t202" style="position:absolute;left:0;text-align:left;margin-left:30pt;margin-top:.4pt;width:244.8pt;height:50.4pt;z-index:251656192" o:allowincell="f" stroked="f">
          <v:textbox style="mso-next-textbox:#_x0000_s2050">
            <w:txbxContent>
              <w:p w:rsidR="00602577" w:rsidRDefault="00602577">
                <w:pPr>
                  <w:rPr>
                    <w:rFonts w:ascii="Arial" w:hAnsi="Arial"/>
                    <w:b/>
                  </w:rPr>
                </w:pPr>
                <w:r>
                  <w:rPr>
                    <w:rFonts w:ascii="Arial" w:hAnsi="Arial"/>
                    <w:b/>
                  </w:rPr>
                  <w:t>Federal Communications Commission</w:t>
                </w:r>
              </w:p>
              <w:p w:rsidR="00602577" w:rsidRDefault="006025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602577" w:rsidRDefault="00602577">
                <w:pPr>
                  <w:rPr>
                    <w:rFonts w:ascii="Arial" w:hAnsi="Arial"/>
                    <w:sz w:val="24"/>
                  </w:rPr>
                </w:pPr>
                <w:r>
                  <w:rPr>
                    <w:rFonts w:ascii="Arial" w:hAnsi="Arial"/>
                    <w:b/>
                  </w:rPr>
                  <w:t>Washington, D.C. 20554</w:t>
                </w:r>
              </w:p>
            </w:txbxContent>
          </v:textbox>
        </v:shape>
      </w:pict>
    </w:r>
    <w:r>
      <w:rPr>
        <w:rFonts w:ascii="News Gothic MT" w:hAnsi="News Gothic MT"/>
        <w:b/>
        <w:noProof/>
        <w:sz w:val="24"/>
      </w:rPr>
      <w:pict>
        <v:shape id="_x0000_s2053" type="#_x0000_t202" style="position:absolute;left:0;text-align:left;margin-left:301.5pt;margin-top:10.25pt;width:207.95pt;height:43.2pt;z-index:251658240" o:allowincell="f" stroked="f">
          <v:textbox style="mso-next-textbox:#_x0000_s2053" inset=",0,,0">
            <w:txbxContent>
              <w:p w:rsidR="00602577" w:rsidRDefault="00602577">
                <w:pPr>
                  <w:spacing w:before="40"/>
                  <w:jc w:val="right"/>
                  <w:rPr>
                    <w:rFonts w:ascii="Arial" w:hAnsi="Arial"/>
                    <w:b/>
                    <w:sz w:val="16"/>
                  </w:rPr>
                </w:pPr>
                <w:r>
                  <w:rPr>
                    <w:rFonts w:ascii="Arial" w:hAnsi="Arial"/>
                    <w:b/>
                    <w:sz w:val="16"/>
                  </w:rPr>
                  <w:t>News Media Information 202 / 418-0500</w:t>
                </w:r>
              </w:p>
              <w:p w:rsidR="00602577" w:rsidRDefault="00602577">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rsidR="00602577" w:rsidRDefault="00602577">
                <w:pPr>
                  <w:jc w:val="right"/>
                  <w:rPr>
                    <w:rFonts w:ascii="Arial" w:hAnsi="Arial"/>
                    <w:b/>
                    <w:sz w:val="16"/>
                  </w:rPr>
                </w:pPr>
                <w:r>
                  <w:rPr>
                    <w:rFonts w:ascii="Arial" w:hAnsi="Arial"/>
                    <w:b/>
                    <w:sz w:val="16"/>
                  </w:rPr>
                  <w:t>TTY: 1-888-835-5322</w:t>
                </w:r>
              </w:p>
              <w:p w:rsidR="00602577" w:rsidRDefault="00602577">
                <w:pPr>
                  <w:jc w:val="right"/>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A28"/>
    <w:multiLevelType w:val="hybridMultilevel"/>
    <w:tmpl w:val="89249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3">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4">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5">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6">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7">
    <w:nsid w:val="6CCE5AC5"/>
    <w:multiLevelType w:val="hybridMultilevel"/>
    <w:tmpl w:val="E9CA8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13"/>
    <w:rsid w:val="000265AE"/>
    <w:rsid w:val="002E2013"/>
    <w:rsid w:val="00420903"/>
    <w:rsid w:val="00602577"/>
    <w:rsid w:val="00695543"/>
    <w:rsid w:val="006E4389"/>
    <w:rsid w:val="007239AB"/>
    <w:rsid w:val="00736161"/>
    <w:rsid w:val="007875AB"/>
    <w:rsid w:val="007A6139"/>
    <w:rsid w:val="007E5FB0"/>
    <w:rsid w:val="00CE72B4"/>
    <w:rsid w:val="00D17DC0"/>
    <w:rsid w:val="00D2686B"/>
    <w:rsid w:val="00D32CA4"/>
    <w:rsid w:val="00D6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13"/>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Style 13,Appel note de bas de p,Style 124,fr,o,Style 3,FR,Style 17,Footnote Reference/,Style 6"/>
    <w:semiHidden/>
    <w:rPr>
      <w:vertAlign w:val="superscript"/>
    </w:rPr>
  </w:style>
  <w:style w:type="paragraph" w:styleId="FootnoteText">
    <w:name w:val="footnote text"/>
    <w:aliases w:val="Footnote Text Char1,Footnote Text Char Char,ALTS FOOTNOTE Char Char,fn Char Char,Footnote Text Char1 Char Char,Footnote Text Char Char Char Char,ALTS FOOTNOTE Char Char Char Char,fn Char Char Char Char,fn Char1,fn Char,f"/>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semiHidden/>
    <w:rPr>
      <w:color w:val="800080"/>
      <w:u w:val="single"/>
    </w:rPr>
  </w:style>
  <w:style w:type="character" w:customStyle="1" w:styleId="FootnoteTextChar">
    <w:name w:val="Footnote Text Char"/>
    <w:aliases w:val="Footnote Text Char1 Char,Footnote Text Char Char Char,ALTS FOOTNOTE Char Char Char,fn Char Char Char,Footnote Text Char1 Char Char Char,Footnote Text Char Char Char Char Char,ALTS FOOTNOTE Char Char Char Char Char,fn Char1 Char,f Char"/>
    <w:link w:val="FootnoteText"/>
    <w:semiHidden/>
    <w:rsid w:val="002E2013"/>
    <w:rPr>
      <w:sz w:val="22"/>
    </w:rPr>
  </w:style>
  <w:style w:type="paragraph" w:customStyle="1" w:styleId="Default">
    <w:name w:val="Default"/>
    <w:rsid w:val="002E2013"/>
    <w:pPr>
      <w:autoSpaceDE w:val="0"/>
      <w:autoSpaceDN w:val="0"/>
      <w:adjustRightInd w:val="0"/>
    </w:pPr>
    <w:rPr>
      <w:color w:val="000000"/>
      <w:sz w:val="24"/>
      <w:szCs w:val="24"/>
    </w:rPr>
  </w:style>
  <w:style w:type="character" w:customStyle="1" w:styleId="FooterChar">
    <w:name w:val="Footer Char"/>
    <w:link w:val="Footer"/>
    <w:uiPriority w:val="99"/>
    <w:rsid w:val="007E5FB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chele.Berlove@fcc.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cc504@fcc.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fcc.gov/ecf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 Portrait</Template>
  <TotalTime>0</TotalTime>
  <Pages>3</Pages>
  <Words>828</Words>
  <Characters>4706</Characters>
  <Application>Microsoft Office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[Click to enter document number]</vt:lpstr>
    </vt:vector>
  </TitlesOfParts>
  <Manager/>
  <Company/>
  <LinksUpToDate>false</LinksUpToDate>
  <CharactersWithSpaces>5544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2002-01-31T15:18:00Z</cp:lastPrinted>
  <dcterms:created xsi:type="dcterms:W3CDTF">2016-07-18T20:19:00Z</dcterms:created>
  <dcterms:modified xsi:type="dcterms:W3CDTF">2016-07-18T20:19:00Z</dcterms:modified>
  <cp:category> </cp:category>
  <cp:contentStatus> </cp:contentStatus>
</cp:coreProperties>
</file>