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5E557" w14:textId="77777777" w:rsidR="004C2EE3" w:rsidRPr="002D30C6" w:rsidRDefault="004C2EE3" w:rsidP="002D30C6">
      <w:pPr>
        <w:pStyle w:val="StyleBoldCentered"/>
      </w:pPr>
      <w:bookmarkStart w:id="0" w:name="_GoBack"/>
      <w:bookmarkEnd w:id="0"/>
      <w:r w:rsidRPr="002D30C6">
        <w:t>Before the</w:t>
      </w:r>
    </w:p>
    <w:p w14:paraId="53FC12DF" w14:textId="77777777" w:rsidR="00921803" w:rsidRPr="002D30C6" w:rsidRDefault="00921803" w:rsidP="002D30C6">
      <w:pPr>
        <w:pStyle w:val="StyleBoldCentered"/>
      </w:pPr>
      <w:r w:rsidRPr="002D30C6">
        <w:t>Federal Communications Commission</w:t>
      </w:r>
    </w:p>
    <w:p w14:paraId="086CCDCE" w14:textId="77777777" w:rsidR="004C2EE3" w:rsidRDefault="00810B6F" w:rsidP="002D30C6">
      <w:pPr>
        <w:pStyle w:val="StyleBoldCentered"/>
      </w:pPr>
      <w:r w:rsidRPr="002D30C6">
        <w:t>Washington, D.C. 20554</w:t>
      </w:r>
    </w:p>
    <w:p w14:paraId="512014AD" w14:textId="77777777" w:rsidR="004C2EE3" w:rsidRDefault="004C2EE3" w:rsidP="0070224F"/>
    <w:p w14:paraId="56C61D91" w14:textId="77777777"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14:paraId="2188B119" w14:textId="77777777">
        <w:tc>
          <w:tcPr>
            <w:tcW w:w="4698" w:type="dxa"/>
          </w:tcPr>
          <w:p w14:paraId="09693306" w14:textId="77777777" w:rsidR="004C2EE3" w:rsidRDefault="004C2EE3">
            <w:pPr>
              <w:tabs>
                <w:tab w:val="center" w:pos="4680"/>
              </w:tabs>
              <w:suppressAutoHyphens/>
              <w:rPr>
                <w:spacing w:val="-2"/>
              </w:rPr>
            </w:pPr>
            <w:r>
              <w:rPr>
                <w:spacing w:val="-2"/>
              </w:rPr>
              <w:t>In the Matter of</w:t>
            </w:r>
          </w:p>
          <w:p w14:paraId="23D71D83" w14:textId="77777777" w:rsidR="004C2EE3" w:rsidRDefault="004C2EE3">
            <w:pPr>
              <w:tabs>
                <w:tab w:val="center" w:pos="4680"/>
              </w:tabs>
              <w:suppressAutoHyphens/>
              <w:rPr>
                <w:spacing w:val="-2"/>
              </w:rPr>
            </w:pPr>
          </w:p>
          <w:p w14:paraId="0E93E423" w14:textId="77777777" w:rsidR="004C2EE3" w:rsidRDefault="009C1DAC" w:rsidP="007115F7">
            <w:pPr>
              <w:tabs>
                <w:tab w:val="center" w:pos="4680"/>
              </w:tabs>
              <w:suppressAutoHyphens/>
            </w:pPr>
            <w:r>
              <w:t>Telecommunications Relay Services and Speech-to-Speech Services for Individuals with Hearing and Speech Disabilities</w:t>
            </w:r>
          </w:p>
          <w:p w14:paraId="5AA3D95F" w14:textId="77777777" w:rsidR="009C1DAC" w:rsidRDefault="009C1DAC" w:rsidP="007115F7">
            <w:pPr>
              <w:tabs>
                <w:tab w:val="center" w:pos="4680"/>
              </w:tabs>
              <w:suppressAutoHyphens/>
            </w:pPr>
          </w:p>
          <w:p w14:paraId="5AD6F65D" w14:textId="77777777" w:rsidR="009C1DAC" w:rsidRDefault="009C1DAC" w:rsidP="007115F7">
            <w:pPr>
              <w:tabs>
                <w:tab w:val="center" w:pos="4680"/>
              </w:tabs>
              <w:suppressAutoHyphens/>
              <w:rPr>
                <w:spacing w:val="-2"/>
              </w:rPr>
            </w:pPr>
            <w:r>
              <w:rPr>
                <w:spacing w:val="-2"/>
              </w:rPr>
              <w:t xml:space="preserve">Hamilton Relay, Inc., and Sprint Corporation </w:t>
            </w:r>
          </w:p>
          <w:p w14:paraId="03B63A5C" w14:textId="77777777" w:rsidR="009C1DAC" w:rsidRDefault="009C1DAC" w:rsidP="007115F7">
            <w:pPr>
              <w:tabs>
                <w:tab w:val="center" w:pos="4680"/>
              </w:tabs>
              <w:suppressAutoHyphens/>
              <w:rPr>
                <w:spacing w:val="-2"/>
              </w:rPr>
            </w:pPr>
          </w:p>
          <w:p w14:paraId="00E99678" w14:textId="77777777" w:rsidR="009C1DAC" w:rsidRPr="007115F7" w:rsidRDefault="009C1DAC" w:rsidP="00060D44">
            <w:pPr>
              <w:tabs>
                <w:tab w:val="center" w:pos="4680"/>
              </w:tabs>
              <w:suppressAutoHyphens/>
              <w:rPr>
                <w:spacing w:val="-2"/>
              </w:rPr>
            </w:pPr>
            <w:r>
              <w:rPr>
                <w:spacing w:val="-2"/>
              </w:rPr>
              <w:t>Petitions for Interim Waiver of Section</w:t>
            </w:r>
            <w:r w:rsidR="00060D44">
              <w:rPr>
                <w:spacing w:val="-2"/>
              </w:rPr>
              <w:t>s</w:t>
            </w:r>
            <w:r>
              <w:rPr>
                <w:spacing w:val="-2"/>
              </w:rPr>
              <w:t xml:space="preserve"> 64.604(b)(3) and 64.604(a)(3)(ii)</w:t>
            </w:r>
          </w:p>
        </w:tc>
        <w:tc>
          <w:tcPr>
            <w:tcW w:w="630" w:type="dxa"/>
          </w:tcPr>
          <w:p w14:paraId="1C3E322B" w14:textId="77777777" w:rsidR="004C2EE3" w:rsidRDefault="004C2EE3">
            <w:pPr>
              <w:tabs>
                <w:tab w:val="center" w:pos="4680"/>
              </w:tabs>
              <w:suppressAutoHyphens/>
              <w:rPr>
                <w:b/>
                <w:spacing w:val="-2"/>
              </w:rPr>
            </w:pPr>
            <w:r>
              <w:rPr>
                <w:b/>
                <w:spacing w:val="-2"/>
              </w:rPr>
              <w:t>)</w:t>
            </w:r>
          </w:p>
          <w:p w14:paraId="1917546C" w14:textId="77777777" w:rsidR="004C2EE3" w:rsidRDefault="004C2EE3">
            <w:pPr>
              <w:tabs>
                <w:tab w:val="center" w:pos="4680"/>
              </w:tabs>
              <w:suppressAutoHyphens/>
              <w:rPr>
                <w:b/>
                <w:spacing w:val="-2"/>
              </w:rPr>
            </w:pPr>
            <w:r>
              <w:rPr>
                <w:b/>
                <w:spacing w:val="-2"/>
              </w:rPr>
              <w:t>)</w:t>
            </w:r>
          </w:p>
          <w:p w14:paraId="2F0E6613" w14:textId="77777777" w:rsidR="004C2EE3" w:rsidRDefault="004C2EE3">
            <w:pPr>
              <w:tabs>
                <w:tab w:val="center" w:pos="4680"/>
              </w:tabs>
              <w:suppressAutoHyphens/>
              <w:rPr>
                <w:b/>
                <w:spacing w:val="-2"/>
              </w:rPr>
            </w:pPr>
            <w:r>
              <w:rPr>
                <w:b/>
                <w:spacing w:val="-2"/>
              </w:rPr>
              <w:t>)</w:t>
            </w:r>
          </w:p>
          <w:p w14:paraId="566EB6E3" w14:textId="77777777" w:rsidR="004C2EE3" w:rsidRDefault="004C2EE3">
            <w:pPr>
              <w:tabs>
                <w:tab w:val="center" w:pos="4680"/>
              </w:tabs>
              <w:suppressAutoHyphens/>
              <w:rPr>
                <w:b/>
                <w:spacing w:val="-2"/>
              </w:rPr>
            </w:pPr>
            <w:r>
              <w:rPr>
                <w:b/>
                <w:spacing w:val="-2"/>
              </w:rPr>
              <w:t>)</w:t>
            </w:r>
          </w:p>
          <w:p w14:paraId="706B0BB3" w14:textId="77777777" w:rsidR="004C2EE3" w:rsidRDefault="004C2EE3">
            <w:pPr>
              <w:tabs>
                <w:tab w:val="center" w:pos="4680"/>
              </w:tabs>
              <w:suppressAutoHyphens/>
              <w:rPr>
                <w:b/>
                <w:spacing w:val="-2"/>
              </w:rPr>
            </w:pPr>
            <w:r>
              <w:rPr>
                <w:b/>
                <w:spacing w:val="-2"/>
              </w:rPr>
              <w:t>)</w:t>
            </w:r>
          </w:p>
          <w:p w14:paraId="55ACC378" w14:textId="77777777" w:rsidR="004C2EE3" w:rsidRDefault="004C2EE3">
            <w:pPr>
              <w:tabs>
                <w:tab w:val="center" w:pos="4680"/>
              </w:tabs>
              <w:suppressAutoHyphens/>
              <w:rPr>
                <w:b/>
                <w:spacing w:val="-2"/>
              </w:rPr>
            </w:pPr>
            <w:r>
              <w:rPr>
                <w:b/>
                <w:spacing w:val="-2"/>
              </w:rPr>
              <w:t>)</w:t>
            </w:r>
          </w:p>
          <w:p w14:paraId="5FD3ACBB" w14:textId="77777777" w:rsidR="004C2EE3" w:rsidRDefault="004C2EE3">
            <w:pPr>
              <w:tabs>
                <w:tab w:val="center" w:pos="4680"/>
              </w:tabs>
              <w:suppressAutoHyphens/>
              <w:rPr>
                <w:b/>
                <w:spacing w:val="-2"/>
              </w:rPr>
            </w:pPr>
            <w:r>
              <w:rPr>
                <w:b/>
                <w:spacing w:val="-2"/>
              </w:rPr>
              <w:t>)</w:t>
            </w:r>
          </w:p>
          <w:p w14:paraId="56966F7A" w14:textId="77777777" w:rsidR="004C2EE3" w:rsidRDefault="004C2EE3">
            <w:pPr>
              <w:tabs>
                <w:tab w:val="center" w:pos="4680"/>
              </w:tabs>
              <w:suppressAutoHyphens/>
              <w:rPr>
                <w:b/>
                <w:spacing w:val="-2"/>
              </w:rPr>
            </w:pPr>
            <w:r>
              <w:rPr>
                <w:b/>
                <w:spacing w:val="-2"/>
              </w:rPr>
              <w:t>)</w:t>
            </w:r>
          </w:p>
          <w:p w14:paraId="643F8A96" w14:textId="77777777" w:rsidR="004C2EE3" w:rsidRDefault="004C2EE3">
            <w:pPr>
              <w:tabs>
                <w:tab w:val="center" w:pos="4680"/>
              </w:tabs>
              <w:suppressAutoHyphens/>
              <w:rPr>
                <w:b/>
                <w:spacing w:val="-2"/>
              </w:rPr>
            </w:pPr>
            <w:r>
              <w:rPr>
                <w:b/>
                <w:spacing w:val="-2"/>
              </w:rPr>
              <w:t>)</w:t>
            </w:r>
          </w:p>
          <w:p w14:paraId="74B49294" w14:textId="77777777" w:rsidR="009C1DAC" w:rsidRDefault="009C1DAC">
            <w:pPr>
              <w:tabs>
                <w:tab w:val="center" w:pos="4680"/>
              </w:tabs>
              <w:suppressAutoHyphens/>
              <w:rPr>
                <w:spacing w:val="-2"/>
              </w:rPr>
            </w:pPr>
            <w:r>
              <w:rPr>
                <w:b/>
                <w:spacing w:val="-2"/>
              </w:rPr>
              <w:t>)</w:t>
            </w:r>
          </w:p>
        </w:tc>
        <w:tc>
          <w:tcPr>
            <w:tcW w:w="4248" w:type="dxa"/>
          </w:tcPr>
          <w:p w14:paraId="4E681BCB" w14:textId="77777777" w:rsidR="004C2EE3" w:rsidRDefault="004C2EE3">
            <w:pPr>
              <w:tabs>
                <w:tab w:val="center" w:pos="4680"/>
              </w:tabs>
              <w:suppressAutoHyphens/>
              <w:rPr>
                <w:spacing w:val="-2"/>
              </w:rPr>
            </w:pPr>
          </w:p>
          <w:p w14:paraId="0AFF2778" w14:textId="77777777" w:rsidR="004C2EE3" w:rsidRDefault="004C2EE3" w:rsidP="002D30C6"/>
          <w:p w14:paraId="7999EF92" w14:textId="77777777" w:rsidR="004C2EE3" w:rsidRDefault="009C1DAC">
            <w:pPr>
              <w:tabs>
                <w:tab w:val="center" w:pos="4680"/>
              </w:tabs>
              <w:suppressAutoHyphens/>
              <w:rPr>
                <w:spacing w:val="-2"/>
              </w:rPr>
            </w:pPr>
            <w:r>
              <w:rPr>
                <w:spacing w:val="-2"/>
              </w:rPr>
              <w:t>CG Docket No. 03-123</w:t>
            </w:r>
          </w:p>
        </w:tc>
      </w:tr>
    </w:tbl>
    <w:p w14:paraId="13FEC5B4" w14:textId="77777777" w:rsidR="004C2EE3" w:rsidRDefault="004C2EE3" w:rsidP="0070224F"/>
    <w:p w14:paraId="2FF35805" w14:textId="77777777" w:rsidR="00841AB1" w:rsidRPr="002D30C6" w:rsidRDefault="009C1DAC" w:rsidP="00F021FA">
      <w:pPr>
        <w:pStyle w:val="StyleBoldCentered"/>
        <w:rPr>
          <w:caps/>
        </w:rPr>
      </w:pPr>
      <w:r w:rsidRPr="002D30C6">
        <w:rPr>
          <w:caps/>
        </w:rPr>
        <w:t>Order</w:t>
      </w:r>
    </w:p>
    <w:p w14:paraId="25847230" w14:textId="77777777" w:rsidR="004C2EE3" w:rsidRDefault="004C2EE3">
      <w:pPr>
        <w:tabs>
          <w:tab w:val="left" w:pos="-720"/>
        </w:tabs>
        <w:suppressAutoHyphens/>
        <w:spacing w:line="227" w:lineRule="auto"/>
        <w:rPr>
          <w:spacing w:val="-2"/>
        </w:rPr>
      </w:pPr>
    </w:p>
    <w:p w14:paraId="651D6205" w14:textId="78856A1A" w:rsidR="004C2EE3" w:rsidRDefault="004C2EE3" w:rsidP="00133F79">
      <w:pPr>
        <w:tabs>
          <w:tab w:val="left" w:pos="720"/>
          <w:tab w:val="right" w:pos="9360"/>
        </w:tabs>
        <w:suppressAutoHyphens/>
        <w:spacing w:line="227" w:lineRule="auto"/>
        <w:rPr>
          <w:spacing w:val="-2"/>
        </w:rPr>
      </w:pPr>
      <w:r>
        <w:rPr>
          <w:b/>
          <w:spacing w:val="-2"/>
        </w:rPr>
        <w:t xml:space="preserve">Adopted:  </w:t>
      </w:r>
      <w:r w:rsidR="00782733">
        <w:rPr>
          <w:b/>
          <w:spacing w:val="-2"/>
        </w:rPr>
        <w:t xml:space="preserve">August </w:t>
      </w:r>
      <w:r w:rsidR="00211D04">
        <w:rPr>
          <w:b/>
          <w:spacing w:val="-2"/>
        </w:rPr>
        <w:t>2</w:t>
      </w:r>
      <w:r w:rsidR="009252E9">
        <w:rPr>
          <w:b/>
          <w:spacing w:val="-2"/>
        </w:rPr>
        <w:t>4</w:t>
      </w:r>
      <w:r w:rsidR="006619B2">
        <w:rPr>
          <w:b/>
          <w:spacing w:val="-2"/>
        </w:rPr>
        <w:t>, 2016</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782733">
        <w:rPr>
          <w:b/>
          <w:spacing w:val="-2"/>
        </w:rPr>
        <w:t xml:space="preserve">August </w:t>
      </w:r>
      <w:r w:rsidR="00211D04">
        <w:rPr>
          <w:b/>
          <w:spacing w:val="-2"/>
        </w:rPr>
        <w:t>2</w:t>
      </w:r>
      <w:r w:rsidR="009252E9">
        <w:rPr>
          <w:b/>
          <w:spacing w:val="-2"/>
        </w:rPr>
        <w:t>4</w:t>
      </w:r>
      <w:r w:rsidR="006619B2">
        <w:rPr>
          <w:b/>
          <w:spacing w:val="-2"/>
        </w:rPr>
        <w:t>, 2016</w:t>
      </w:r>
    </w:p>
    <w:p w14:paraId="334637B4" w14:textId="77777777" w:rsidR="00822CE0" w:rsidRDefault="00822CE0"/>
    <w:p w14:paraId="27D3BEB9" w14:textId="77777777" w:rsidR="006E2E8A" w:rsidRDefault="004C2EE3" w:rsidP="006E2E8A">
      <w:pPr>
        <w:rPr>
          <w:spacing w:val="-2"/>
        </w:rPr>
      </w:pPr>
      <w:r>
        <w:t xml:space="preserve">By </w:t>
      </w:r>
      <w:r w:rsidR="004E4A22">
        <w:t>the</w:t>
      </w:r>
      <w:r w:rsidR="002A2D2E">
        <w:t xml:space="preserve"> </w:t>
      </w:r>
      <w:r w:rsidR="002F0BC8">
        <w:rPr>
          <w:spacing w:val="-2"/>
        </w:rPr>
        <w:t>Deputy Chief</w:t>
      </w:r>
      <w:r w:rsidR="008D7252">
        <w:rPr>
          <w:spacing w:val="-2"/>
        </w:rPr>
        <w:t>, Consumer and Governmental Affairs</w:t>
      </w:r>
      <w:r w:rsidR="00C95FC3">
        <w:rPr>
          <w:spacing w:val="-2"/>
        </w:rPr>
        <w:t xml:space="preserve"> Bureau</w:t>
      </w:r>
      <w:r>
        <w:rPr>
          <w:spacing w:val="-2"/>
        </w:rPr>
        <w:t>:</w:t>
      </w:r>
    </w:p>
    <w:p w14:paraId="014879E1" w14:textId="77777777" w:rsidR="006E2E8A" w:rsidRDefault="006E2E8A" w:rsidP="006E2E8A">
      <w:pPr>
        <w:rPr>
          <w:spacing w:val="-2"/>
        </w:rPr>
      </w:pPr>
    </w:p>
    <w:p w14:paraId="547868D4" w14:textId="38C483BA" w:rsidR="006619B2" w:rsidRDefault="006619B2" w:rsidP="006C0DCC">
      <w:pPr>
        <w:pStyle w:val="ParaNum"/>
        <w:widowControl/>
        <w:numPr>
          <w:ilvl w:val="0"/>
          <w:numId w:val="7"/>
        </w:numPr>
        <w:tabs>
          <w:tab w:val="clear" w:pos="1080"/>
          <w:tab w:val="num" w:pos="1440"/>
        </w:tabs>
      </w:pPr>
      <w:r>
        <w:t xml:space="preserve">By this Order, the Consumer and Governmental Affairs Bureau </w:t>
      </w:r>
      <w:r w:rsidR="00385738">
        <w:t xml:space="preserve">(CGB or Bureau) </w:t>
      </w:r>
      <w:r>
        <w:t xml:space="preserve">grants </w:t>
      </w:r>
      <w:r w:rsidR="00E36E84">
        <w:t xml:space="preserve">requests from </w:t>
      </w:r>
      <w:r w:rsidR="006E2E8A">
        <w:t>Sprint Corporation (Sprint) and Hamilton Relay Inc. (Hamilton)</w:t>
      </w:r>
      <w:r w:rsidR="004163B0" w:rsidRPr="006C0DCC">
        <w:t xml:space="preserve"> </w:t>
      </w:r>
      <w:r w:rsidR="004163B0">
        <w:t xml:space="preserve">for </w:t>
      </w:r>
      <w:r w:rsidR="00351617">
        <w:t>temporary</w:t>
      </w:r>
      <w:r>
        <w:t xml:space="preserve"> waiver</w:t>
      </w:r>
      <w:r w:rsidR="00A13AAD">
        <w:t>s</w:t>
      </w:r>
      <w:r w:rsidR="006E2E8A">
        <w:t xml:space="preserve"> of two mandator</w:t>
      </w:r>
      <w:r w:rsidR="00915AD2">
        <w:t>y minimum requirements</w:t>
      </w:r>
      <w:r w:rsidR="00385738" w:rsidRPr="00385738">
        <w:t xml:space="preserve"> </w:t>
      </w:r>
      <w:r w:rsidR="00385738">
        <w:t xml:space="preserve">that currently apply to the provision of traditional </w:t>
      </w:r>
      <w:r w:rsidR="00472E43">
        <w:t>t</w:t>
      </w:r>
      <w:r w:rsidR="00385738">
        <w:t xml:space="preserve">elecommunications </w:t>
      </w:r>
      <w:r w:rsidR="00472E43">
        <w:t>r</w:t>
      </w:r>
      <w:r w:rsidR="00385738">
        <w:t xml:space="preserve">elay </w:t>
      </w:r>
      <w:r w:rsidR="00472E43">
        <w:t>s</w:t>
      </w:r>
      <w:r w:rsidR="00385738">
        <w:t>ervice (TRS)</w:t>
      </w:r>
      <w:r w:rsidR="001A691C">
        <w:t>,</w:t>
      </w:r>
      <w:r w:rsidR="0062556A">
        <w:rPr>
          <w:rStyle w:val="FootnoteReference"/>
        </w:rPr>
        <w:footnoteReference w:id="2"/>
      </w:r>
      <w:r w:rsidR="00385738">
        <w:t xml:space="preserve"> </w:t>
      </w:r>
      <w:r w:rsidR="001A691C">
        <w:t>speech-to-speech relay service (STS),</w:t>
      </w:r>
      <w:r w:rsidR="00472E43">
        <w:rPr>
          <w:rStyle w:val="FootnoteReference"/>
        </w:rPr>
        <w:footnoteReference w:id="3"/>
      </w:r>
      <w:r w:rsidR="001A691C">
        <w:t xml:space="preserve"> </w:t>
      </w:r>
      <w:r w:rsidR="00385738">
        <w:t xml:space="preserve">and </w:t>
      </w:r>
      <w:r w:rsidR="00472E43">
        <w:t>c</w:t>
      </w:r>
      <w:r w:rsidR="00385738">
        <w:t xml:space="preserve">aptioned </w:t>
      </w:r>
      <w:r w:rsidR="00472E43">
        <w:t>t</w:t>
      </w:r>
      <w:r w:rsidR="00385738">
        <w:t xml:space="preserve">elephone </w:t>
      </w:r>
      <w:r w:rsidR="00472E43">
        <w:t>s</w:t>
      </w:r>
      <w:r w:rsidR="00385738">
        <w:t>ervice (CTS)</w:t>
      </w:r>
      <w:r w:rsidR="00351617">
        <w:t>.</w:t>
      </w:r>
      <w:r w:rsidR="00472E43">
        <w:rPr>
          <w:rStyle w:val="FootnoteReference"/>
        </w:rPr>
        <w:footnoteReference w:id="4"/>
      </w:r>
      <w:r w:rsidR="00385738">
        <w:t xml:space="preserve"> </w:t>
      </w:r>
      <w:r w:rsidR="00915AD2">
        <w:t xml:space="preserve"> </w:t>
      </w:r>
      <w:r w:rsidR="00351617">
        <w:t xml:space="preserve">The rules </w:t>
      </w:r>
      <w:r w:rsidR="00D253EF">
        <w:t xml:space="preserve">at issue </w:t>
      </w:r>
      <w:r w:rsidR="00351617">
        <w:t xml:space="preserve">require TRS providers to allow users to have long distance calls carried by their preferred long distance carrier and to offer the same billing options (such as collect, calling card, and third party billing) traditionally offered by wireline telephone companies.  By this Order, these two requirements </w:t>
      </w:r>
      <w:r w:rsidR="00385738">
        <w:t xml:space="preserve">are </w:t>
      </w:r>
      <w:r w:rsidR="00351617">
        <w:t xml:space="preserve">temporarily </w:t>
      </w:r>
      <w:r w:rsidR="00385738">
        <w:t xml:space="preserve">waived </w:t>
      </w:r>
      <w:r w:rsidR="00D31953">
        <w:t>for providers of traditional TRS</w:t>
      </w:r>
      <w:r w:rsidR="001A691C">
        <w:t>, STS,</w:t>
      </w:r>
      <w:r w:rsidR="00D31953">
        <w:t xml:space="preserve"> and CTS, </w:t>
      </w:r>
      <w:r w:rsidR="00A1163E">
        <w:t xml:space="preserve">to the extent that the providers do not assess a toll charge for long-distance </w:t>
      </w:r>
      <w:r w:rsidR="00D31953">
        <w:t>calls</w:t>
      </w:r>
      <w:r w:rsidR="00A1163E">
        <w:t xml:space="preserve">.  </w:t>
      </w:r>
      <w:r w:rsidR="00A13AAD">
        <w:t>Each</w:t>
      </w:r>
      <w:r w:rsidR="009E4A6D">
        <w:t xml:space="preserve"> </w:t>
      </w:r>
      <w:r w:rsidR="00A1163E">
        <w:t xml:space="preserve">waiver </w:t>
      </w:r>
      <w:r w:rsidR="009E4A6D">
        <w:t>remains in effect</w:t>
      </w:r>
      <w:r w:rsidR="00385738">
        <w:t xml:space="preserve"> for </w:t>
      </w:r>
      <w:r w:rsidR="00C27082">
        <w:t xml:space="preserve">two </w:t>
      </w:r>
      <w:r w:rsidR="00C27082">
        <w:lastRenderedPageBreak/>
        <w:t>years</w:t>
      </w:r>
      <w:r w:rsidR="00385738">
        <w:t>, or</w:t>
      </w:r>
      <w:r w:rsidR="009E4A6D">
        <w:t xml:space="preserve"> until the </w:t>
      </w:r>
      <w:r w:rsidR="00A13AAD" w:rsidRPr="00A13AAD">
        <w:t xml:space="preserve">effective date of </w:t>
      </w:r>
      <w:r w:rsidR="00A13AAD">
        <w:t xml:space="preserve">a </w:t>
      </w:r>
      <w:r w:rsidR="00A13AAD" w:rsidRPr="00A13AAD">
        <w:t>Commission rulemaking or other decision as to the continuing application of the requirement to traditional TRS</w:t>
      </w:r>
      <w:r w:rsidR="001A691C">
        <w:t>, STS,</w:t>
      </w:r>
      <w:r w:rsidR="00A13AAD" w:rsidRPr="00A13AAD">
        <w:t xml:space="preserve"> and CTS</w:t>
      </w:r>
      <w:r w:rsidR="00385738">
        <w:t>, whichever occurs first</w:t>
      </w:r>
      <w:r w:rsidR="009E4A6D">
        <w:t>.</w:t>
      </w:r>
    </w:p>
    <w:p w14:paraId="2A5A80C8" w14:textId="77777777" w:rsidR="00AD12C6" w:rsidRPr="006C0DCC" w:rsidRDefault="00AD12C6" w:rsidP="00AD12C6">
      <w:pPr>
        <w:pStyle w:val="Heading1"/>
      </w:pPr>
      <w:r>
        <w:t>background</w:t>
      </w:r>
    </w:p>
    <w:p w14:paraId="6D0B4FF2" w14:textId="5A16707A" w:rsidR="00AD12C6" w:rsidRDefault="00F637BD" w:rsidP="006C0DCC">
      <w:pPr>
        <w:pStyle w:val="ParaNum"/>
      </w:pPr>
      <w:r>
        <w:t>S</w:t>
      </w:r>
      <w:r w:rsidR="00AE2186">
        <w:t xml:space="preserve">ection </w:t>
      </w:r>
      <w:r w:rsidR="00AE2186" w:rsidRPr="00AE2186">
        <w:t>64.604(b)(3)</w:t>
      </w:r>
      <w:r w:rsidR="00AE2186">
        <w:t xml:space="preserve"> of the </w:t>
      </w:r>
      <w:r w:rsidR="00964F45">
        <w:t xml:space="preserve">Commission’s </w:t>
      </w:r>
      <w:r>
        <w:t xml:space="preserve">TRS </w:t>
      </w:r>
      <w:r w:rsidR="00AE2186">
        <w:t>rules</w:t>
      </w:r>
      <w:r w:rsidR="00A878E6">
        <w:t>,</w:t>
      </w:r>
      <w:r w:rsidR="00BA3B1F">
        <w:t xml:space="preserve"> </w:t>
      </w:r>
      <w:r w:rsidRPr="00A00CEC">
        <w:t>adopted in 1991</w:t>
      </w:r>
      <w:r w:rsidR="00D253EF">
        <w:t>,</w:t>
      </w:r>
      <w:r>
        <w:t xml:space="preserve"> and known as t</w:t>
      </w:r>
      <w:r w:rsidRPr="00F637BD">
        <w:t>he “equal</w:t>
      </w:r>
      <w:r w:rsidR="00085FBC">
        <w:t xml:space="preserve"> </w:t>
      </w:r>
      <w:r w:rsidRPr="00F637BD">
        <w:t>access” requirement</w:t>
      </w:r>
      <w:r>
        <w:t xml:space="preserve">, </w:t>
      </w:r>
      <w:r w:rsidR="00AD12C6">
        <w:t>states</w:t>
      </w:r>
      <w:r>
        <w:t xml:space="preserve">, in </w:t>
      </w:r>
      <w:r w:rsidR="000C2303">
        <w:t xml:space="preserve">relevant </w:t>
      </w:r>
      <w:r>
        <w:t>part</w:t>
      </w:r>
      <w:r w:rsidR="00AD12C6">
        <w:t>:</w:t>
      </w:r>
    </w:p>
    <w:p w14:paraId="6606E834" w14:textId="77777777" w:rsidR="00AD12C6" w:rsidRDefault="00AD12C6" w:rsidP="00AD12C6">
      <w:pPr>
        <w:pStyle w:val="BlockText"/>
      </w:pPr>
      <w:r w:rsidRPr="003C4165">
        <w:t>TRS users shall have access to their chosen interexchange carrier through the TRS and to all other operator services to the same extent that such access is provided to voice users.</w:t>
      </w:r>
      <w:r>
        <w:rPr>
          <w:rStyle w:val="FootnoteReference"/>
        </w:rPr>
        <w:footnoteReference w:id="5"/>
      </w:r>
    </w:p>
    <w:p w14:paraId="3207054F" w14:textId="74375879" w:rsidR="00AE2186" w:rsidRDefault="00A878E6" w:rsidP="00F862AC">
      <w:pPr>
        <w:pStyle w:val="ParaNum"/>
        <w:numPr>
          <w:ilvl w:val="0"/>
          <w:numId w:val="0"/>
        </w:numPr>
      </w:pPr>
      <w:r>
        <w:t>S</w:t>
      </w:r>
      <w:r w:rsidRPr="00A878E6">
        <w:t>ection 64.604(a)(3)(ii) of the rules</w:t>
      </w:r>
      <w:r>
        <w:t>,</w:t>
      </w:r>
      <w:r w:rsidRPr="00A878E6">
        <w:t xml:space="preserve"> </w:t>
      </w:r>
      <w:r w:rsidR="002E7C0C">
        <w:t>also</w:t>
      </w:r>
      <w:r w:rsidR="002E7C0C" w:rsidRPr="00626E90">
        <w:t xml:space="preserve"> adopted in 1991</w:t>
      </w:r>
      <w:r w:rsidR="00D253EF">
        <w:t>,</w:t>
      </w:r>
      <w:r w:rsidR="002E7C0C">
        <w:t xml:space="preserve"> and </w:t>
      </w:r>
      <w:r w:rsidR="00BA3B1F">
        <w:t>known as the “</w:t>
      </w:r>
      <w:r w:rsidR="00626E90">
        <w:t>types-of-call</w:t>
      </w:r>
      <w:r w:rsidR="00773090">
        <w:t>s</w:t>
      </w:r>
      <w:r w:rsidR="00BA3B1F">
        <w:t>” requirement, states</w:t>
      </w:r>
      <w:r w:rsidR="00A00CEC">
        <w:t xml:space="preserve">, in </w:t>
      </w:r>
      <w:r w:rsidR="000C2303">
        <w:t xml:space="preserve">relevant </w:t>
      </w:r>
      <w:r w:rsidR="00A00CEC">
        <w:t>part</w:t>
      </w:r>
      <w:r w:rsidR="00AE2186">
        <w:t>:</w:t>
      </w:r>
    </w:p>
    <w:p w14:paraId="52636930" w14:textId="77777777" w:rsidR="00F862AC" w:rsidRDefault="00AE2186" w:rsidP="00AE2186">
      <w:pPr>
        <w:pStyle w:val="BlockText"/>
      </w:pPr>
      <w:r>
        <w:t>R</w:t>
      </w:r>
      <w:r w:rsidRPr="00AE2186">
        <w:t xml:space="preserve">elay services shall be capable of handling any type of call normally provided by telecommunications carriers unless the Commission determines that it is not technologically feasible to do so. </w:t>
      </w:r>
      <w:r w:rsidR="00C75756">
        <w:t xml:space="preserve"> </w:t>
      </w:r>
      <w:r w:rsidRPr="00AE2186">
        <w:t>Relay service providers have the burden of proving the infeasibility of handling any type of call.</w:t>
      </w:r>
      <w:r>
        <w:rPr>
          <w:rStyle w:val="FootnoteReference"/>
        </w:rPr>
        <w:footnoteReference w:id="6"/>
      </w:r>
    </w:p>
    <w:p w14:paraId="4AC726D6" w14:textId="42CE1754" w:rsidR="00F637BD" w:rsidRDefault="00D253EF" w:rsidP="00F637BD">
      <w:pPr>
        <w:pStyle w:val="ParaNum"/>
        <w:numPr>
          <w:ilvl w:val="0"/>
          <w:numId w:val="0"/>
        </w:numPr>
      </w:pPr>
      <w:r>
        <w:t>With respect to th</w:t>
      </w:r>
      <w:r w:rsidR="00E52C77">
        <w:t>e</w:t>
      </w:r>
      <w:r>
        <w:t xml:space="preserve"> latter rule, for purposes of this order</w:t>
      </w:r>
      <w:r w:rsidR="00E52C77">
        <w:t xml:space="preserve">, </w:t>
      </w:r>
      <w:r>
        <w:t xml:space="preserve">we address the requirement to handle only a subsection of “any type of call normally provided by telecommunications carriers,” namely </w:t>
      </w:r>
      <w:r w:rsidR="00F637BD">
        <w:t>“non-coin sent-paid, third party number, calling card and collect calls.”</w:t>
      </w:r>
      <w:r w:rsidR="00F637BD">
        <w:rPr>
          <w:rStyle w:val="FootnoteReference"/>
        </w:rPr>
        <w:footnoteReference w:id="7"/>
      </w:r>
      <w:r w:rsidR="00F637BD">
        <w:t xml:space="preserve"> </w:t>
      </w:r>
      <w:r w:rsidR="001003F9" w:rsidRPr="001003F9">
        <w:t>In this Order, th</w:t>
      </w:r>
      <w:r w:rsidR="001003F9">
        <w:t>is</w:t>
      </w:r>
      <w:r w:rsidR="001003F9" w:rsidRPr="001003F9">
        <w:t xml:space="preserve"> aspect of the types-of-call rule is referred to as the “billing options” requirement.</w:t>
      </w:r>
    </w:p>
    <w:p w14:paraId="5529B5C2" w14:textId="0472E7FD" w:rsidR="00BC4CF4" w:rsidRDefault="002E7C0C" w:rsidP="00D17B73">
      <w:pPr>
        <w:pStyle w:val="ParaNum"/>
      </w:pPr>
      <w:r>
        <w:t>When the Commission authorized Internet-based forms of TRS, it granted temporary waivers of thes</w:t>
      </w:r>
      <w:r w:rsidR="00D76297">
        <w:t xml:space="preserve">e TRS </w:t>
      </w:r>
      <w:r>
        <w:t xml:space="preserve">requirements for </w:t>
      </w:r>
      <w:r w:rsidR="008F2B3D">
        <w:t xml:space="preserve">some or all </w:t>
      </w:r>
      <w:r>
        <w:t>iTRS providers</w:t>
      </w:r>
      <w:r w:rsidR="008F2B3D">
        <w:t>, subject to certain conditions, and these waivers were periodically renewed for many years.</w:t>
      </w:r>
      <w:r w:rsidR="008F2B3D">
        <w:rPr>
          <w:rStyle w:val="FootnoteReference"/>
          <w:bCs/>
        </w:rPr>
        <w:footnoteReference w:id="8"/>
      </w:r>
      <w:r>
        <w:t xml:space="preserve"> </w:t>
      </w:r>
      <w:r w:rsidR="008F2B3D">
        <w:t xml:space="preserve"> </w:t>
      </w:r>
      <w:r w:rsidR="00A878E6" w:rsidRPr="00A878E6">
        <w:t xml:space="preserve">In 2014, the Commission amended the </w:t>
      </w:r>
      <w:r w:rsidR="00F637BD">
        <w:t>equal</w:t>
      </w:r>
      <w:r w:rsidR="00085FBC">
        <w:t xml:space="preserve"> </w:t>
      </w:r>
      <w:r w:rsidR="00F637BD">
        <w:t>access requirement</w:t>
      </w:r>
      <w:r w:rsidR="00A878E6" w:rsidRPr="00A878E6">
        <w:t xml:space="preserve"> to </w:t>
      </w:r>
      <w:r w:rsidR="008F2B3D">
        <w:t xml:space="preserve">permanently </w:t>
      </w:r>
      <w:r w:rsidR="00A878E6" w:rsidRPr="00A878E6">
        <w:t>exempt providers of Internet-based TRS if they do not assess specific charges for long distance calling.</w:t>
      </w:r>
      <w:r w:rsidR="00F637BD">
        <w:rPr>
          <w:rStyle w:val="FootnoteReference"/>
        </w:rPr>
        <w:footnoteReference w:id="9"/>
      </w:r>
      <w:r w:rsidR="00A878E6" w:rsidRPr="00A878E6">
        <w:t xml:space="preserve">  </w:t>
      </w:r>
      <w:r w:rsidR="00F637BD">
        <w:t>T</w:t>
      </w:r>
      <w:r w:rsidR="00F637BD" w:rsidRPr="00F637BD">
        <w:t xml:space="preserve">he Commission </w:t>
      </w:r>
      <w:r w:rsidR="00F637BD">
        <w:t xml:space="preserve">also </w:t>
      </w:r>
      <w:r w:rsidR="00F637BD" w:rsidRPr="00F637BD">
        <w:t xml:space="preserve">amended the </w:t>
      </w:r>
      <w:r w:rsidR="00F637BD">
        <w:t>types-of-calls requirement</w:t>
      </w:r>
      <w:r w:rsidR="00F637BD" w:rsidRPr="00F637BD">
        <w:t xml:space="preserve"> to </w:t>
      </w:r>
      <w:r w:rsidR="008F2B3D">
        <w:t xml:space="preserve">permanently </w:t>
      </w:r>
      <w:r w:rsidR="00F637BD" w:rsidRPr="00F637BD">
        <w:t xml:space="preserve">exempt providers of Internet-based TRS from </w:t>
      </w:r>
      <w:r w:rsidR="00D17B73">
        <w:t xml:space="preserve">the requirement to “provide the </w:t>
      </w:r>
      <w:r w:rsidR="00D17B73" w:rsidRPr="00D17B73">
        <w:rPr>
          <w:snapToGrid/>
          <w:kern w:val="0"/>
          <w:szCs w:val="22"/>
        </w:rPr>
        <w:t>same billing options (</w:t>
      </w:r>
      <w:r w:rsidR="00D17B73" w:rsidRPr="00D17B73">
        <w:rPr>
          <w:i/>
          <w:iCs/>
          <w:snapToGrid/>
          <w:kern w:val="0"/>
          <w:szCs w:val="22"/>
        </w:rPr>
        <w:t>e.g.</w:t>
      </w:r>
      <w:r w:rsidR="00D17B73" w:rsidRPr="00D17B73">
        <w:rPr>
          <w:snapToGrid/>
          <w:kern w:val="0"/>
          <w:szCs w:val="22"/>
        </w:rPr>
        <w:t>, sent-paid long distance, operator</w:t>
      </w:r>
      <w:r w:rsidR="00D17B73">
        <w:rPr>
          <w:snapToGrid/>
          <w:kern w:val="0"/>
          <w:szCs w:val="22"/>
        </w:rPr>
        <w:t>-</w:t>
      </w:r>
      <w:r w:rsidR="00D17B73" w:rsidRPr="00D17B73">
        <w:rPr>
          <w:snapToGrid/>
          <w:kern w:val="0"/>
          <w:szCs w:val="22"/>
        </w:rPr>
        <w:t>assisted,</w:t>
      </w:r>
      <w:r w:rsidR="00D17B73">
        <w:rPr>
          <w:snapToGrid/>
          <w:kern w:val="0"/>
          <w:szCs w:val="22"/>
        </w:rPr>
        <w:t xml:space="preserve"> </w:t>
      </w:r>
      <w:r w:rsidR="00D17B73" w:rsidRPr="00D17B73">
        <w:rPr>
          <w:snapToGrid/>
          <w:kern w:val="0"/>
          <w:szCs w:val="22"/>
        </w:rPr>
        <w:t>collect, and third party billing) traditionally offered for wireline voice services</w:t>
      </w:r>
      <w:r w:rsidR="00D17B73">
        <w:rPr>
          <w:snapToGrid/>
          <w:kern w:val="0"/>
          <w:szCs w:val="22"/>
        </w:rPr>
        <w:t xml:space="preserve"> </w:t>
      </w:r>
      <w:r w:rsidR="00F637BD" w:rsidRPr="00F637BD">
        <w:t>if they allow for long distance calls to be placed using calling cards or credit cards or do not assess charges for long distance calling.”</w:t>
      </w:r>
      <w:r w:rsidR="00F637BD">
        <w:rPr>
          <w:rStyle w:val="FootnoteReference"/>
        </w:rPr>
        <w:footnoteReference w:id="10"/>
      </w:r>
      <w:r>
        <w:t xml:space="preserve">   </w:t>
      </w:r>
      <w:r w:rsidR="00626E90" w:rsidRPr="00626E90">
        <w:t xml:space="preserve"> </w:t>
      </w:r>
    </w:p>
    <w:p w14:paraId="5F84A7B1" w14:textId="77777777" w:rsidR="005C7682" w:rsidRDefault="00A878E6" w:rsidP="005C7682">
      <w:pPr>
        <w:pStyle w:val="ParaNum"/>
      </w:pPr>
      <w:r w:rsidRPr="00A878E6">
        <w:t xml:space="preserve">On September 23, 2015, Sprint and Hamilton filed a joint petition requesting the Commission to initiate a rulemaking to </w:t>
      </w:r>
      <w:r w:rsidR="00773090">
        <w:t xml:space="preserve">adopt similar amendments to the </w:t>
      </w:r>
      <w:r w:rsidR="00085FBC">
        <w:t>equal access</w:t>
      </w:r>
      <w:r w:rsidR="00773090">
        <w:t xml:space="preserve"> and types-of-calls</w:t>
      </w:r>
      <w:r w:rsidR="003F46F3">
        <w:t xml:space="preserve"> requirements</w:t>
      </w:r>
      <w:r>
        <w:t xml:space="preserve"> </w:t>
      </w:r>
      <w:r w:rsidR="00A32717">
        <w:t xml:space="preserve">that would </w:t>
      </w:r>
      <w:r w:rsidR="003F46F3">
        <w:t xml:space="preserve">exempt </w:t>
      </w:r>
      <w:r w:rsidRPr="00A878E6">
        <w:t>providers of traditional TRS and CTS</w:t>
      </w:r>
      <w:r w:rsidR="00D17B73">
        <w:t xml:space="preserve"> </w:t>
      </w:r>
      <w:r w:rsidR="003B5295">
        <w:t>from these requirements</w:t>
      </w:r>
      <w:r w:rsidR="00215E15">
        <w:t xml:space="preserve"> </w:t>
      </w:r>
      <w:r w:rsidR="00215E15" w:rsidRPr="00215E15">
        <w:t xml:space="preserve">to the </w:t>
      </w:r>
      <w:r w:rsidR="00215E15" w:rsidRPr="00215E15">
        <w:lastRenderedPageBreak/>
        <w:t xml:space="preserve">extent that </w:t>
      </w:r>
      <w:r w:rsidR="007D4726">
        <w:t>they</w:t>
      </w:r>
      <w:r w:rsidR="00215E15" w:rsidRPr="00215E15">
        <w:t xml:space="preserve"> do</w:t>
      </w:r>
      <w:r w:rsidR="00215E15">
        <w:t xml:space="preserve"> </w:t>
      </w:r>
      <w:r w:rsidR="00215E15" w:rsidRPr="00215E15">
        <w:t>not assess a separate toll charge for long-distance traffic that they carry</w:t>
      </w:r>
      <w:r w:rsidRPr="00626E90">
        <w:t>.</w:t>
      </w:r>
      <w:r>
        <w:rPr>
          <w:rStyle w:val="FootnoteReference"/>
        </w:rPr>
        <w:footnoteReference w:id="11"/>
      </w:r>
      <w:r w:rsidR="00773090">
        <w:t xml:space="preserve">  </w:t>
      </w:r>
      <w:r w:rsidR="002F2121">
        <w:t xml:space="preserve">On the same day </w:t>
      </w:r>
      <w:r w:rsidR="00A00CEC">
        <w:t>that the petitioners filed the</w:t>
      </w:r>
      <w:r w:rsidR="002F2121">
        <w:t xml:space="preserve"> </w:t>
      </w:r>
      <w:r w:rsidR="00A00CEC">
        <w:t xml:space="preserve">Joint </w:t>
      </w:r>
      <w:r w:rsidR="002F2121">
        <w:t xml:space="preserve">Petition for Rulemaking, </w:t>
      </w:r>
      <w:r w:rsidR="00385738">
        <w:t xml:space="preserve">Sprint </w:t>
      </w:r>
      <w:r w:rsidR="002F2121">
        <w:t xml:space="preserve">petitioned for </w:t>
      </w:r>
      <w:r w:rsidR="00351617">
        <w:t>a temporary</w:t>
      </w:r>
      <w:r w:rsidR="00385738">
        <w:t xml:space="preserve"> waiver of the</w:t>
      </w:r>
      <w:r w:rsidR="00A00CEC">
        <w:t xml:space="preserve"> same</w:t>
      </w:r>
      <w:r w:rsidR="00385738">
        <w:t xml:space="preserve"> requirements</w:t>
      </w:r>
      <w:r w:rsidR="003B5295">
        <w:t>, to the extent that a traditional TRS or CTS provider does not charge for long-distance service</w:t>
      </w:r>
      <w:r w:rsidR="002F2121">
        <w:t>.</w:t>
      </w:r>
      <w:r w:rsidR="003B5295">
        <w:rPr>
          <w:rStyle w:val="FootnoteReference"/>
        </w:rPr>
        <w:footnoteReference w:id="12"/>
      </w:r>
      <w:r w:rsidR="002F2121">
        <w:t xml:space="preserve">  </w:t>
      </w:r>
      <w:r w:rsidR="00750252">
        <w:t xml:space="preserve">Hamilton subsequently filed a similar request for </w:t>
      </w:r>
      <w:r w:rsidR="00351617">
        <w:t>a temporary</w:t>
      </w:r>
      <w:r w:rsidR="00750252">
        <w:t xml:space="preserve"> waiver.</w:t>
      </w:r>
      <w:r w:rsidR="00750252">
        <w:rPr>
          <w:rStyle w:val="FootnoteReference"/>
        </w:rPr>
        <w:footnoteReference w:id="13"/>
      </w:r>
      <w:r w:rsidR="007A0659">
        <w:t xml:space="preserve">  </w:t>
      </w:r>
      <w:r w:rsidR="001A691C">
        <w:t>In addition, on August 17, 2016, Hamilton filed a supplement to its petition, requesting that STS be included in any waiver granted by the Commission.</w:t>
      </w:r>
      <w:r w:rsidR="001A691C">
        <w:rPr>
          <w:rStyle w:val="FootnoteReference"/>
        </w:rPr>
        <w:footnoteReference w:id="14"/>
      </w:r>
    </w:p>
    <w:p w14:paraId="3C2EC166" w14:textId="7F2220B7" w:rsidR="00244DB6" w:rsidRDefault="00F168ED" w:rsidP="005C7682">
      <w:pPr>
        <w:pStyle w:val="ParaNum"/>
      </w:pPr>
      <w:r>
        <w:t xml:space="preserve">Sprint and Hamilton request that these </w:t>
      </w:r>
      <w:r w:rsidR="00351617">
        <w:t>temporary</w:t>
      </w:r>
      <w:r>
        <w:t xml:space="preserve"> waivers remain in effect until the Commission completes a rulemaking on a permanent exemption from these requirements.</w:t>
      </w:r>
      <w:r>
        <w:rPr>
          <w:rStyle w:val="FootnoteReference"/>
        </w:rPr>
        <w:footnoteReference w:id="15"/>
      </w:r>
      <w:r w:rsidR="002A555C">
        <w:t xml:space="preserve">  </w:t>
      </w:r>
      <w:r w:rsidR="002A555C" w:rsidRPr="002A555C">
        <w:t xml:space="preserve">Sprint </w:t>
      </w:r>
      <w:r w:rsidR="002A555C">
        <w:t>also</w:t>
      </w:r>
      <w:r w:rsidR="002A555C" w:rsidRPr="002A555C">
        <w:t xml:space="preserve"> seeks a clarification that, </w:t>
      </w:r>
      <w:r w:rsidR="00A32717">
        <w:t xml:space="preserve">to the extent it does not </w:t>
      </w:r>
      <w:r w:rsidR="002A555C" w:rsidRPr="002A555C">
        <w:t>charg</w:t>
      </w:r>
      <w:r w:rsidR="00A32717">
        <w:t>e</w:t>
      </w:r>
      <w:r w:rsidR="002A555C" w:rsidRPr="002A555C">
        <w:t xml:space="preserve"> other </w:t>
      </w:r>
      <w:r w:rsidR="00A32717">
        <w:t xml:space="preserve">(non-TRS) </w:t>
      </w:r>
      <w:r w:rsidR="00233316">
        <w:t xml:space="preserve">telephone </w:t>
      </w:r>
      <w:r w:rsidR="002A555C" w:rsidRPr="002A555C">
        <w:t>users for long distance calls,</w:t>
      </w:r>
      <w:r w:rsidR="008D46EF">
        <w:rPr>
          <w:rStyle w:val="FootnoteReference"/>
        </w:rPr>
        <w:footnoteReference w:id="16"/>
      </w:r>
      <w:r w:rsidR="002A555C" w:rsidRPr="002A555C">
        <w:t xml:space="preserve"> it may cease charging TRS users for long distance</w:t>
      </w:r>
      <w:r w:rsidR="002A555C">
        <w:t xml:space="preserve"> without violating the Commission’s prohibition against TRS providers offering </w:t>
      </w:r>
      <w:r w:rsidR="002A555C" w:rsidRPr="00CC3CDB">
        <w:t>free long distance service as an incentive to make more or longer TRS calls</w:t>
      </w:r>
      <w:r w:rsidR="002A555C">
        <w:t>.</w:t>
      </w:r>
      <w:r w:rsidR="002A555C">
        <w:rPr>
          <w:rStyle w:val="FootnoteReference"/>
        </w:rPr>
        <w:footnoteReference w:id="17"/>
      </w:r>
      <w:r w:rsidR="002A555C" w:rsidRPr="002A555C">
        <w:t xml:space="preserve">  </w:t>
      </w:r>
    </w:p>
    <w:p w14:paraId="68BE2B70" w14:textId="6CECEB88" w:rsidR="00750252" w:rsidRDefault="00750252" w:rsidP="00A45041">
      <w:pPr>
        <w:pStyle w:val="ParaNum"/>
      </w:pPr>
      <w:r>
        <w:t xml:space="preserve">Sprint </w:t>
      </w:r>
      <w:r w:rsidR="002D30C6">
        <w:t xml:space="preserve">and Hamilton </w:t>
      </w:r>
      <w:r w:rsidR="00C132E7">
        <w:t>assert</w:t>
      </w:r>
      <w:r>
        <w:t xml:space="preserve"> that </w:t>
      </w:r>
      <w:r w:rsidR="00C132E7">
        <w:t>the</w:t>
      </w:r>
      <w:r w:rsidR="00233316">
        <w:t xml:space="preserve"> equal</w:t>
      </w:r>
      <w:r w:rsidR="00085FBC">
        <w:t xml:space="preserve"> </w:t>
      </w:r>
      <w:r w:rsidR="00233316">
        <w:t xml:space="preserve">access and </w:t>
      </w:r>
      <w:r w:rsidR="001003F9">
        <w:t>billing options</w:t>
      </w:r>
      <w:r w:rsidR="00233316">
        <w:t xml:space="preserve"> </w:t>
      </w:r>
      <w:r w:rsidR="00C132E7">
        <w:t xml:space="preserve">requirements are no longer needed due to </w:t>
      </w:r>
      <w:r w:rsidR="00060D44">
        <w:t xml:space="preserve">the changing landscape </w:t>
      </w:r>
      <w:r w:rsidR="00725ADA">
        <w:t xml:space="preserve">of </w:t>
      </w:r>
      <w:r w:rsidR="00060D44">
        <w:t>te</w:t>
      </w:r>
      <w:r w:rsidR="00C132E7">
        <w:t>lecommunications billing</w:t>
      </w:r>
      <w:r w:rsidR="002D30C6">
        <w:t>.</w:t>
      </w:r>
      <w:r w:rsidR="00B53CB5">
        <w:rPr>
          <w:rStyle w:val="FootnoteReference"/>
        </w:rPr>
        <w:footnoteReference w:id="18"/>
      </w:r>
      <w:r w:rsidR="00C132E7">
        <w:t xml:space="preserve"> </w:t>
      </w:r>
      <w:r w:rsidR="002D30C6">
        <w:t xml:space="preserve"> </w:t>
      </w:r>
      <w:r w:rsidR="00C132E7">
        <w:t xml:space="preserve">Sprint </w:t>
      </w:r>
      <w:r w:rsidR="00060D44">
        <w:t>explain</w:t>
      </w:r>
      <w:r w:rsidR="00C132E7">
        <w:t>s</w:t>
      </w:r>
      <w:r w:rsidR="00060D44">
        <w:t xml:space="preserve"> that the</w:t>
      </w:r>
      <w:r w:rsidR="00DC305B">
        <w:t xml:space="preserve"> requirements were adopted “more than twenty years ago, when </w:t>
      </w:r>
      <w:r w:rsidR="00060D44">
        <w:t xml:space="preserve">per-minute long-distance </w:t>
      </w:r>
      <w:r w:rsidR="00A45041">
        <w:t>charges</w:t>
      </w:r>
      <w:r w:rsidR="00C132E7">
        <w:t xml:space="preserve"> </w:t>
      </w:r>
      <w:r w:rsidR="00DC305B">
        <w:t>were standard</w:t>
      </w:r>
      <w:r w:rsidR="00DC305B" w:rsidRPr="00A45041">
        <w:rPr>
          <w:rFonts w:ascii="TimesNewRoman" w:hAnsi="TimesNewRoman" w:cs="TimesNewRoman"/>
          <w:snapToGrid/>
          <w:kern w:val="0"/>
          <w:sz w:val="24"/>
          <w:szCs w:val="24"/>
        </w:rPr>
        <w:t xml:space="preserve"> </w:t>
      </w:r>
      <w:r w:rsidR="00DC305B" w:rsidRPr="00DC305B">
        <w:t>and standalone long</w:t>
      </w:r>
      <w:r w:rsidR="00DC305B">
        <w:t>-</w:t>
      </w:r>
      <w:r w:rsidR="00DC305B" w:rsidRPr="00DC305B">
        <w:t>distance</w:t>
      </w:r>
      <w:r w:rsidR="00DC305B">
        <w:t xml:space="preserve"> service was a thriving industry.”</w:t>
      </w:r>
      <w:r w:rsidR="00B53CB5">
        <w:rPr>
          <w:rStyle w:val="FootnoteReference"/>
        </w:rPr>
        <w:footnoteReference w:id="19"/>
      </w:r>
      <w:r w:rsidR="00C132E7">
        <w:t xml:space="preserve"> </w:t>
      </w:r>
      <w:r w:rsidR="00DC305B">
        <w:t xml:space="preserve"> Today, when </w:t>
      </w:r>
      <w:r w:rsidR="00DC305B" w:rsidRPr="00DC305B">
        <w:t xml:space="preserve">bundled calling plans </w:t>
      </w:r>
      <w:r w:rsidR="00B92461">
        <w:t>“</w:t>
      </w:r>
      <w:r w:rsidR="00DC305B" w:rsidRPr="00DC305B">
        <w:t>have rendered per-minute charges for long-distance calls</w:t>
      </w:r>
      <w:r w:rsidR="00A45041">
        <w:t xml:space="preserve"> </w:t>
      </w:r>
      <w:r w:rsidR="00DC305B" w:rsidRPr="00DC305B">
        <w:t>and standalone long-distance service increasingly uncommon</w:t>
      </w:r>
      <w:r w:rsidR="00A45041">
        <w:t>,” Sprint contends that the equal access and billing options requirements serve no useful purpose</w:t>
      </w:r>
      <w:r w:rsidR="00DC305B" w:rsidRPr="00DC305B">
        <w:t>.</w:t>
      </w:r>
      <w:r w:rsidR="00A45041">
        <w:rPr>
          <w:rStyle w:val="FootnoteReference"/>
        </w:rPr>
        <w:footnoteReference w:id="20"/>
      </w:r>
      <w:r w:rsidR="00C132E7">
        <w:t xml:space="preserve"> </w:t>
      </w:r>
      <w:r w:rsidR="00A45041">
        <w:t xml:space="preserve"> </w:t>
      </w:r>
      <w:r w:rsidR="00447A42">
        <w:t xml:space="preserve">In this changed environment, </w:t>
      </w:r>
      <w:r w:rsidR="00725ADA" w:rsidRPr="00A45041">
        <w:t>Hamilton adds</w:t>
      </w:r>
      <w:r w:rsidR="00447A42">
        <w:t>,</w:t>
      </w:r>
      <w:r w:rsidR="00725ADA" w:rsidRPr="00A45041">
        <w:t xml:space="preserve"> </w:t>
      </w:r>
      <w:r w:rsidR="00447A42">
        <w:t xml:space="preserve">TRS </w:t>
      </w:r>
      <w:r w:rsidR="00725ADA" w:rsidRPr="00A45041">
        <w:t>users are increasing</w:t>
      </w:r>
      <w:r w:rsidR="00447A42">
        <w:t>ly</w:t>
      </w:r>
      <w:r w:rsidR="00725ADA" w:rsidRPr="00A45041">
        <w:t xml:space="preserve"> migrating to IP-based and wireless services</w:t>
      </w:r>
      <w:r w:rsidR="00681D51">
        <w:t xml:space="preserve"> that render</w:t>
      </w:r>
      <w:r w:rsidR="005C6831" w:rsidRPr="00A45041">
        <w:t xml:space="preserve"> equal access inapplicable</w:t>
      </w:r>
      <w:r w:rsidR="00447A42">
        <w:t>, and even wireline carriers are eliminating their operator service offerings.</w:t>
      </w:r>
      <w:r w:rsidR="00CC3CDB" w:rsidRPr="0098112F">
        <w:rPr>
          <w:rStyle w:val="FootnoteReference"/>
        </w:rPr>
        <w:footnoteReference w:id="21"/>
      </w:r>
      <w:r w:rsidR="00A45041" w:rsidRPr="00A45041">
        <w:t xml:space="preserve">  </w:t>
      </w:r>
      <w:r w:rsidR="00233316">
        <w:t>In addition, a</w:t>
      </w:r>
      <w:r w:rsidR="004E7DD0">
        <w:t>ccording to Sprint, traditional TRS users rarely select alternative carriers for their long distance TRS calls.</w:t>
      </w:r>
      <w:r w:rsidR="004E7DD0">
        <w:rPr>
          <w:rStyle w:val="FootnoteReference"/>
        </w:rPr>
        <w:footnoteReference w:id="22"/>
      </w:r>
    </w:p>
    <w:p w14:paraId="6295492B" w14:textId="5814C1BB" w:rsidR="00AD12C6" w:rsidRDefault="004E7DD0" w:rsidP="00AD12C6">
      <w:pPr>
        <w:pStyle w:val="ParaNum"/>
      </w:pPr>
      <w:r>
        <w:t>Sprint</w:t>
      </w:r>
      <w:r w:rsidR="00E673EC">
        <w:t xml:space="preserve"> also</w:t>
      </w:r>
      <w:r w:rsidR="005C6831">
        <w:t xml:space="preserve"> </w:t>
      </w:r>
      <w:r w:rsidR="00BA7548">
        <w:t>contend</w:t>
      </w:r>
      <w:r>
        <w:t>s</w:t>
      </w:r>
      <w:r w:rsidR="00BA7548">
        <w:t xml:space="preserve"> that grant of </w:t>
      </w:r>
      <w:r w:rsidR="003160A2">
        <w:t>the requested</w:t>
      </w:r>
      <w:r w:rsidR="00BA7548">
        <w:t xml:space="preserve"> waiver</w:t>
      </w:r>
      <w:r w:rsidR="003160A2">
        <w:t>s</w:t>
      </w:r>
      <w:r w:rsidR="00BA7548">
        <w:t xml:space="preserve"> </w:t>
      </w:r>
      <w:r w:rsidR="00BA7548" w:rsidRPr="006C0DCC">
        <w:t>would improve service for traditional TRS and CTS users.</w:t>
      </w:r>
      <w:r w:rsidR="00BA7548">
        <w:rPr>
          <w:rStyle w:val="FootnoteReference"/>
        </w:rPr>
        <w:footnoteReference w:id="23"/>
      </w:r>
      <w:r w:rsidR="00BA7548">
        <w:t xml:space="preserve">  I</w:t>
      </w:r>
      <w:r w:rsidR="0063587B">
        <w:t xml:space="preserve">f the </w:t>
      </w:r>
      <w:r w:rsidR="00BA7548">
        <w:t>equal access requirement</w:t>
      </w:r>
      <w:r w:rsidR="00A45041">
        <w:t xml:space="preserve"> is waived</w:t>
      </w:r>
      <w:r w:rsidR="0063587B">
        <w:t xml:space="preserve">, </w:t>
      </w:r>
      <w:r w:rsidR="00CC3CDB">
        <w:t xml:space="preserve">Sprint argues that </w:t>
      </w:r>
      <w:r w:rsidR="00BA7548">
        <w:t xml:space="preserve">users of </w:t>
      </w:r>
      <w:r w:rsidR="00F168ED">
        <w:t>traditional TRS and CTS</w:t>
      </w:r>
      <w:r w:rsidR="00BA7548">
        <w:t xml:space="preserve"> </w:t>
      </w:r>
      <w:r w:rsidR="00F12B89">
        <w:t>will benefit because</w:t>
      </w:r>
      <w:r w:rsidR="003A1370">
        <w:t xml:space="preserve"> </w:t>
      </w:r>
      <w:r w:rsidR="00F12B89">
        <w:t>charges for long distance calls will be largely eliminated</w:t>
      </w:r>
      <w:r w:rsidR="0063587B">
        <w:t>.</w:t>
      </w:r>
      <w:r w:rsidR="00E36E84">
        <w:rPr>
          <w:rStyle w:val="FootnoteReference"/>
        </w:rPr>
        <w:footnoteReference w:id="24"/>
      </w:r>
      <w:r w:rsidR="0063587B">
        <w:t xml:space="preserve">  </w:t>
      </w:r>
      <w:r w:rsidR="00A45041">
        <w:t>In addition, according to Sprint,</w:t>
      </w:r>
      <w:r w:rsidR="005C6831">
        <w:t xml:space="preserve"> waiving</w:t>
      </w:r>
      <w:r w:rsidR="0063587B">
        <w:t xml:space="preserve"> </w:t>
      </w:r>
      <w:r w:rsidR="005C6831">
        <w:t xml:space="preserve">the equal access </w:t>
      </w:r>
      <w:r w:rsidR="0063587B">
        <w:t>requirement</w:t>
      </w:r>
      <w:r w:rsidR="005C6831">
        <w:t xml:space="preserve"> will</w:t>
      </w:r>
      <w:r w:rsidR="0063587B">
        <w:t xml:space="preserve"> </w:t>
      </w:r>
      <w:r w:rsidR="003160A2">
        <w:t>simplify</w:t>
      </w:r>
      <w:r w:rsidR="004845F4">
        <w:t xml:space="preserve"> the process for placing</w:t>
      </w:r>
      <w:r w:rsidR="0063587B">
        <w:t xml:space="preserve"> </w:t>
      </w:r>
      <w:r w:rsidR="003160A2">
        <w:t>long distance</w:t>
      </w:r>
      <w:r w:rsidR="0063587B">
        <w:t xml:space="preserve"> </w:t>
      </w:r>
      <w:r w:rsidR="004845F4">
        <w:t>calls</w:t>
      </w:r>
      <w:r w:rsidR="003160A2">
        <w:t xml:space="preserve"> via </w:t>
      </w:r>
      <w:r w:rsidR="00447A42">
        <w:t xml:space="preserve">traditional </w:t>
      </w:r>
      <w:r w:rsidR="003160A2">
        <w:t>TRS</w:t>
      </w:r>
      <w:r w:rsidR="00447A42">
        <w:t xml:space="preserve"> and CTS.</w:t>
      </w:r>
      <w:r w:rsidR="00B92461" w:rsidRPr="00B92461">
        <w:t xml:space="preserve"> </w:t>
      </w:r>
      <w:r w:rsidR="00B92461">
        <w:t xml:space="preserve"> </w:t>
      </w:r>
      <w:r w:rsidR="006054FC">
        <w:t>Sprint e</w:t>
      </w:r>
      <w:r w:rsidR="00B92461" w:rsidRPr="00B92461">
        <w:t>xplain</w:t>
      </w:r>
      <w:r w:rsidR="006054FC">
        <w:t>s</w:t>
      </w:r>
      <w:r w:rsidR="00B92461" w:rsidRPr="00B92461">
        <w:t xml:space="preserve"> that “given the infrequency with which consumers today use a standalone long-distance service,” many consumers are confused by provider questions or advisories regarding long distance carrier selection</w:t>
      </w:r>
      <w:r w:rsidR="006054FC">
        <w:t>.  As a consequence, according to</w:t>
      </w:r>
      <w:r w:rsidR="00B92461" w:rsidRPr="00B92461">
        <w:t xml:space="preserve"> Sprint</w:t>
      </w:r>
      <w:r w:rsidR="006054FC">
        <w:t>,</w:t>
      </w:r>
      <w:r w:rsidR="00B92461" w:rsidRPr="00B92461">
        <w:t xml:space="preserve"> implementing a TRS user’s choice of carrier unnecessarily adds time and complexity to call set-up, especially if the user does not have an account with the carrier selected.</w:t>
      </w:r>
      <w:r w:rsidR="003160A2">
        <w:rPr>
          <w:rStyle w:val="FootnoteReference"/>
        </w:rPr>
        <w:footnoteReference w:id="25"/>
      </w:r>
      <w:r w:rsidR="003160A2">
        <w:t xml:space="preserve">   </w:t>
      </w:r>
    </w:p>
    <w:p w14:paraId="1424DC87" w14:textId="22C68FD3" w:rsidR="00AD12C6" w:rsidRDefault="006054FC" w:rsidP="00AD12C6">
      <w:pPr>
        <w:pStyle w:val="ParaNum"/>
      </w:pPr>
      <w:r>
        <w:t>Finally</w:t>
      </w:r>
      <w:r w:rsidR="00CC3CDB">
        <w:t xml:space="preserve">, </w:t>
      </w:r>
      <w:r w:rsidR="00B6607B">
        <w:t xml:space="preserve">Sprint claims, </w:t>
      </w:r>
      <w:r w:rsidR="00CC3CDB">
        <w:t xml:space="preserve">waiving both requirements </w:t>
      </w:r>
      <w:r w:rsidR="00C647A0">
        <w:t xml:space="preserve">would </w:t>
      </w:r>
      <w:r w:rsidR="00B6607B">
        <w:t xml:space="preserve">advance Sprint’s </w:t>
      </w:r>
      <w:r w:rsidR="00C647A0">
        <w:t>efforts to upgrade its wireline TRS and CTS platform to the next generation, IP-based technology</w:t>
      </w:r>
      <w:r w:rsidR="00B6607B">
        <w:t>,</w:t>
      </w:r>
      <w:r w:rsidR="00C647A0">
        <w:rPr>
          <w:rStyle w:val="FootnoteReference"/>
        </w:rPr>
        <w:footnoteReference w:id="26"/>
      </w:r>
      <w:r w:rsidR="00C647A0">
        <w:t xml:space="preserve"> </w:t>
      </w:r>
      <w:r w:rsidR="00B6607B">
        <w:t>thereby advancing</w:t>
      </w:r>
      <w:r w:rsidR="00F47EE3">
        <w:t xml:space="preserve"> the </w:t>
      </w:r>
      <w:r w:rsidR="00B6607B">
        <w:t xml:space="preserve">statutory </w:t>
      </w:r>
      <w:r w:rsidR="00F47EE3">
        <w:t>policy of “not discourag[ing] or impair[ing] the development of improved technology.”</w:t>
      </w:r>
      <w:r w:rsidR="00F47EE3">
        <w:rPr>
          <w:rStyle w:val="FootnoteReference"/>
        </w:rPr>
        <w:footnoteReference w:id="27"/>
      </w:r>
      <w:r w:rsidR="00F47EE3">
        <w:t xml:space="preserve">  </w:t>
      </w:r>
      <w:r w:rsidR="005A564D">
        <w:t xml:space="preserve">Without a waiver, </w:t>
      </w:r>
      <w:r w:rsidR="00F47EE3">
        <w:t xml:space="preserve">Sprint </w:t>
      </w:r>
      <w:r w:rsidR="005A564D">
        <w:t xml:space="preserve">states that it </w:t>
      </w:r>
      <w:r w:rsidR="00F47EE3">
        <w:t xml:space="preserve">would have to either maintain a portion of its TDM network solely for the purpose of fulfilling </w:t>
      </w:r>
      <w:r w:rsidR="005A564D">
        <w:t>these two</w:t>
      </w:r>
      <w:r w:rsidR="00F47EE3">
        <w:t xml:space="preserve"> requirements or undertake the taxing process of replicating and maintain</w:t>
      </w:r>
      <w:r w:rsidR="002A6CBD">
        <w:t>ing</w:t>
      </w:r>
      <w:r w:rsidR="00F47EE3">
        <w:t xml:space="preserve"> these capabilities on an IP platform.</w:t>
      </w:r>
      <w:r w:rsidR="00805335">
        <w:rPr>
          <w:rStyle w:val="FootnoteReference"/>
        </w:rPr>
        <w:footnoteReference w:id="28"/>
      </w:r>
      <w:r w:rsidR="00F47EE3">
        <w:t xml:space="preserve"> </w:t>
      </w:r>
      <w:r w:rsidR="00164599">
        <w:t xml:space="preserve"> Hamilton explains that the rationale for granting a waiver of the equal access and billing options requirements for traditional TRS and CTS also justifies waiving those requirements for STS.</w:t>
      </w:r>
      <w:r w:rsidR="00164599">
        <w:rPr>
          <w:rStyle w:val="FootnoteReference"/>
        </w:rPr>
        <w:footnoteReference w:id="29"/>
      </w:r>
      <w:r w:rsidR="00164599">
        <w:t xml:space="preserve"> </w:t>
      </w:r>
      <w:r w:rsidR="00F47EE3">
        <w:t xml:space="preserve"> </w:t>
      </w:r>
      <w:r w:rsidR="005A564D">
        <w:t xml:space="preserve">  </w:t>
      </w:r>
    </w:p>
    <w:p w14:paraId="652CDBB7" w14:textId="77777777" w:rsidR="00AD12C6" w:rsidRDefault="00AD12C6" w:rsidP="00AD12C6">
      <w:pPr>
        <w:pStyle w:val="Heading1"/>
      </w:pPr>
      <w:r>
        <w:t>discussion</w:t>
      </w:r>
    </w:p>
    <w:p w14:paraId="04F5EFEC" w14:textId="77777777" w:rsidR="000862E2" w:rsidRDefault="00D011DA" w:rsidP="00AD12C6">
      <w:pPr>
        <w:pStyle w:val="ParaNum"/>
      </w:pPr>
      <w:r>
        <w:t>A Commission rule may be waived</w:t>
      </w:r>
      <w:r w:rsidR="006619B2">
        <w:t xml:space="preserve"> “if good cause therefor is shown.”</w:t>
      </w:r>
      <w:r w:rsidR="006619B2">
        <w:rPr>
          <w:rStyle w:val="FootnoteReference"/>
        </w:rPr>
        <w:footnoteReference w:id="30"/>
      </w:r>
      <w:r w:rsidR="006619B2">
        <w:t xml:space="preserve">  </w:t>
      </w:r>
      <w:r>
        <w:t>In particular, a</w:t>
      </w:r>
      <w:r w:rsidR="006619B2">
        <w:t xml:space="preserve"> </w:t>
      </w:r>
      <w:r w:rsidR="006619B2" w:rsidRPr="00627ABD">
        <w:t>waiver is appropriate</w:t>
      </w:r>
      <w:r w:rsidR="006619B2">
        <w:t xml:space="preserve"> where</w:t>
      </w:r>
      <w:r>
        <w:t xml:space="preserve"> the</w:t>
      </w:r>
      <w:r w:rsidR="006619B2" w:rsidRPr="006C0DCC">
        <w:rPr>
          <w:rStyle w:val="FootnoteTextChar"/>
        </w:rPr>
        <w:t xml:space="preserve"> </w:t>
      </w:r>
      <w:r w:rsidR="006619B2" w:rsidRPr="00047285">
        <w:t>particular facts make strict compliance inconsistent with the public interest</w:t>
      </w:r>
      <w:r>
        <w:t>.</w:t>
      </w:r>
      <w:r>
        <w:rPr>
          <w:rStyle w:val="FootnoteReference"/>
        </w:rPr>
        <w:footnoteReference w:id="31"/>
      </w:r>
      <w:r>
        <w:t xml:space="preserve"> </w:t>
      </w:r>
      <w:r w:rsidR="006619B2">
        <w:t xml:space="preserve"> </w:t>
      </w:r>
      <w:r>
        <w:t>In addition, we</w:t>
      </w:r>
      <w:r w:rsidRPr="00D011DA">
        <w:t xml:space="preserve"> may take into account considerations of hardship, equity, or more effective implementation of overall policy on an individual basis.</w:t>
      </w:r>
      <w:r w:rsidRPr="0098112F">
        <w:rPr>
          <w:rStyle w:val="FootnoteReference"/>
        </w:rPr>
        <w:footnoteReference w:id="32"/>
      </w:r>
      <w:r w:rsidRPr="00D011DA">
        <w:t xml:space="preserve">  </w:t>
      </w:r>
      <w:r>
        <w:t>A waiver is thus appropriate if</w:t>
      </w:r>
      <w:r w:rsidR="006619B2">
        <w:t xml:space="preserve"> </w:t>
      </w:r>
      <w:r w:rsidR="006619B2" w:rsidRPr="006806BB">
        <w:t>special circumstances warrant a deviation from the general rule and such deviation will serve the public interest</w:t>
      </w:r>
      <w:r w:rsidR="006619B2">
        <w:t>.</w:t>
      </w:r>
      <w:r w:rsidR="006619B2">
        <w:rPr>
          <w:rStyle w:val="FootnoteReference"/>
        </w:rPr>
        <w:footnoteReference w:id="33"/>
      </w:r>
      <w:r w:rsidR="006619B2">
        <w:t xml:space="preserve">  </w:t>
      </w:r>
      <w:r w:rsidR="00351617">
        <w:t>Under this standard, we find good cause to grant temporary waivers of the equal access and billing options requirements.</w:t>
      </w:r>
    </w:p>
    <w:p w14:paraId="6A01EE8C" w14:textId="77777777" w:rsidR="00CC3CDB" w:rsidRDefault="00CC3CDB" w:rsidP="00CC3CDB">
      <w:pPr>
        <w:pStyle w:val="Heading2"/>
      </w:pPr>
      <w:r>
        <w:t>Waiver of the Equal Access Requirement</w:t>
      </w:r>
    </w:p>
    <w:p w14:paraId="67296B71" w14:textId="444E7D3D" w:rsidR="00684176" w:rsidRDefault="0033419F" w:rsidP="00B6607B">
      <w:pPr>
        <w:pStyle w:val="ParaNum"/>
      </w:pPr>
      <w:r>
        <w:t>As the petitioners point out, t</w:t>
      </w:r>
      <w:r w:rsidR="00C132E7" w:rsidRPr="00C132E7">
        <w:t xml:space="preserve">he equal access requirement was adopted </w:t>
      </w:r>
      <w:r w:rsidRPr="0033419F">
        <w:t xml:space="preserve">in order to ensure that TRS consumers </w:t>
      </w:r>
      <w:r w:rsidR="00781C68">
        <w:t>had</w:t>
      </w:r>
      <w:r w:rsidRPr="0033419F">
        <w:t xml:space="preserve"> </w:t>
      </w:r>
      <w:r>
        <w:t xml:space="preserve">functionally equivalent service </w:t>
      </w:r>
      <w:r w:rsidR="007F5C82">
        <w:t xml:space="preserve">at </w:t>
      </w:r>
      <w:r w:rsidR="006853BA">
        <w:t xml:space="preserve">a </w:t>
      </w:r>
      <w:r w:rsidR="007F5C82">
        <w:t xml:space="preserve">time when consumers’ ability to choose a particular long distance service provider </w:t>
      </w:r>
      <w:r w:rsidR="00A747C3">
        <w:t>wa</w:t>
      </w:r>
      <w:r w:rsidR="007F5C82">
        <w:t>s</w:t>
      </w:r>
      <w:r w:rsidR="004845F4">
        <w:t xml:space="preserve"> </w:t>
      </w:r>
      <w:r w:rsidR="00FF3B74">
        <w:t xml:space="preserve">a fundamental aspect </w:t>
      </w:r>
      <w:r w:rsidR="007F5C82">
        <w:t xml:space="preserve">of </w:t>
      </w:r>
      <w:r w:rsidR="00FF3B74">
        <w:t>tele</w:t>
      </w:r>
      <w:r w:rsidR="00DE6518">
        <w:t>phone</w:t>
      </w:r>
      <w:r w:rsidR="00FF3B74">
        <w:t xml:space="preserve"> service.</w:t>
      </w:r>
      <w:r w:rsidR="004845F4">
        <w:rPr>
          <w:rStyle w:val="FootnoteReference"/>
        </w:rPr>
        <w:footnoteReference w:id="34"/>
      </w:r>
      <w:r w:rsidR="00720AB0">
        <w:t xml:space="preserve">  </w:t>
      </w:r>
      <w:r w:rsidR="00E50534">
        <w:t xml:space="preserve">Today, by contrast, </w:t>
      </w:r>
      <w:r w:rsidR="003D4CDB">
        <w:t xml:space="preserve">as the Commission recently found, </w:t>
      </w:r>
      <w:r w:rsidR="00250D96">
        <w:t>“</w:t>
      </w:r>
      <w:r w:rsidR="00E50534">
        <w:t xml:space="preserve">stand-alone long distance </w:t>
      </w:r>
      <w:r w:rsidR="00250D96">
        <w:t xml:space="preserve">service . . . </w:t>
      </w:r>
      <w:r w:rsidR="00E50534">
        <w:t>has become a fringe market.</w:t>
      </w:r>
      <w:r w:rsidR="00250D96">
        <w:t>”</w:t>
      </w:r>
      <w:r w:rsidR="00FF6746">
        <w:rPr>
          <w:rStyle w:val="FootnoteReference"/>
        </w:rPr>
        <w:footnoteReference w:id="35"/>
      </w:r>
      <w:r w:rsidR="00E50534">
        <w:t xml:space="preserve">  </w:t>
      </w:r>
      <w:r w:rsidR="00250D96">
        <w:t>A</w:t>
      </w:r>
      <w:r w:rsidR="00DE6518">
        <w:t xml:space="preserve">s noted by Sprint, </w:t>
      </w:r>
      <w:r w:rsidR="00DE6518" w:rsidRPr="00DC305B">
        <w:t xml:space="preserve">bundled calling plans </w:t>
      </w:r>
      <w:r w:rsidR="00250D96">
        <w:t xml:space="preserve">“have rendered per-minute charges for long distance calls and </w:t>
      </w:r>
      <w:r w:rsidR="00250D96" w:rsidRPr="00DC305B">
        <w:t>standalone long-distance service increasingly uncommon</w:t>
      </w:r>
      <w:r w:rsidR="00250D96">
        <w:t xml:space="preserve">,” and this has largely </w:t>
      </w:r>
      <w:r w:rsidR="00DE6518">
        <w:t xml:space="preserve">eliminated </w:t>
      </w:r>
      <w:r w:rsidR="00250D96">
        <w:t xml:space="preserve">the </w:t>
      </w:r>
      <w:r w:rsidR="00DE6518">
        <w:t xml:space="preserve">concerns </w:t>
      </w:r>
      <w:r w:rsidR="00250D96">
        <w:t>underlying the equal access requirement</w:t>
      </w:r>
      <w:r w:rsidR="00DE6518" w:rsidRPr="00DC305B">
        <w:t>.</w:t>
      </w:r>
      <w:r w:rsidR="00DE6518">
        <w:rPr>
          <w:rStyle w:val="FootnoteReference"/>
        </w:rPr>
        <w:footnoteReference w:id="36"/>
      </w:r>
      <w:r w:rsidR="00DE6518">
        <w:t xml:space="preserve">   The Commission considered these marketplace changes when it</w:t>
      </w:r>
      <w:r w:rsidR="00250D96">
        <w:t xml:space="preserve"> </w:t>
      </w:r>
      <w:r w:rsidR="006F0BF9">
        <w:t>amend</w:t>
      </w:r>
      <w:r w:rsidR="00DE6518">
        <w:t>ed</w:t>
      </w:r>
      <w:r w:rsidR="006F0BF9">
        <w:t xml:space="preserve"> </w:t>
      </w:r>
      <w:r w:rsidR="00DE6518">
        <w:t xml:space="preserve">its </w:t>
      </w:r>
      <w:r w:rsidR="006F0BF9">
        <w:t>rule</w:t>
      </w:r>
      <w:r w:rsidR="00DE6518">
        <w:t>s</w:t>
      </w:r>
      <w:r w:rsidR="006F0BF9">
        <w:t xml:space="preserve"> to</w:t>
      </w:r>
      <w:r w:rsidR="00E50534">
        <w:t xml:space="preserve"> exempt</w:t>
      </w:r>
      <w:r w:rsidR="0029584E">
        <w:t xml:space="preserve"> Internet-based TRS providers from the equal access requirement</w:t>
      </w:r>
      <w:r w:rsidR="00DE6518">
        <w:t>.  In ruling on such exemption</w:t>
      </w:r>
      <w:r w:rsidR="0029584E">
        <w:t xml:space="preserve">, </w:t>
      </w:r>
      <w:r w:rsidR="00E50534">
        <w:t xml:space="preserve">the Commission expressly determined that </w:t>
      </w:r>
      <w:r w:rsidR="0029584E">
        <w:t xml:space="preserve">equal access to interexchange carriers is not necessary for functionally equivalent service </w:t>
      </w:r>
      <w:r w:rsidR="00E50534">
        <w:t xml:space="preserve">if </w:t>
      </w:r>
      <w:r w:rsidR="00800386">
        <w:t>Internet-based</w:t>
      </w:r>
      <w:r w:rsidR="00E50534">
        <w:t xml:space="preserve"> TRS</w:t>
      </w:r>
      <w:r w:rsidR="0029584E">
        <w:t xml:space="preserve"> providers do not charge for long distance service.</w:t>
      </w:r>
      <w:r w:rsidR="0029584E">
        <w:rPr>
          <w:rStyle w:val="FootnoteReference"/>
        </w:rPr>
        <w:footnoteReference w:id="37"/>
      </w:r>
      <w:r w:rsidR="0029584E">
        <w:t xml:space="preserve">  Where consumers do not pay long distance charges and consequently have no interest in price shopping for a long distance provider, </w:t>
      </w:r>
      <w:r w:rsidR="00800386">
        <w:t xml:space="preserve">the Commission reasoned, </w:t>
      </w:r>
      <w:r w:rsidR="0029584E">
        <w:t>they derive no value from having equal access to long distance carriers.</w:t>
      </w:r>
      <w:r w:rsidR="0029584E">
        <w:rPr>
          <w:rStyle w:val="FootnoteReference"/>
        </w:rPr>
        <w:footnoteReference w:id="38"/>
      </w:r>
      <w:r w:rsidR="0029584E">
        <w:t xml:space="preserve">  </w:t>
      </w:r>
    </w:p>
    <w:p w14:paraId="3B0BAE2F" w14:textId="75900B87" w:rsidR="00812161" w:rsidRDefault="00D011DA" w:rsidP="00B6607B">
      <w:pPr>
        <w:pStyle w:val="ParaNum"/>
      </w:pPr>
      <w:r>
        <w:t>Based on the Commission’s reasoning in that decision, we conclude that</w:t>
      </w:r>
      <w:r w:rsidR="0030600A">
        <w:t xml:space="preserve"> it is in the public interest to waive this requirement for traditional TRS</w:t>
      </w:r>
      <w:r w:rsidR="001A691C">
        <w:t>, STS,</w:t>
      </w:r>
      <w:r w:rsidR="0030600A">
        <w:t xml:space="preserve"> and CTS providers</w:t>
      </w:r>
      <w:r w:rsidR="00450902">
        <w:t xml:space="preserve"> on a temporary </w:t>
      </w:r>
      <w:r w:rsidR="00C529D7">
        <w:t>basis</w:t>
      </w:r>
      <w:r w:rsidR="0030600A">
        <w:t>.</w:t>
      </w:r>
      <w:r w:rsidR="00F4153D">
        <w:rPr>
          <w:rStyle w:val="FootnoteReference"/>
        </w:rPr>
        <w:footnoteReference w:id="39"/>
      </w:r>
      <w:r w:rsidR="0030600A">
        <w:t xml:space="preserve"> </w:t>
      </w:r>
      <w:r>
        <w:t xml:space="preserve"> </w:t>
      </w:r>
      <w:r w:rsidR="00684176">
        <w:t xml:space="preserve">Now that stand-alone long distance has become a fringe market, </w:t>
      </w:r>
      <w:r w:rsidR="00DF4FEA">
        <w:t>it would appear that</w:t>
      </w:r>
      <w:r w:rsidR="00DF23A4">
        <w:t>, for traditional TRS</w:t>
      </w:r>
      <w:r w:rsidR="001A691C">
        <w:t>, STS,</w:t>
      </w:r>
      <w:r w:rsidR="00DF23A4">
        <w:t xml:space="preserve"> and CTS as well as for iTRS,</w:t>
      </w:r>
      <w:r w:rsidR="00DF4FEA">
        <w:t xml:space="preserve"> </w:t>
      </w:r>
      <w:r w:rsidR="00DF23A4">
        <w:t xml:space="preserve">when a TRS provider does not charge users for long distance service, there is no public interest reason for </w:t>
      </w:r>
      <w:r w:rsidR="00684176">
        <w:t xml:space="preserve">continuing to require </w:t>
      </w:r>
      <w:r w:rsidR="00DF23A4">
        <w:t xml:space="preserve">the TRS </w:t>
      </w:r>
      <w:r w:rsidR="00812161">
        <w:t xml:space="preserve">provider to offer </w:t>
      </w:r>
      <w:r w:rsidR="00DE6518">
        <w:t xml:space="preserve">its </w:t>
      </w:r>
      <w:r w:rsidR="00812161">
        <w:t xml:space="preserve">users the </w:t>
      </w:r>
      <w:r w:rsidR="007723B9">
        <w:t>ability</w:t>
      </w:r>
      <w:r w:rsidR="00812161">
        <w:t xml:space="preserve"> to </w:t>
      </w:r>
      <w:r w:rsidR="007723B9">
        <w:t xml:space="preserve">use </w:t>
      </w:r>
      <w:r w:rsidR="00812161">
        <w:t>an alternative long distance carrier.</w:t>
      </w:r>
      <w:r w:rsidR="00684176">
        <w:t xml:space="preserve"> </w:t>
      </w:r>
      <w:r w:rsidR="00DF23A4">
        <w:t xml:space="preserve"> In addition, </w:t>
      </w:r>
      <w:r w:rsidR="00DE6518">
        <w:t xml:space="preserve">we are persuaded by </w:t>
      </w:r>
      <w:r w:rsidR="00DF23A4">
        <w:t>Sprint</w:t>
      </w:r>
      <w:r w:rsidR="00DE6518">
        <w:t>’s concern</w:t>
      </w:r>
      <w:r w:rsidR="00C05BC2">
        <w:t xml:space="preserve"> </w:t>
      </w:r>
      <w:r w:rsidR="00DE6518">
        <w:t xml:space="preserve">that </w:t>
      </w:r>
      <w:r w:rsidR="00DF23A4">
        <w:t xml:space="preserve">the requirement imposes an unnecessary burden </w:t>
      </w:r>
      <w:r w:rsidR="00C05BC2">
        <w:t xml:space="preserve">because it </w:t>
      </w:r>
      <w:r w:rsidR="00DF23A4">
        <w:t>compel</w:t>
      </w:r>
      <w:r w:rsidR="00C05BC2">
        <w:t>s</w:t>
      </w:r>
      <w:r w:rsidR="00DF23A4">
        <w:t xml:space="preserve"> TRS provider</w:t>
      </w:r>
      <w:r w:rsidR="00C05BC2">
        <w:t>s</w:t>
      </w:r>
      <w:r w:rsidR="00DF23A4">
        <w:t xml:space="preserve"> to expend resources to </w:t>
      </w:r>
      <w:r w:rsidR="00DF23A4" w:rsidRPr="00DF23A4">
        <w:t xml:space="preserve">maintain </w:t>
      </w:r>
      <w:r w:rsidR="003D4CDB">
        <w:t xml:space="preserve">and replicate obsolete </w:t>
      </w:r>
      <w:r w:rsidR="00DF23A4">
        <w:t xml:space="preserve">equal access capabilities </w:t>
      </w:r>
      <w:r w:rsidR="00C05BC2">
        <w:t xml:space="preserve">at a time </w:t>
      </w:r>
      <w:r w:rsidR="003D4CDB">
        <w:t xml:space="preserve">when </w:t>
      </w:r>
      <w:r w:rsidR="00C05BC2">
        <w:t xml:space="preserve">they are updating their </w:t>
      </w:r>
      <w:r w:rsidR="00DF23A4">
        <w:t>TRS</w:t>
      </w:r>
      <w:r w:rsidR="00DF23A4" w:rsidRPr="00DF23A4">
        <w:t xml:space="preserve"> platform</w:t>
      </w:r>
      <w:r w:rsidR="00C05BC2">
        <w:t>s to incorporate more modern telecommunications</w:t>
      </w:r>
      <w:r w:rsidR="00DF23A4">
        <w:t>.</w:t>
      </w:r>
      <w:r w:rsidR="00DF23A4">
        <w:rPr>
          <w:rStyle w:val="FootnoteReference"/>
        </w:rPr>
        <w:footnoteReference w:id="40"/>
      </w:r>
      <w:r w:rsidR="008F56E7">
        <w:t xml:space="preserve">  We thus conclude that granting a temporary, conditional waiver of the </w:t>
      </w:r>
      <w:r w:rsidR="00085FBC">
        <w:t>equal access</w:t>
      </w:r>
      <w:r w:rsidR="008F56E7">
        <w:t xml:space="preserve"> requirement will permit</w:t>
      </w:r>
      <w:r w:rsidR="008F56E7" w:rsidRPr="008F56E7">
        <w:t xml:space="preserve"> </w:t>
      </w:r>
      <w:r w:rsidR="008F56E7">
        <w:t>“</w:t>
      </w:r>
      <w:r w:rsidR="008F56E7" w:rsidRPr="008F56E7">
        <w:t>more effective implementation of overall policy</w:t>
      </w:r>
      <w:r w:rsidR="008F56E7">
        <w:t>” with respect to Sprint’s and Hamilton’s provision of traditional TRS</w:t>
      </w:r>
      <w:r w:rsidR="001A691C">
        <w:t>, STS,</w:t>
      </w:r>
      <w:r w:rsidR="008F56E7">
        <w:t xml:space="preserve"> and CTS.</w:t>
      </w:r>
      <w:r w:rsidR="00673C94">
        <w:rPr>
          <w:rStyle w:val="FootnoteReference"/>
        </w:rPr>
        <w:footnoteReference w:id="41"/>
      </w:r>
      <w:r w:rsidR="008F56E7">
        <w:t xml:space="preserve">  </w:t>
      </w:r>
    </w:p>
    <w:p w14:paraId="4A261CA3" w14:textId="3E452A1A" w:rsidR="000862E2" w:rsidRDefault="00812161" w:rsidP="004C6A50">
      <w:pPr>
        <w:pStyle w:val="ParaNum"/>
      </w:pPr>
      <w:r>
        <w:t xml:space="preserve">Therefore, we grant </w:t>
      </w:r>
      <w:r w:rsidR="0098112F">
        <w:t xml:space="preserve">petitioners </w:t>
      </w:r>
      <w:r>
        <w:t>a temporary waiver of the equal access requirement</w:t>
      </w:r>
      <w:r w:rsidR="008F56E7">
        <w:t xml:space="preserve"> as applied to traditional TRS</w:t>
      </w:r>
      <w:r w:rsidR="001A691C">
        <w:t>, STS,</w:t>
      </w:r>
      <w:r w:rsidR="008F56E7">
        <w:t xml:space="preserve"> and CTS</w:t>
      </w:r>
      <w:r>
        <w:t>,</w:t>
      </w:r>
      <w:r w:rsidR="0098112F">
        <w:t xml:space="preserve"> </w:t>
      </w:r>
      <w:r w:rsidR="009E69F5">
        <w:t xml:space="preserve">provided </w:t>
      </w:r>
      <w:r w:rsidR="008F56E7">
        <w:t>that they</w:t>
      </w:r>
      <w:r>
        <w:t xml:space="preserve"> </w:t>
      </w:r>
      <w:r w:rsidR="0098112F">
        <w:t xml:space="preserve">do not assess separate charges on TRS users for long distance service.  This temporary waiver will </w:t>
      </w:r>
      <w:r>
        <w:t>expir</w:t>
      </w:r>
      <w:r w:rsidR="0098112F">
        <w:t>e</w:t>
      </w:r>
      <w:r>
        <w:t xml:space="preserve"> two years from the date of this Order, or on the effective date of a Commission rulemaking or other decision as to the continuing application of the equal access requirement to traditional TRS</w:t>
      </w:r>
      <w:r w:rsidR="001A691C">
        <w:t>, STS,</w:t>
      </w:r>
      <w:r>
        <w:t xml:space="preserve"> and CTS, whichever is earlier.</w:t>
      </w:r>
      <w:r w:rsidR="00684176">
        <w:t xml:space="preserve"> </w:t>
      </w:r>
    </w:p>
    <w:p w14:paraId="332571B5" w14:textId="77777777" w:rsidR="0030600A" w:rsidRDefault="0030600A" w:rsidP="0030600A">
      <w:pPr>
        <w:pStyle w:val="Heading2"/>
      </w:pPr>
      <w:r>
        <w:t xml:space="preserve">Waiver of the </w:t>
      </w:r>
      <w:r w:rsidR="00684176">
        <w:t>Billing Options Requirement</w:t>
      </w:r>
    </w:p>
    <w:p w14:paraId="3E87F416" w14:textId="36D9FF10" w:rsidR="008F56E7" w:rsidRDefault="00781C68" w:rsidP="00F2351C">
      <w:pPr>
        <w:pStyle w:val="ParaNum"/>
      </w:pPr>
      <w:r w:rsidRPr="00781C68">
        <w:t xml:space="preserve">The Commission </w:t>
      </w:r>
      <w:r>
        <w:t xml:space="preserve">adopted the </w:t>
      </w:r>
      <w:r w:rsidR="000738D1">
        <w:t xml:space="preserve">billing-options </w:t>
      </w:r>
      <w:r w:rsidR="007F5C82">
        <w:t xml:space="preserve">requirement </w:t>
      </w:r>
      <w:r w:rsidR="000862E2">
        <w:t xml:space="preserve">in order </w:t>
      </w:r>
      <w:r w:rsidR="007F5C82">
        <w:t xml:space="preserve">to </w:t>
      </w:r>
      <w:r w:rsidR="000862E2">
        <w:t xml:space="preserve">enable </w:t>
      </w:r>
      <w:r w:rsidR="007F5C82">
        <w:t xml:space="preserve">TRS consumers to </w:t>
      </w:r>
      <w:r w:rsidR="000862E2">
        <w:t>use</w:t>
      </w:r>
      <w:r w:rsidR="00C132E7" w:rsidRPr="00C132E7">
        <w:t xml:space="preserve"> collect call</w:t>
      </w:r>
      <w:r>
        <w:t>ing</w:t>
      </w:r>
      <w:r w:rsidR="00C132E7" w:rsidRPr="00C132E7">
        <w:t xml:space="preserve"> and other</w:t>
      </w:r>
      <w:r w:rsidR="002B5288">
        <w:t xml:space="preserve"> billing option</w:t>
      </w:r>
      <w:r w:rsidR="00C132E7" w:rsidRPr="00C132E7">
        <w:t xml:space="preserve">s </w:t>
      </w:r>
      <w:r w:rsidR="00684176">
        <w:t xml:space="preserve">then </w:t>
      </w:r>
      <w:r w:rsidR="00720AB0">
        <w:t xml:space="preserve">available </w:t>
      </w:r>
      <w:r w:rsidR="00985FF6">
        <w:t xml:space="preserve">to the general public </w:t>
      </w:r>
      <w:r w:rsidR="00720AB0">
        <w:t>in the telecommunications service market.</w:t>
      </w:r>
      <w:r w:rsidR="008765EA">
        <w:rPr>
          <w:rStyle w:val="FootnoteReference"/>
        </w:rPr>
        <w:footnoteReference w:id="42"/>
      </w:r>
      <w:r w:rsidR="00720AB0">
        <w:t xml:space="preserve">  </w:t>
      </w:r>
      <w:r w:rsidR="003D4CDB">
        <w:t>However, t</w:t>
      </w:r>
      <w:r w:rsidR="00FF1555">
        <w:t xml:space="preserve">he same marketplace and billing changes </w:t>
      </w:r>
      <w:r w:rsidR="00A52471">
        <w:t xml:space="preserve">that have, for the most part, eliminated the need for the equal access requirement discussed </w:t>
      </w:r>
      <w:r w:rsidR="00FF1555">
        <w:t>above</w:t>
      </w:r>
      <w:r w:rsidR="00720AB0">
        <w:t xml:space="preserve"> </w:t>
      </w:r>
      <w:r w:rsidR="003D4CDB">
        <w:t xml:space="preserve">also </w:t>
      </w:r>
      <w:r w:rsidR="00FF1555">
        <w:t xml:space="preserve">appear to have eliminated the need to offer such billing options in order to achieve functionally equivalent service.  </w:t>
      </w:r>
      <w:r w:rsidR="007B01A8">
        <w:t>For example</w:t>
      </w:r>
      <w:r w:rsidR="00716EC0">
        <w:t xml:space="preserve">, </w:t>
      </w:r>
      <w:r w:rsidR="00716EC0" w:rsidRPr="008F56E7">
        <w:rPr>
          <w:bCs/>
          <w:iCs/>
        </w:rPr>
        <w:t>stand-alone long distance competition has given way to competition between service bundles that include both local and long distance calling.</w:t>
      </w:r>
      <w:r w:rsidR="00716EC0">
        <w:rPr>
          <w:rStyle w:val="FootnoteReference"/>
          <w:bCs/>
          <w:iCs/>
        </w:rPr>
        <w:footnoteReference w:id="43"/>
      </w:r>
      <w:r w:rsidR="00716EC0" w:rsidRPr="00716EC0">
        <w:t xml:space="preserve"> </w:t>
      </w:r>
      <w:r w:rsidR="00716EC0">
        <w:t xml:space="preserve"> </w:t>
      </w:r>
      <w:r w:rsidR="00FF1555">
        <w:t>As</w:t>
      </w:r>
      <w:r w:rsidR="009B3FCE">
        <w:t xml:space="preserve"> a result, as Hamilton points out, even wireline carriers are seeking to discontinue offering these billing options.</w:t>
      </w:r>
      <w:r w:rsidR="009B3FCE">
        <w:rPr>
          <w:rStyle w:val="FootnoteReference"/>
        </w:rPr>
        <w:footnoteReference w:id="44"/>
      </w:r>
      <w:r w:rsidR="008F56E7">
        <w:t xml:space="preserve">  </w:t>
      </w:r>
      <w:r w:rsidR="008765EA">
        <w:t xml:space="preserve">Moreover, </w:t>
      </w:r>
      <w:r w:rsidR="00F13D75">
        <w:t xml:space="preserve">as with the </w:t>
      </w:r>
      <w:r w:rsidR="00085FBC">
        <w:t>equal access</w:t>
      </w:r>
      <w:r w:rsidR="00F13D75">
        <w:t xml:space="preserve"> requirement, if TRS providers do not charge for long distance service, </w:t>
      </w:r>
      <w:r w:rsidR="00716EC0">
        <w:t>any residual need for long distance billing options appears to be eliminated</w:t>
      </w:r>
      <w:r w:rsidR="00DF4FEA">
        <w:t xml:space="preserve">, </w:t>
      </w:r>
      <w:r w:rsidR="007B01A8">
        <w:t>rendering</w:t>
      </w:r>
      <w:r w:rsidR="00DF4FEA">
        <w:t xml:space="preserve"> </w:t>
      </w:r>
      <w:r w:rsidR="00F13D75">
        <w:t xml:space="preserve">the requirement to offer </w:t>
      </w:r>
      <w:r w:rsidR="00A52471">
        <w:t>this TRS feature</w:t>
      </w:r>
      <w:r w:rsidR="00F13D75" w:rsidRPr="00F13D75">
        <w:t xml:space="preserve"> a burden </w:t>
      </w:r>
      <w:r w:rsidR="00716EC0">
        <w:t>with no</w:t>
      </w:r>
      <w:r w:rsidR="00F13D75" w:rsidRPr="00F13D75">
        <w:t xml:space="preserve"> associated public interest benefit.</w:t>
      </w:r>
      <w:r w:rsidR="008765EA">
        <w:t xml:space="preserve"> </w:t>
      </w:r>
      <w:r w:rsidR="00985FF6">
        <w:t xml:space="preserve"> </w:t>
      </w:r>
      <w:r w:rsidR="006F0BF9">
        <w:t xml:space="preserve">Citing </w:t>
      </w:r>
      <w:r w:rsidR="00985FF6">
        <w:t xml:space="preserve">similar reasons, </w:t>
      </w:r>
      <w:r w:rsidR="006F0BF9">
        <w:t xml:space="preserve">among others, </w:t>
      </w:r>
      <w:r w:rsidR="00985FF6">
        <w:t>in 2014, the Commission permanently exempted iTRS providers from the billing options requirement.</w:t>
      </w:r>
      <w:r w:rsidR="00985FF6">
        <w:rPr>
          <w:rStyle w:val="FootnoteReference"/>
        </w:rPr>
        <w:footnoteReference w:id="45"/>
      </w:r>
      <w:r w:rsidR="008F56E7" w:rsidRPr="008F56E7">
        <w:t xml:space="preserve"> </w:t>
      </w:r>
      <w:r w:rsidR="008F56E7">
        <w:t xml:space="preserve"> As with the </w:t>
      </w:r>
      <w:r w:rsidR="00085FBC">
        <w:t>equal access</w:t>
      </w:r>
      <w:r w:rsidR="008F56E7">
        <w:t xml:space="preserve"> waiver discussed above, w</w:t>
      </w:r>
      <w:r w:rsidR="008F56E7" w:rsidRPr="008F56E7">
        <w:t xml:space="preserve">e thus conclude that granting </w:t>
      </w:r>
      <w:r w:rsidR="008F56E7">
        <w:t>a temporary, conditional waiver of the billing-options requirement</w:t>
      </w:r>
      <w:r w:rsidR="008F56E7" w:rsidRPr="008F56E7">
        <w:t xml:space="preserve"> will permit “more effective implementation of overall policy</w:t>
      </w:r>
      <w:r w:rsidR="00742719">
        <w:t>”</w:t>
      </w:r>
      <w:r w:rsidR="008F56E7" w:rsidRPr="008F56E7">
        <w:t xml:space="preserve"> with respect to Sprint’s and Hamilton’s provision of traditional TRS</w:t>
      </w:r>
      <w:r w:rsidR="001A691C">
        <w:t>, STS,</w:t>
      </w:r>
      <w:r w:rsidR="008F56E7" w:rsidRPr="008F56E7">
        <w:t xml:space="preserve"> and CTS.</w:t>
      </w:r>
      <w:r w:rsidR="00673C94">
        <w:rPr>
          <w:rStyle w:val="FootnoteReference"/>
        </w:rPr>
        <w:footnoteReference w:id="46"/>
      </w:r>
    </w:p>
    <w:p w14:paraId="00ABC6D7" w14:textId="75C97A19" w:rsidR="006619B2" w:rsidRDefault="008F74B0" w:rsidP="00F2351C">
      <w:pPr>
        <w:pStyle w:val="ParaNum"/>
      </w:pPr>
      <w:r w:rsidRPr="008F74B0">
        <w:t>Therefore, we grant petitioners temporary waiver</w:t>
      </w:r>
      <w:r w:rsidR="009E69F5">
        <w:t>s</w:t>
      </w:r>
      <w:r w:rsidRPr="008F74B0">
        <w:t xml:space="preserve"> of the </w:t>
      </w:r>
      <w:r>
        <w:t>billing options</w:t>
      </w:r>
      <w:r w:rsidRPr="008F74B0">
        <w:t xml:space="preserve"> requirement</w:t>
      </w:r>
      <w:r w:rsidR="008F56E7">
        <w:t xml:space="preserve"> as applied to traditional TRS</w:t>
      </w:r>
      <w:r w:rsidR="001A691C">
        <w:t>, STS,</w:t>
      </w:r>
      <w:r w:rsidR="008F56E7">
        <w:t xml:space="preserve"> and CTS</w:t>
      </w:r>
      <w:r w:rsidRPr="008F74B0">
        <w:t xml:space="preserve">, </w:t>
      </w:r>
      <w:r w:rsidR="00673C94">
        <w:t xml:space="preserve">provided that </w:t>
      </w:r>
      <w:r w:rsidR="009E69F5">
        <w:t>they</w:t>
      </w:r>
      <w:r w:rsidR="00673C94">
        <w:t xml:space="preserve"> </w:t>
      </w:r>
      <w:r w:rsidRPr="008F74B0">
        <w:t xml:space="preserve">do not assess separate charges on users </w:t>
      </w:r>
      <w:r w:rsidR="00A52471">
        <w:t xml:space="preserve">of these services </w:t>
      </w:r>
      <w:r w:rsidRPr="008F74B0">
        <w:t xml:space="preserve">for long distance </w:t>
      </w:r>
      <w:r w:rsidR="00A52471">
        <w:t>calls</w:t>
      </w:r>
      <w:r w:rsidRPr="008F74B0">
        <w:t xml:space="preserve">.  </w:t>
      </w:r>
      <w:r w:rsidR="009E69F5">
        <w:t xml:space="preserve">In other words, petitioners need not provide the </w:t>
      </w:r>
      <w:r w:rsidR="009E69F5" w:rsidRPr="00D17B73">
        <w:rPr>
          <w:snapToGrid/>
          <w:kern w:val="0"/>
          <w:szCs w:val="22"/>
        </w:rPr>
        <w:t>same billing options (</w:t>
      </w:r>
      <w:r w:rsidR="009E69F5" w:rsidRPr="00D17B73">
        <w:rPr>
          <w:i/>
          <w:iCs/>
          <w:snapToGrid/>
          <w:kern w:val="0"/>
          <w:szCs w:val="22"/>
        </w:rPr>
        <w:t>e.g.</w:t>
      </w:r>
      <w:r w:rsidR="009E69F5" w:rsidRPr="00D17B73">
        <w:rPr>
          <w:snapToGrid/>
          <w:kern w:val="0"/>
          <w:szCs w:val="22"/>
        </w:rPr>
        <w:t>, sent-paid long distance, operator</w:t>
      </w:r>
      <w:r w:rsidR="009E69F5">
        <w:rPr>
          <w:snapToGrid/>
          <w:kern w:val="0"/>
          <w:szCs w:val="22"/>
        </w:rPr>
        <w:t>-</w:t>
      </w:r>
      <w:r w:rsidR="009E69F5" w:rsidRPr="00D17B73">
        <w:rPr>
          <w:snapToGrid/>
          <w:kern w:val="0"/>
          <w:szCs w:val="22"/>
        </w:rPr>
        <w:t>assisted,</w:t>
      </w:r>
      <w:r w:rsidR="009E69F5">
        <w:rPr>
          <w:snapToGrid/>
          <w:kern w:val="0"/>
          <w:szCs w:val="22"/>
        </w:rPr>
        <w:t xml:space="preserve"> </w:t>
      </w:r>
      <w:r w:rsidR="009E69F5" w:rsidRPr="00D17B73">
        <w:rPr>
          <w:snapToGrid/>
          <w:kern w:val="0"/>
          <w:szCs w:val="22"/>
        </w:rPr>
        <w:t>collect, and third party billing) traditionally offered for wireline voice services</w:t>
      </w:r>
      <w:r w:rsidR="009E69F5">
        <w:rPr>
          <w:snapToGrid/>
          <w:kern w:val="0"/>
          <w:szCs w:val="22"/>
        </w:rPr>
        <w:t xml:space="preserve"> </w:t>
      </w:r>
      <w:r w:rsidR="009E69F5" w:rsidRPr="00F637BD">
        <w:t>if they do not assess charges for long distance calling.</w:t>
      </w:r>
      <w:r w:rsidR="009E69F5">
        <w:rPr>
          <w:rStyle w:val="FootnoteReference"/>
        </w:rPr>
        <w:footnoteReference w:id="47"/>
      </w:r>
      <w:r w:rsidR="009E69F5">
        <w:t xml:space="preserve">  </w:t>
      </w:r>
      <w:r w:rsidRPr="008F74B0">
        <w:t xml:space="preserve">This temporary waiver will expire two years from the date of this Order, or on the effective date of a Commission rulemaking or other decision as to the continuing application of the </w:t>
      </w:r>
      <w:r>
        <w:t>billing options</w:t>
      </w:r>
      <w:r w:rsidRPr="008F74B0">
        <w:t xml:space="preserve"> requirement to traditional TRS</w:t>
      </w:r>
      <w:r w:rsidR="001A691C">
        <w:t>, STS,</w:t>
      </w:r>
      <w:r w:rsidRPr="008F74B0">
        <w:t xml:space="preserve"> and CTS, whichever is earlier.</w:t>
      </w:r>
    </w:p>
    <w:p w14:paraId="61D9181D" w14:textId="179C943E" w:rsidR="007B01A8" w:rsidRPr="007B01A8" w:rsidRDefault="007B01A8" w:rsidP="002B23BB">
      <w:pPr>
        <w:pStyle w:val="ParaNum"/>
      </w:pPr>
      <w:r w:rsidRPr="007B01A8">
        <w:t xml:space="preserve">We </w:t>
      </w:r>
      <w:r>
        <w:t>caution</w:t>
      </w:r>
      <w:r w:rsidRPr="007B01A8">
        <w:t xml:space="preserve">, however, that </w:t>
      </w:r>
      <w:r w:rsidR="00673C94">
        <w:t xml:space="preserve">Sprint and Hamilton </w:t>
      </w:r>
      <w:r>
        <w:t xml:space="preserve">must continue to handle and complete TRS calls from inmates of correctional facilities.  </w:t>
      </w:r>
      <w:r w:rsidR="00E63894">
        <w:t>In this regard, w</w:t>
      </w:r>
      <w:r w:rsidR="00673C94">
        <w:t>e note that</w:t>
      </w:r>
      <w:r>
        <w:t xml:space="preserve"> </w:t>
      </w:r>
      <w:r w:rsidRPr="007B01A8">
        <w:t xml:space="preserve">Hamilton states </w:t>
      </w:r>
      <w:r w:rsidR="00673C94">
        <w:t xml:space="preserve">in its petition </w:t>
      </w:r>
      <w:r w:rsidRPr="007B01A8">
        <w:t>that</w:t>
      </w:r>
      <w:r w:rsidR="00A05A5C">
        <w:t xml:space="preserve">, even though Hamilton itself “does not charge [TRS] users for long distance services directly,” others may do so, including inmate </w:t>
      </w:r>
      <w:r w:rsidR="000D32E7">
        <w:t xml:space="preserve">calling </w:t>
      </w:r>
      <w:r w:rsidR="00A05A5C">
        <w:t xml:space="preserve">service </w:t>
      </w:r>
      <w:r w:rsidR="000D32E7">
        <w:t xml:space="preserve">(ICS) </w:t>
      </w:r>
      <w:r w:rsidR="00A05A5C">
        <w:t>providers.</w:t>
      </w:r>
      <w:r w:rsidR="00A05A5C">
        <w:rPr>
          <w:rStyle w:val="FootnoteReference"/>
        </w:rPr>
        <w:footnoteReference w:id="48"/>
      </w:r>
      <w:r w:rsidR="00E63894">
        <w:t xml:space="preserve">  Specifically, Hamilton explains that </w:t>
      </w:r>
      <w:r w:rsidR="00F21475">
        <w:t>“</w:t>
      </w:r>
      <w:r w:rsidR="00E63894">
        <w:t>c</w:t>
      </w:r>
      <w:r w:rsidRPr="007B01A8">
        <w:t>ertain relay calls, such as inmate relay calls, typically are made through collect calling or through the use of calling cards.  Those options, which are primarily designed to avoid the misuse of relay, may remain in place even if the requested waiver is granted.”</w:t>
      </w:r>
      <w:r>
        <w:rPr>
          <w:rStyle w:val="FootnoteReference"/>
        </w:rPr>
        <w:footnoteReference w:id="49"/>
      </w:r>
      <w:r>
        <w:t xml:space="preserve">  </w:t>
      </w:r>
      <w:r w:rsidR="00673C94">
        <w:t>N</w:t>
      </w:r>
      <w:r w:rsidR="00E143A7">
        <w:t xml:space="preserve">othing in this Order relieves </w:t>
      </w:r>
      <w:r w:rsidR="00673C94">
        <w:t xml:space="preserve">Sprint and Hamilton, as </w:t>
      </w:r>
      <w:r w:rsidR="00E143A7">
        <w:t>TRS providers</w:t>
      </w:r>
      <w:r w:rsidR="00673C94">
        <w:t>,</w:t>
      </w:r>
      <w:r w:rsidR="00E143A7">
        <w:t xml:space="preserve"> of the </w:t>
      </w:r>
      <w:r w:rsidR="0068353F">
        <w:t>obligation</w:t>
      </w:r>
      <w:r w:rsidR="00E143A7">
        <w:t xml:space="preserve"> to complete inmate calls in a manner that is consistent with the applicable billing methods</w:t>
      </w:r>
      <w:r w:rsidR="0068353F">
        <w:t xml:space="preserve"> </w:t>
      </w:r>
      <w:r w:rsidR="00E143A7">
        <w:t xml:space="preserve">allowed by the </w:t>
      </w:r>
      <w:r w:rsidR="0068353F">
        <w:t>correctional</w:t>
      </w:r>
      <w:r w:rsidR="00E143A7">
        <w:t xml:space="preserve"> facility</w:t>
      </w:r>
      <w:r w:rsidR="0068353F">
        <w:t xml:space="preserve"> for any charges </w:t>
      </w:r>
      <w:r w:rsidR="000D32E7">
        <w:t xml:space="preserve">lawfully </w:t>
      </w:r>
      <w:r w:rsidR="00673C94">
        <w:t>assessed</w:t>
      </w:r>
      <w:r w:rsidR="0068353F">
        <w:t xml:space="preserve"> by </w:t>
      </w:r>
      <w:r w:rsidR="000D32E7">
        <w:t>an ICS provider</w:t>
      </w:r>
      <w:r w:rsidR="00E143A7">
        <w:t>.</w:t>
      </w:r>
      <w:r w:rsidR="000D32E7">
        <w:rPr>
          <w:rStyle w:val="FootnoteReference"/>
        </w:rPr>
        <w:footnoteReference w:id="50"/>
      </w:r>
      <w:r w:rsidR="0068353F">
        <w:t xml:space="preserve">  For example, we expect a TRS provider to cooperate with inmate calling service (ICS) providers and correctional facilities in </w:t>
      </w:r>
      <w:r w:rsidR="000D32E7">
        <w:t xml:space="preserve">taking appropriate steps to </w:t>
      </w:r>
      <w:r w:rsidR="0068353F">
        <w:t>determin</w:t>
      </w:r>
      <w:r w:rsidR="000D32E7">
        <w:t>e</w:t>
      </w:r>
      <w:r w:rsidR="0068353F">
        <w:t xml:space="preserve"> whether a called party agrees to be billed for a collect call from an inmate.</w:t>
      </w:r>
      <w:r>
        <w:t xml:space="preserve">  </w:t>
      </w:r>
      <w:r w:rsidRPr="007B01A8">
        <w:t xml:space="preserve">     </w:t>
      </w:r>
    </w:p>
    <w:p w14:paraId="607EEE0B" w14:textId="77777777" w:rsidR="00DB5ADB" w:rsidRDefault="00763942" w:rsidP="00DB5ADB">
      <w:pPr>
        <w:pStyle w:val="Heading2"/>
      </w:pPr>
      <w:r>
        <w:t>Permissibility of Free Long Distance Calling</w:t>
      </w:r>
    </w:p>
    <w:p w14:paraId="007F1037" w14:textId="7EC0270C" w:rsidR="00763942" w:rsidRDefault="00763942" w:rsidP="00763942">
      <w:pPr>
        <w:pStyle w:val="ParaNum"/>
      </w:pPr>
      <w:r w:rsidRPr="00763942">
        <w:t xml:space="preserve">We also clarify that, given the changes that have occurred in telecommunications markets and billing practices, including the </w:t>
      </w:r>
      <w:r w:rsidR="00E63894">
        <w:t>common</w:t>
      </w:r>
      <w:r w:rsidR="00471000">
        <w:t xml:space="preserve"> practice</w:t>
      </w:r>
      <w:r w:rsidR="00E63894">
        <w:t xml:space="preserve"> </w:t>
      </w:r>
      <w:r w:rsidRPr="00763942">
        <w:t>of bundling long distance with local exchange service,</w:t>
      </w:r>
      <w:r w:rsidRPr="004C6A50">
        <w:rPr>
          <w:rStyle w:val="FootnoteReference"/>
        </w:rPr>
        <w:footnoteReference w:id="51"/>
      </w:r>
      <w:r w:rsidRPr="00763942">
        <w:t xml:space="preserve"> a TRS provider’s practice of allowing long distance call</w:t>
      </w:r>
      <w:r w:rsidR="00E63894">
        <w:t xml:space="preserve">s </w:t>
      </w:r>
      <w:r w:rsidRPr="00763942">
        <w:t>without separate charge</w:t>
      </w:r>
      <w:r w:rsidR="00E63894">
        <w:t>s</w:t>
      </w:r>
      <w:r w:rsidRPr="00763942">
        <w:t xml:space="preserve"> </w:t>
      </w:r>
      <w:r w:rsidR="00E63894">
        <w:t>does</w:t>
      </w:r>
      <w:r w:rsidRPr="00763942">
        <w:t xml:space="preserve"> not, by itself, support an inference that the provider is offering an impermissible financial incentive for TRS use.  The Bureau previously ruled that the ban on financial incentives for TRS use prohibits “only those long distance discounts for TRS consumers that go beyond ensuring that the long distance service cost of the TRS call is equivalent to what that cost would have been for hearing parties.”</w:t>
      </w:r>
      <w:r w:rsidRPr="004C6A50">
        <w:rPr>
          <w:rStyle w:val="FootnoteReference"/>
        </w:rPr>
        <w:footnoteReference w:id="52"/>
      </w:r>
      <w:r w:rsidRPr="00763942">
        <w:t xml:space="preserve">  Given the widespread bundling of long distance with local calling, we find no basis to conclude that, in today’s environment, offering free long distance calling to TRS users would provide an </w:t>
      </w:r>
      <w:r w:rsidR="008F74B0">
        <w:t>impermissible</w:t>
      </w:r>
      <w:r w:rsidRPr="00763942">
        <w:t xml:space="preserve"> incentive for them to make long distance calls</w:t>
      </w:r>
      <w:r w:rsidR="00C95FC3">
        <w:t>.</w:t>
      </w:r>
      <w:r w:rsidRPr="004C6A50">
        <w:rPr>
          <w:rStyle w:val="FootnoteReference"/>
        </w:rPr>
        <w:footnoteReference w:id="53"/>
      </w:r>
    </w:p>
    <w:p w14:paraId="259DB6E5" w14:textId="77777777" w:rsidR="00F13D75" w:rsidRPr="00763942" w:rsidRDefault="00F13D75" w:rsidP="00F13D75">
      <w:pPr>
        <w:pStyle w:val="Heading1"/>
      </w:pPr>
      <w:r>
        <w:t>Ordering Clauses</w:t>
      </w:r>
    </w:p>
    <w:p w14:paraId="2E7E296A" w14:textId="3F93D578" w:rsidR="00806BDF" w:rsidRDefault="006619B2" w:rsidP="008F74B0">
      <w:pPr>
        <w:pStyle w:val="ParaNum"/>
      </w:pPr>
      <w:r>
        <w:t>ACCORDINGLY, IT IS ORDERED that, pursuant to sections 0</w:t>
      </w:r>
      <w:r w:rsidR="001B5C5A">
        <w:t>.141, 0.361</w:t>
      </w:r>
      <w:r>
        <w:t>, and 1.3 of the Commi</w:t>
      </w:r>
      <w:r w:rsidR="001B5C5A">
        <w:t>ssion’s rules, 47 C.F.R. §§ 0.141, 0.361</w:t>
      </w:r>
      <w:r>
        <w:t xml:space="preserve">, 1.3, </w:t>
      </w:r>
      <w:r w:rsidR="008F74B0">
        <w:t xml:space="preserve">the petitions for interim waiver filed by Sprint and Hamilton are GRANTED and </w:t>
      </w:r>
      <w:r>
        <w:t>sections 64.6</w:t>
      </w:r>
      <w:r w:rsidR="002F1C01">
        <w:t>04(a)(3)(ii) and</w:t>
      </w:r>
      <w:r>
        <w:t xml:space="preserve"> 64.6</w:t>
      </w:r>
      <w:r w:rsidR="002F1C01">
        <w:t>04</w:t>
      </w:r>
      <w:r>
        <w:t>(b)(</w:t>
      </w:r>
      <w:r w:rsidR="002F1C01">
        <w:t>3</w:t>
      </w:r>
      <w:r>
        <w:t xml:space="preserve">) of the Commission’s rules, 47 C.F.R. §§ </w:t>
      </w:r>
      <w:r w:rsidR="00A43274" w:rsidRPr="00A43274">
        <w:t>64.604(a)(3)(ii) and 64.604(b)(3)</w:t>
      </w:r>
      <w:r w:rsidR="00A43274">
        <w:t>,</w:t>
      </w:r>
      <w:r w:rsidR="00A43274" w:rsidRPr="00A43274">
        <w:t xml:space="preserve"> </w:t>
      </w:r>
      <w:r>
        <w:t xml:space="preserve">ARE </w:t>
      </w:r>
      <w:r w:rsidR="002F1C01">
        <w:t xml:space="preserve">TEMPORARILY </w:t>
      </w:r>
      <w:r>
        <w:t>WAIVED</w:t>
      </w:r>
      <w:r w:rsidR="008F74B0">
        <w:t>,</w:t>
      </w:r>
      <w:r>
        <w:t xml:space="preserve"> to the extent </w:t>
      </w:r>
      <w:r w:rsidR="00CD72C5">
        <w:t>stated in this Order</w:t>
      </w:r>
      <w:r w:rsidR="008F74B0">
        <w:t xml:space="preserve">, for two years, or </w:t>
      </w:r>
      <w:r w:rsidR="00A43274">
        <w:t xml:space="preserve">until the </w:t>
      </w:r>
      <w:r w:rsidR="008F74B0">
        <w:t xml:space="preserve">effective date </w:t>
      </w:r>
      <w:r w:rsidR="008F74B0" w:rsidRPr="008F74B0">
        <w:t xml:space="preserve">of </w:t>
      </w:r>
      <w:r w:rsidR="00CD72C5">
        <w:t xml:space="preserve">a </w:t>
      </w:r>
      <w:r w:rsidR="008F74B0" w:rsidRPr="008F74B0">
        <w:t xml:space="preserve">Commission rulemaking or other decision as to the continuing application of </w:t>
      </w:r>
      <w:r w:rsidR="00CD72C5">
        <w:t>each such provision</w:t>
      </w:r>
      <w:r w:rsidR="008F74B0" w:rsidRPr="008F74B0">
        <w:t xml:space="preserve"> to traditional TRS</w:t>
      </w:r>
      <w:r w:rsidR="00164599">
        <w:t>, STS,</w:t>
      </w:r>
      <w:r w:rsidR="008F74B0" w:rsidRPr="008F74B0">
        <w:t xml:space="preserve"> and CTS, whichever is earlier.</w:t>
      </w:r>
    </w:p>
    <w:p w14:paraId="3674F2D0" w14:textId="009E9064" w:rsidR="00890688" w:rsidRPr="00890688" w:rsidRDefault="00806BDF" w:rsidP="00806BDF">
      <w:pPr>
        <w:widowControl/>
      </w:pPr>
      <w:r>
        <w:br w:type="page"/>
      </w:r>
    </w:p>
    <w:p w14:paraId="39078BA8" w14:textId="4C920AA5" w:rsidR="00890688" w:rsidRDefault="00890688" w:rsidP="00806BDF">
      <w:pPr>
        <w:pStyle w:val="ParaNum"/>
      </w:pPr>
      <w:r w:rsidRPr="00805335">
        <w:t xml:space="preserve">To request materials in accessible formats (such as Braille, large print, electronic files, or audio format), send an e-mail to </w:t>
      </w:r>
      <w:hyperlink r:id="rId8" w:history="1">
        <w:r w:rsidRPr="00805335">
          <w:t>fcc504@fcc.gov</w:t>
        </w:r>
      </w:hyperlink>
      <w:r w:rsidRPr="00805335">
        <w:t xml:space="preserve"> or call the Consumer and Governmental Affairs Bureau at (202) 418-0530 (voice)</w:t>
      </w:r>
      <w:r w:rsidR="00521CFB">
        <w:t>, (844) 432-2275 (videophone),</w:t>
      </w:r>
      <w:r w:rsidRPr="00805335">
        <w:t xml:space="preserve"> or (202) 418-0432 (TTY).  This Order may be downloaded from </w:t>
      </w:r>
      <w:hyperlink r:id="rId9" w:history="1">
        <w:r w:rsidR="00806BDF" w:rsidRPr="000C7608">
          <w:rPr>
            <w:rStyle w:val="Hyperlink"/>
          </w:rPr>
          <w:t>https://www.fcc.gov/general/telecommunications-relay-services-trs</w:t>
        </w:r>
      </w:hyperlink>
      <w:r w:rsidRPr="00805335">
        <w:t xml:space="preserve">.   </w:t>
      </w:r>
    </w:p>
    <w:p w14:paraId="71857A71" w14:textId="77777777" w:rsidR="0071571A" w:rsidRPr="00805335" w:rsidRDefault="0071571A" w:rsidP="0071571A"/>
    <w:p w14:paraId="28B73172" w14:textId="77777777" w:rsidR="006619B2" w:rsidRDefault="006619B2" w:rsidP="006C0DCC"/>
    <w:p w14:paraId="16F0A793" w14:textId="77777777" w:rsidR="009C1DAC" w:rsidRDefault="00ED4369" w:rsidP="00ED4369">
      <w:pPr>
        <w:ind w:left="4320"/>
      </w:pPr>
      <w:r>
        <w:t>FEDERAL COMMUNICATIONS COMMISSION</w:t>
      </w:r>
    </w:p>
    <w:p w14:paraId="29597EFB" w14:textId="77777777" w:rsidR="00ED4369" w:rsidRDefault="00ED4369" w:rsidP="00ED4369">
      <w:pPr>
        <w:ind w:left="4320"/>
      </w:pPr>
    </w:p>
    <w:p w14:paraId="69692F15" w14:textId="77777777" w:rsidR="00ED4369" w:rsidRDefault="00ED4369" w:rsidP="00ED4369">
      <w:pPr>
        <w:ind w:left="4320"/>
      </w:pPr>
    </w:p>
    <w:p w14:paraId="034038E9" w14:textId="77777777" w:rsidR="00ED4369" w:rsidRDefault="00ED4369" w:rsidP="00ED4369">
      <w:pPr>
        <w:ind w:left="4320"/>
      </w:pPr>
    </w:p>
    <w:p w14:paraId="51D3F4EC" w14:textId="77777777" w:rsidR="00ED4369" w:rsidRDefault="00ED4369" w:rsidP="00ED4369">
      <w:pPr>
        <w:ind w:left="4320"/>
      </w:pPr>
    </w:p>
    <w:p w14:paraId="4B67D701" w14:textId="77777777" w:rsidR="00ED4369" w:rsidRDefault="00ED4369" w:rsidP="00ED4369">
      <w:pPr>
        <w:ind w:left="4320"/>
      </w:pPr>
      <w:r>
        <w:t>Karen Peltz Strauss, Deputy Chief</w:t>
      </w:r>
    </w:p>
    <w:p w14:paraId="69B026F7" w14:textId="77777777" w:rsidR="00ED4369" w:rsidRPr="009C1DAC" w:rsidRDefault="00ED4369" w:rsidP="00ED4369">
      <w:pPr>
        <w:ind w:left="4320"/>
      </w:pPr>
      <w:r>
        <w:t>Consumer and Governmental Affairs Bureau</w:t>
      </w:r>
    </w:p>
    <w:sectPr w:rsidR="00ED4369" w:rsidRPr="009C1DAC" w:rsidSect="0055614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EEA49" w14:textId="77777777" w:rsidR="006A42D4" w:rsidRDefault="006A42D4">
      <w:pPr>
        <w:spacing w:line="20" w:lineRule="exact"/>
      </w:pPr>
    </w:p>
  </w:endnote>
  <w:endnote w:type="continuationSeparator" w:id="0">
    <w:p w14:paraId="20EE70D1" w14:textId="77777777" w:rsidR="006A42D4" w:rsidRDefault="006A42D4">
      <w:r>
        <w:t xml:space="preserve"> </w:t>
      </w:r>
    </w:p>
  </w:endnote>
  <w:endnote w:type="continuationNotice" w:id="1">
    <w:p w14:paraId="7AF3F197" w14:textId="77777777" w:rsidR="006A42D4" w:rsidRDefault="006A42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4CCA" w14:textId="77777777" w:rsidR="00D25FB5" w:rsidRDefault="00330309" w:rsidP="0055614C">
    <w:pPr>
      <w:pStyle w:val="Footer"/>
      <w:framePr w:wrap="around" w:vAnchor="text" w:hAnchor="margin" w:xAlign="center" w:y="1"/>
    </w:pPr>
    <w:r>
      <w:fldChar w:fldCharType="begin"/>
    </w:r>
    <w:r w:rsidR="00D25FB5">
      <w:instrText xml:space="preserve">PAGE  </w:instrText>
    </w:r>
    <w:r>
      <w:fldChar w:fldCharType="end"/>
    </w:r>
  </w:p>
  <w:p w14:paraId="25C2AAD1" w14:textId="77777777"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0B93" w14:textId="77777777" w:rsidR="00D25FB5" w:rsidRDefault="00330309" w:rsidP="0055614C">
    <w:pPr>
      <w:pStyle w:val="Footer"/>
      <w:framePr w:wrap="around" w:vAnchor="text" w:hAnchor="margin" w:xAlign="center" w:y="1"/>
    </w:pPr>
    <w:r>
      <w:fldChar w:fldCharType="begin"/>
    </w:r>
    <w:r w:rsidR="00D25FB5">
      <w:instrText xml:space="preserve">PAGE  </w:instrText>
    </w:r>
    <w:r>
      <w:fldChar w:fldCharType="separate"/>
    </w:r>
    <w:r w:rsidR="006028F2">
      <w:rPr>
        <w:noProof/>
      </w:rPr>
      <w:t>2</w:t>
    </w:r>
    <w:r>
      <w:fldChar w:fldCharType="end"/>
    </w:r>
  </w:p>
  <w:p w14:paraId="5EF1CF4E" w14:textId="77777777"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A11CC" w14:textId="77777777"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23FAE" w14:textId="77777777" w:rsidR="006A42D4" w:rsidRDefault="006A42D4">
      <w:r>
        <w:separator/>
      </w:r>
    </w:p>
  </w:footnote>
  <w:footnote w:type="continuationSeparator" w:id="0">
    <w:p w14:paraId="20C4F528" w14:textId="77777777" w:rsidR="006A42D4" w:rsidRDefault="006A42D4" w:rsidP="00C721AC">
      <w:pPr>
        <w:spacing w:before="120"/>
        <w:rPr>
          <w:sz w:val="20"/>
        </w:rPr>
      </w:pPr>
      <w:r>
        <w:rPr>
          <w:sz w:val="20"/>
        </w:rPr>
        <w:t xml:space="preserve">(Continued from previous page)  </w:t>
      </w:r>
      <w:r>
        <w:rPr>
          <w:sz w:val="20"/>
        </w:rPr>
        <w:separator/>
      </w:r>
    </w:p>
  </w:footnote>
  <w:footnote w:type="continuationNotice" w:id="1">
    <w:p w14:paraId="286CA702" w14:textId="77777777" w:rsidR="006A42D4" w:rsidRDefault="006A42D4" w:rsidP="00C721AC">
      <w:pPr>
        <w:jc w:val="right"/>
        <w:rPr>
          <w:sz w:val="20"/>
        </w:rPr>
      </w:pPr>
      <w:r>
        <w:rPr>
          <w:sz w:val="20"/>
        </w:rPr>
        <w:t>(continued….)</w:t>
      </w:r>
    </w:p>
  </w:footnote>
  <w:footnote w:id="2">
    <w:p w14:paraId="56F01B8A" w14:textId="4994E457" w:rsidR="0062556A" w:rsidRPr="0062556A" w:rsidRDefault="0062556A">
      <w:pPr>
        <w:pStyle w:val="FootnoteText"/>
        <w:rPr>
          <w:i/>
        </w:rPr>
      </w:pPr>
      <w:r>
        <w:rPr>
          <w:rStyle w:val="FootnoteReference"/>
        </w:rPr>
        <w:footnoteRef/>
      </w:r>
      <w:r w:rsidR="00331566">
        <w:t xml:space="preserve">Traditional TRS is text-based relay service that is provided over the public switched telephone network (PSTN) and that makes use of a text telephone (TTY).  </w:t>
      </w:r>
      <w:r w:rsidR="00331566">
        <w:rPr>
          <w:i/>
        </w:rPr>
        <w:t xml:space="preserve">See </w:t>
      </w:r>
      <w:r w:rsidR="00331566">
        <w:rPr>
          <w:i/>
          <w:iCs/>
        </w:rPr>
        <w:t>Telecommunications Relay Services and Speech-to-Speech Services for Individuals with Hearing and Speech Disabilities,</w:t>
      </w:r>
      <w:r w:rsidR="00331566">
        <w:t xml:space="preserve"> Report and Order, Order on Reconsideration, and Further Notice of Proposed Rulemaking, 19 FCC Rcd 12475, 12480, para. 3 n.18 (2004); </w:t>
      </w:r>
      <w:r w:rsidR="00331566" w:rsidRPr="0062556A">
        <w:rPr>
          <w:i/>
        </w:rPr>
        <w:t>Telecommunications Relay Services and Speech-to-Speech Services for Individuals with Hearing and Speech Disabilities, Report and Order and Further Notice of Proposed Rulemaking</w:t>
      </w:r>
      <w:r w:rsidR="00331566">
        <w:t xml:space="preserve">, 15 FCC Rcd 5140, 5142, para. 2 (2000); </w:t>
      </w:r>
      <w:r w:rsidR="00331566" w:rsidRPr="0062556A">
        <w:rPr>
          <w:i/>
        </w:rPr>
        <w:t>see also</w:t>
      </w:r>
      <w:r w:rsidR="00331566">
        <w:t xml:space="preserve"> 47 CFR § 64.604(a)(33) (definition of TTY).</w:t>
      </w:r>
    </w:p>
  </w:footnote>
  <w:footnote w:id="3">
    <w:p w14:paraId="1754A1AE" w14:textId="56124421" w:rsidR="00472E43" w:rsidRDefault="00472E43">
      <w:pPr>
        <w:pStyle w:val="FootnoteText"/>
      </w:pPr>
      <w:r>
        <w:rPr>
          <w:rStyle w:val="FootnoteReference"/>
        </w:rPr>
        <w:footnoteRef/>
      </w:r>
      <w:r>
        <w:t xml:space="preserve"> STS is a</w:t>
      </w:r>
      <w:r w:rsidRPr="00472E43">
        <w:t xml:space="preserve"> </w:t>
      </w:r>
      <w:r>
        <w:t>type of TRS</w:t>
      </w:r>
      <w:r w:rsidR="00331566">
        <w:t xml:space="preserve"> </w:t>
      </w:r>
      <w:r w:rsidR="00F1328B">
        <w:t xml:space="preserve">that is </w:t>
      </w:r>
      <w:r w:rsidR="002B13C0">
        <w:t>provided over the public switched telephone network (PSTN)</w:t>
      </w:r>
      <w:r w:rsidR="00331566">
        <w:t xml:space="preserve">, </w:t>
      </w:r>
      <w:r w:rsidR="00F1328B">
        <w:t xml:space="preserve">and that </w:t>
      </w:r>
      <w:r w:rsidRPr="00472E43">
        <w:t>allows individuals with speech disabilities to communicate with voice telephone users through the use of specially trained CAs who understand the speech patterns of persons with speech disabilities and can repeat the words spoken by that person.</w:t>
      </w:r>
      <w:r>
        <w:t xml:space="preserve">  47 CFR §§ 64.604(a)(30).</w:t>
      </w:r>
    </w:p>
  </w:footnote>
  <w:footnote w:id="4">
    <w:p w14:paraId="4B81C9F2" w14:textId="5F8DF273" w:rsidR="00472E43" w:rsidRPr="00472E43" w:rsidRDefault="00472E43" w:rsidP="00472E43">
      <w:pPr>
        <w:pStyle w:val="FootnoteText"/>
      </w:pPr>
      <w:r>
        <w:rPr>
          <w:rStyle w:val="FootnoteReference"/>
        </w:rPr>
        <w:footnoteRef/>
      </w:r>
      <w:r>
        <w:t xml:space="preserve"> CTS is a type of TRS</w:t>
      </w:r>
      <w:r w:rsidRPr="00472E43">
        <w:t xml:space="preserve"> </w:t>
      </w:r>
      <w:r w:rsidR="002B13C0">
        <w:t xml:space="preserve">that is provided over the PSTN and that is </w:t>
      </w:r>
      <w:r w:rsidR="002073BE">
        <w:t xml:space="preserve">generally </w:t>
      </w:r>
      <w:r w:rsidR="00C82593">
        <w:t xml:space="preserve">used by </w:t>
      </w:r>
      <w:r w:rsidR="002073BE">
        <w:t xml:space="preserve">a </w:t>
      </w:r>
      <w:r w:rsidR="00C82593">
        <w:t>consumer</w:t>
      </w:r>
      <w:r w:rsidR="002073BE">
        <w:t xml:space="preserve"> </w:t>
      </w:r>
      <w:r w:rsidR="00C82593">
        <w:t xml:space="preserve">who </w:t>
      </w:r>
      <w:r w:rsidR="002073BE">
        <w:t>has the ability to speak and some residual hearing</w:t>
      </w:r>
      <w:r w:rsidR="00C82593">
        <w:t xml:space="preserve">.  CTS enables the consumer to speak directly to the other party and, when the other party speaks, to simultaneously both </w:t>
      </w:r>
      <w:r w:rsidR="002073BE">
        <w:t>listen to what</w:t>
      </w:r>
      <w:r w:rsidR="00C82593">
        <w:t xml:space="preserve"> the other party is saying (</w:t>
      </w:r>
      <w:r w:rsidR="002073BE">
        <w:t>to the extent possible</w:t>
      </w:r>
      <w:r w:rsidR="00C82593">
        <w:t xml:space="preserve">) and read </w:t>
      </w:r>
      <w:r w:rsidR="002073BE">
        <w:t xml:space="preserve">captions of </w:t>
      </w:r>
      <w:r w:rsidR="00C82593">
        <w:t>what the other party is saying.</w:t>
      </w:r>
      <w:r w:rsidRPr="00472E43">
        <w:t xml:space="preserve"> </w:t>
      </w:r>
      <w:r w:rsidR="00C82593">
        <w:t xml:space="preserve"> The other party’s speech is transcribed as</w:t>
      </w:r>
      <w:r w:rsidRPr="00472E43">
        <w:t xml:space="preserve"> captions</w:t>
      </w:r>
      <w:r w:rsidR="00C82593">
        <w:t>, which</w:t>
      </w:r>
      <w:r w:rsidRPr="00472E43">
        <w:t xml:space="preserve"> are transmitted directly to the </w:t>
      </w:r>
      <w:r w:rsidR="00C82593">
        <w:t>CTS user</w:t>
      </w:r>
      <w:r w:rsidRPr="00472E43">
        <w:t xml:space="preserve"> and are displayed on </w:t>
      </w:r>
      <w:r w:rsidR="00C82593">
        <w:t>the user’s device</w:t>
      </w:r>
      <w:r w:rsidRPr="00472E43">
        <w:t xml:space="preserve">.  </w:t>
      </w:r>
      <w:r w:rsidR="00C82593" w:rsidRPr="00C82593">
        <w:rPr>
          <w:i/>
        </w:rPr>
        <w:t xml:space="preserve">See </w:t>
      </w:r>
      <w:r w:rsidRPr="00472E43">
        <w:rPr>
          <w:i/>
        </w:rPr>
        <w:t xml:space="preserve">Telecommunications Relay Services and Speech-to-Speech Services for Individuals with Hearing and Speech Disabilities, </w:t>
      </w:r>
      <w:r w:rsidRPr="00472E43">
        <w:t>Declaratory Ruling, 18 FCC Rcd 16121</w:t>
      </w:r>
      <w:r w:rsidR="00C82593">
        <w:t xml:space="preserve">, </w:t>
      </w:r>
      <w:r w:rsidR="002B13C0">
        <w:t xml:space="preserve">16122-23, </w:t>
      </w:r>
      <w:r w:rsidR="00C82593">
        <w:t>16125, para</w:t>
      </w:r>
      <w:r w:rsidR="002B13C0">
        <w:t>s</w:t>
      </w:r>
      <w:r w:rsidR="00C82593">
        <w:t xml:space="preserve">. </w:t>
      </w:r>
      <w:r w:rsidR="002B13C0">
        <w:t xml:space="preserve">3-5, </w:t>
      </w:r>
      <w:r w:rsidR="00C82593">
        <w:t>11</w:t>
      </w:r>
      <w:r w:rsidRPr="00472E43">
        <w:t xml:space="preserve"> (2003). </w:t>
      </w:r>
    </w:p>
    <w:p w14:paraId="65FE51E8" w14:textId="777819B4" w:rsidR="00472E43" w:rsidRDefault="00472E43">
      <w:pPr>
        <w:pStyle w:val="FootnoteText"/>
      </w:pPr>
    </w:p>
  </w:footnote>
  <w:footnote w:id="5">
    <w:p w14:paraId="401BF296" w14:textId="55ADCE81" w:rsidR="00AD12C6" w:rsidRDefault="00AD12C6">
      <w:pPr>
        <w:pStyle w:val="FootnoteText"/>
      </w:pPr>
      <w:r>
        <w:rPr>
          <w:rStyle w:val="FootnoteReference"/>
        </w:rPr>
        <w:footnoteRef/>
      </w:r>
      <w:r>
        <w:t xml:space="preserve"> </w:t>
      </w:r>
      <w:r w:rsidR="002F2121" w:rsidRPr="00915AD2">
        <w:t>47 C.F.R. § 64.604(b)(3</w:t>
      </w:r>
      <w:r w:rsidR="002F2121" w:rsidRPr="00D31953">
        <w:t>)</w:t>
      </w:r>
      <w:r w:rsidR="00A878E6">
        <w:t xml:space="preserve">; </w:t>
      </w:r>
      <w:r w:rsidR="00A878E6" w:rsidRPr="00A878E6">
        <w:rPr>
          <w:i/>
          <w:iCs/>
        </w:rPr>
        <w:t>see also Telecommunications Services for Individuals with Hearing and Speech Disabilities, and the Americans with Disabilities Act</w:t>
      </w:r>
      <w:r w:rsidR="00A878E6" w:rsidRPr="00A878E6">
        <w:t>, Report and Order and Request for Comments, 6 FCC Rcd 4657, 4661-62, para. 22 (1991) (</w:t>
      </w:r>
      <w:r w:rsidR="00A878E6" w:rsidRPr="00A878E6">
        <w:rPr>
          <w:i/>
          <w:iCs/>
        </w:rPr>
        <w:t>First TRS Report and Order</w:t>
      </w:r>
      <w:r w:rsidR="00A878E6" w:rsidRPr="00A878E6">
        <w:t>).</w:t>
      </w:r>
      <w:r w:rsidR="00D31953" w:rsidRPr="00D31953">
        <w:rPr>
          <w:bCs/>
          <w:i/>
          <w:snapToGrid w:val="0"/>
          <w:kern w:val="28"/>
        </w:rPr>
        <w:t xml:space="preserve">  </w:t>
      </w:r>
      <w:r w:rsidR="00D31953" w:rsidRPr="00D31953">
        <w:t xml:space="preserve">  </w:t>
      </w:r>
    </w:p>
  </w:footnote>
  <w:footnote w:id="6">
    <w:p w14:paraId="0B3642AE" w14:textId="77777777" w:rsidR="00AE2186" w:rsidRDefault="00AE2186">
      <w:pPr>
        <w:pStyle w:val="FootnoteText"/>
      </w:pPr>
      <w:r>
        <w:rPr>
          <w:rStyle w:val="FootnoteReference"/>
        </w:rPr>
        <w:footnoteRef/>
      </w:r>
      <w:r>
        <w:t xml:space="preserve"> </w:t>
      </w:r>
      <w:r w:rsidRPr="00AE2186">
        <w:t>47 C.F.R. § 64.604(a)(3)(ii)</w:t>
      </w:r>
      <w:r w:rsidR="00626E90">
        <w:t xml:space="preserve">; </w:t>
      </w:r>
      <w:r w:rsidR="00626E90" w:rsidRPr="00626E90">
        <w:rPr>
          <w:i/>
        </w:rPr>
        <w:t>see also</w:t>
      </w:r>
      <w:r w:rsidRPr="00AE2186">
        <w:t xml:space="preserve"> </w:t>
      </w:r>
      <w:r w:rsidR="00626E90" w:rsidRPr="00626E90">
        <w:rPr>
          <w:i/>
          <w:iCs/>
        </w:rPr>
        <w:t>First TRS Report and Order</w:t>
      </w:r>
      <w:r w:rsidR="00626E90" w:rsidRPr="00626E90">
        <w:t>, 6 FCC Rcd at 4660-61, para</w:t>
      </w:r>
      <w:r w:rsidR="00F637BD">
        <w:t>s</w:t>
      </w:r>
      <w:r w:rsidR="00626E90" w:rsidRPr="00626E90">
        <w:t xml:space="preserve">. </w:t>
      </w:r>
      <w:r w:rsidR="00F637BD">
        <w:t>17-19</w:t>
      </w:r>
      <w:r w:rsidR="00626E90" w:rsidRPr="00626E90">
        <w:t>.</w:t>
      </w:r>
      <w:r w:rsidR="00626E90">
        <w:t xml:space="preserve">  </w:t>
      </w:r>
      <w:r w:rsidR="00F637BD" w:rsidRPr="00F637BD">
        <w:t xml:space="preserve">  </w:t>
      </w:r>
      <w:r w:rsidR="00D31953" w:rsidRPr="00D31953">
        <w:t xml:space="preserve">  </w:t>
      </w:r>
    </w:p>
  </w:footnote>
  <w:footnote w:id="7">
    <w:p w14:paraId="3BA8CD0D" w14:textId="425597E4" w:rsidR="00F637BD" w:rsidRDefault="00F637BD">
      <w:pPr>
        <w:pStyle w:val="FootnoteText"/>
      </w:pPr>
      <w:r>
        <w:rPr>
          <w:rStyle w:val="FootnoteReference"/>
        </w:rPr>
        <w:footnoteRef/>
      </w:r>
      <w:r>
        <w:t xml:space="preserve"> </w:t>
      </w:r>
      <w:r w:rsidR="001003F9" w:rsidRPr="001003F9">
        <w:rPr>
          <w:i/>
        </w:rPr>
        <w:t>See</w:t>
      </w:r>
      <w:r w:rsidR="001003F9">
        <w:t xml:space="preserve"> </w:t>
      </w:r>
      <w:r w:rsidRPr="00F637BD">
        <w:rPr>
          <w:i/>
          <w:iCs/>
        </w:rPr>
        <w:t>First TRS Report and Order</w:t>
      </w:r>
      <w:r w:rsidRPr="00F637BD">
        <w:t>, 6 FCC Rcd at 4660, para. 1</w:t>
      </w:r>
      <w:r>
        <w:t>7</w:t>
      </w:r>
      <w:r w:rsidRPr="00F637BD">
        <w:t xml:space="preserve">.  </w:t>
      </w:r>
    </w:p>
  </w:footnote>
  <w:footnote w:id="8">
    <w:p w14:paraId="55CF3C45" w14:textId="77777777" w:rsidR="008F2B3D" w:rsidRDefault="008F2B3D">
      <w:pPr>
        <w:pStyle w:val="FootnoteText"/>
      </w:pPr>
      <w:r>
        <w:rPr>
          <w:rStyle w:val="FootnoteReference"/>
        </w:rPr>
        <w:footnoteRef/>
      </w:r>
      <w:r>
        <w:t xml:space="preserve"> </w:t>
      </w:r>
      <w:r w:rsidRPr="008F2B3D">
        <w:rPr>
          <w:i/>
        </w:rPr>
        <w:t>See</w:t>
      </w:r>
      <w:r>
        <w:t xml:space="preserve"> </w:t>
      </w:r>
      <w:r w:rsidRPr="008F2B3D">
        <w:rPr>
          <w:bCs/>
          <w:i/>
        </w:rPr>
        <w:t>Telecommunications Relay Services And Speech-to-Speech for Individuals with Hearing and Speech Disabilities; Waivers of ITRS Mandatory Minimum Standards</w:t>
      </w:r>
      <w:r w:rsidRPr="008F2B3D">
        <w:rPr>
          <w:bCs/>
        </w:rPr>
        <w:t>, Report and Order, Order, Declaratory Ruling, and Further Notice of Proposed Rulemaking, 29 FCC Rcd 10697</w:t>
      </w:r>
      <w:r>
        <w:rPr>
          <w:bCs/>
        </w:rPr>
        <w:t>, 10703-04, 10705, paras. 11, 15</w:t>
      </w:r>
      <w:r w:rsidRPr="008F2B3D">
        <w:rPr>
          <w:bCs/>
        </w:rPr>
        <w:t xml:space="preserve"> (2014) (</w:t>
      </w:r>
      <w:r w:rsidRPr="008F2B3D">
        <w:rPr>
          <w:bCs/>
          <w:i/>
        </w:rPr>
        <w:t>iTRS Exemptions Order</w:t>
      </w:r>
      <w:r w:rsidRPr="008F2B3D">
        <w:rPr>
          <w:bCs/>
        </w:rPr>
        <w:t>).</w:t>
      </w:r>
    </w:p>
  </w:footnote>
  <w:footnote w:id="9">
    <w:p w14:paraId="0A480706" w14:textId="77777777" w:rsidR="00F637BD" w:rsidRDefault="00F637BD">
      <w:pPr>
        <w:pStyle w:val="FootnoteText"/>
      </w:pPr>
      <w:r>
        <w:rPr>
          <w:rStyle w:val="FootnoteReference"/>
        </w:rPr>
        <w:footnoteRef/>
      </w:r>
      <w:r>
        <w:t xml:space="preserve"> </w:t>
      </w:r>
      <w:r w:rsidR="00934AD8" w:rsidRPr="00934AD8">
        <w:rPr>
          <w:bCs/>
          <w:i/>
        </w:rPr>
        <w:t>iTRS Exemptions Order</w:t>
      </w:r>
      <w:r w:rsidR="00934AD8">
        <w:rPr>
          <w:bCs/>
        </w:rPr>
        <w:t xml:space="preserve">, </w:t>
      </w:r>
      <w:r w:rsidR="00934AD8" w:rsidRPr="00934AD8">
        <w:rPr>
          <w:bCs/>
        </w:rPr>
        <w:t xml:space="preserve">29 FCC Rcd 10697, </w:t>
      </w:r>
      <w:r w:rsidR="00215E15" w:rsidRPr="00215E15">
        <w:rPr>
          <w:bCs/>
        </w:rPr>
        <w:t>10705-06, paras. 15-16</w:t>
      </w:r>
      <w:r w:rsidR="00934AD8">
        <w:rPr>
          <w:bCs/>
        </w:rPr>
        <w:t xml:space="preserve">; </w:t>
      </w:r>
      <w:r w:rsidR="00934AD8" w:rsidRPr="00AE2186">
        <w:t>47 C.F.R. § 64.604(</w:t>
      </w:r>
      <w:r w:rsidR="00215E15">
        <w:t>b</w:t>
      </w:r>
      <w:r w:rsidR="00934AD8" w:rsidRPr="00AE2186">
        <w:t>)(3)</w:t>
      </w:r>
      <w:r w:rsidR="00934AD8">
        <w:rPr>
          <w:bCs/>
        </w:rPr>
        <w:t>.</w:t>
      </w:r>
    </w:p>
  </w:footnote>
  <w:footnote w:id="10">
    <w:p w14:paraId="0842307F" w14:textId="77777777" w:rsidR="00F637BD" w:rsidRPr="00934AD8" w:rsidRDefault="00F637BD">
      <w:pPr>
        <w:pStyle w:val="FootnoteText"/>
      </w:pPr>
      <w:r>
        <w:rPr>
          <w:rStyle w:val="FootnoteReference"/>
        </w:rPr>
        <w:footnoteRef/>
      </w:r>
      <w:r>
        <w:t xml:space="preserve"> </w:t>
      </w:r>
      <w:r w:rsidR="00215E15" w:rsidRPr="00934AD8">
        <w:rPr>
          <w:bCs/>
        </w:rPr>
        <w:t>47 C.F.R. § 64.604(a)(3)(ii)</w:t>
      </w:r>
      <w:r w:rsidR="00215E15">
        <w:rPr>
          <w:bCs/>
        </w:rPr>
        <w:t xml:space="preserve">; </w:t>
      </w:r>
      <w:r w:rsidR="00934AD8" w:rsidRPr="00934AD8">
        <w:rPr>
          <w:bCs/>
          <w:i/>
        </w:rPr>
        <w:t>iTRS Exemptions Order</w:t>
      </w:r>
      <w:r w:rsidR="00934AD8">
        <w:rPr>
          <w:bCs/>
        </w:rPr>
        <w:t xml:space="preserve">, </w:t>
      </w:r>
      <w:r w:rsidR="00934AD8" w:rsidRPr="00934AD8">
        <w:rPr>
          <w:bCs/>
        </w:rPr>
        <w:t xml:space="preserve">29 FCC Rcd 10697, </w:t>
      </w:r>
      <w:r w:rsidR="00215E15" w:rsidRPr="00215E15">
        <w:rPr>
          <w:bCs/>
        </w:rPr>
        <w:t>10703-05, paras. 11-14</w:t>
      </w:r>
      <w:r w:rsidR="00934AD8">
        <w:rPr>
          <w:bCs/>
        </w:rPr>
        <w:t>.</w:t>
      </w:r>
      <w:r w:rsidR="00215E15">
        <w:rPr>
          <w:bCs/>
        </w:rPr>
        <w:t xml:space="preserve">  </w:t>
      </w:r>
      <w:r w:rsidR="00215E15" w:rsidRPr="00215E15">
        <w:rPr>
          <w:bCs/>
        </w:rPr>
        <w:t>The amended rule provides further that Internet-based TRS providers “need not allow for long distance calls to be placed using calling cards or credit cards if they do not assess charges for long distance calling.”  47 C.F.R. § 64.604(a)(3)(ii).</w:t>
      </w:r>
    </w:p>
  </w:footnote>
  <w:footnote w:id="11">
    <w:p w14:paraId="6E4B3E44" w14:textId="77777777" w:rsidR="00A878E6" w:rsidRDefault="00A878E6" w:rsidP="00A878E6">
      <w:pPr>
        <w:pStyle w:val="FootnoteText"/>
      </w:pPr>
      <w:r>
        <w:rPr>
          <w:rStyle w:val="FootnoteReference"/>
        </w:rPr>
        <w:footnoteRef/>
      </w:r>
      <w:r>
        <w:t xml:space="preserve"> </w:t>
      </w:r>
      <w:r w:rsidR="003B5295" w:rsidRPr="00BC5988">
        <w:t>Hamilton, Relay, Inc. and Sprint Corporation Joint Petition for Rulemaking to Reform the Commission’s Mandatory Minimum Requirements for Tra</w:t>
      </w:r>
      <w:r w:rsidR="003B5295">
        <w:t xml:space="preserve">ditional TRS and CTS Providers </w:t>
      </w:r>
      <w:r w:rsidR="003B5295" w:rsidRPr="00BC5988">
        <w:t>(filed Sept. 23, 2015) (</w:t>
      </w:r>
      <w:r w:rsidR="003B5295">
        <w:t xml:space="preserve">Joint </w:t>
      </w:r>
      <w:r w:rsidR="003B5295" w:rsidRPr="00BC5988">
        <w:t>Petition</w:t>
      </w:r>
      <w:r w:rsidR="003B5295">
        <w:t xml:space="preserve"> for Rulemaking</w:t>
      </w:r>
      <w:r w:rsidR="003B5295" w:rsidRPr="00BC5988">
        <w:t>).</w:t>
      </w:r>
      <w:r>
        <w:rPr>
          <w:bCs/>
          <w:i/>
        </w:rPr>
        <w:t xml:space="preserve">  </w:t>
      </w:r>
    </w:p>
  </w:footnote>
  <w:footnote w:id="12">
    <w:p w14:paraId="57A0B781" w14:textId="77777777" w:rsidR="003B5295" w:rsidRDefault="003B5295">
      <w:pPr>
        <w:pStyle w:val="FootnoteText"/>
      </w:pPr>
      <w:r>
        <w:rPr>
          <w:rStyle w:val="FootnoteReference"/>
        </w:rPr>
        <w:footnoteRef/>
      </w:r>
      <w:r>
        <w:t xml:space="preserve"> </w:t>
      </w:r>
      <w:r w:rsidRPr="00654E30">
        <w:t>Petition for Interim Waiver of Sprint Corporation (</w:t>
      </w:r>
      <w:r>
        <w:t xml:space="preserve">filed </w:t>
      </w:r>
      <w:r w:rsidRPr="00654E30">
        <w:t xml:space="preserve">Sept. 23, 2015) (Sprint </w:t>
      </w:r>
      <w:r>
        <w:t>Petition</w:t>
      </w:r>
      <w:r w:rsidRPr="00654E30">
        <w:t>)</w:t>
      </w:r>
      <w:r>
        <w:t>.</w:t>
      </w:r>
    </w:p>
  </w:footnote>
  <w:footnote w:id="13">
    <w:p w14:paraId="4BACB2FE" w14:textId="77777777" w:rsidR="00750252" w:rsidRDefault="00750252">
      <w:pPr>
        <w:pStyle w:val="FootnoteText"/>
      </w:pPr>
      <w:r>
        <w:rPr>
          <w:rStyle w:val="FootnoteReference"/>
        </w:rPr>
        <w:footnoteRef/>
      </w:r>
      <w:r>
        <w:t xml:space="preserve"> </w:t>
      </w:r>
      <w:r w:rsidR="00385738" w:rsidRPr="004163B0">
        <w:t>Petition for Interim</w:t>
      </w:r>
      <w:r w:rsidR="002D30C6">
        <w:t xml:space="preserve"> Waiver of Hamilton Relay, Inc.</w:t>
      </w:r>
      <w:r w:rsidR="00385738" w:rsidRPr="004163B0">
        <w:t xml:space="preserve"> (</w:t>
      </w:r>
      <w:r w:rsidR="002D30C6">
        <w:t xml:space="preserve">filed </w:t>
      </w:r>
      <w:r w:rsidR="00385738" w:rsidRPr="004163B0">
        <w:t>Mar. 14, 2016)</w:t>
      </w:r>
      <w:r w:rsidR="00385738">
        <w:t xml:space="preserve"> (Hamilton </w:t>
      </w:r>
      <w:r w:rsidR="005C6831">
        <w:t>Petition</w:t>
      </w:r>
      <w:r w:rsidR="00385738">
        <w:t>)</w:t>
      </w:r>
      <w:r w:rsidR="00385738" w:rsidRPr="004163B0">
        <w:t>.</w:t>
      </w:r>
    </w:p>
  </w:footnote>
  <w:footnote w:id="14">
    <w:p w14:paraId="4D74D866" w14:textId="73304531" w:rsidR="001A691C" w:rsidRDefault="001A691C">
      <w:pPr>
        <w:pStyle w:val="FootnoteText"/>
      </w:pPr>
      <w:r>
        <w:rPr>
          <w:rStyle w:val="FootnoteReference"/>
        </w:rPr>
        <w:footnoteRef/>
      </w:r>
      <w:r>
        <w:t xml:space="preserve"> Hamilton, Supplement to Petition for Interim Waiver (filed Aug. 17, 2016) (Hamilton Supplement).</w:t>
      </w:r>
    </w:p>
  </w:footnote>
  <w:footnote w:id="15">
    <w:p w14:paraId="3B5BA007" w14:textId="77777777" w:rsidR="00F168ED" w:rsidRDefault="00F168ED">
      <w:pPr>
        <w:pStyle w:val="FootnoteText"/>
      </w:pPr>
      <w:r>
        <w:rPr>
          <w:rStyle w:val="FootnoteReference"/>
        </w:rPr>
        <w:footnoteRef/>
      </w:r>
      <w:r>
        <w:t xml:space="preserve"> </w:t>
      </w:r>
      <w:r w:rsidRPr="00F168ED">
        <w:t xml:space="preserve">Sprint </w:t>
      </w:r>
      <w:r w:rsidR="005C6831">
        <w:t>Petition</w:t>
      </w:r>
      <w:r w:rsidRPr="00F168ED">
        <w:t xml:space="preserve"> at 2; Hamilton </w:t>
      </w:r>
      <w:r w:rsidR="005C6831">
        <w:t>Petition</w:t>
      </w:r>
      <w:r w:rsidRPr="00F168ED">
        <w:t xml:space="preserve"> at 2.</w:t>
      </w:r>
    </w:p>
  </w:footnote>
  <w:footnote w:id="16">
    <w:p w14:paraId="37B9BD9B" w14:textId="071AD0B5" w:rsidR="008D46EF" w:rsidRDefault="008D46EF">
      <w:pPr>
        <w:pStyle w:val="FootnoteText"/>
      </w:pPr>
      <w:r>
        <w:rPr>
          <w:rStyle w:val="FootnoteReference"/>
        </w:rPr>
        <w:footnoteRef/>
      </w:r>
      <w:r>
        <w:t xml:space="preserve"> </w:t>
      </w:r>
      <w:r w:rsidRPr="008D46EF">
        <w:t>Sprint notes that it intends to discontinue its provision of wireline consumer long-distance services.</w:t>
      </w:r>
    </w:p>
  </w:footnote>
  <w:footnote w:id="17">
    <w:p w14:paraId="4516F9A5" w14:textId="28EFAA52" w:rsidR="002A555C" w:rsidRDefault="002A555C">
      <w:pPr>
        <w:pStyle w:val="FootnoteText"/>
      </w:pPr>
      <w:r>
        <w:rPr>
          <w:rStyle w:val="FootnoteReference"/>
        </w:rPr>
        <w:footnoteRef/>
      </w:r>
      <w:r>
        <w:t xml:space="preserve"> </w:t>
      </w:r>
      <w:r w:rsidRPr="002A555C">
        <w:t>Sprint Petition at 4 n.9 (</w:t>
      </w:r>
      <w:r w:rsidRPr="002A555C">
        <w:rPr>
          <w:i/>
        </w:rPr>
        <w:t>citing</w:t>
      </w:r>
      <w:r w:rsidRPr="002A555C">
        <w:t xml:space="preserve"> </w:t>
      </w:r>
      <w:r w:rsidRPr="002A555C">
        <w:rPr>
          <w:i/>
          <w:iCs/>
        </w:rPr>
        <w:t>Telecommunications Relay Services and Speech-to-Speech Services for Individuals with Hearing and Speech Disabilities</w:t>
      </w:r>
      <w:r w:rsidRPr="002A555C">
        <w:t>, Order, 20 FCC Rcd 12503 (CGB 2005) (</w:t>
      </w:r>
      <w:r w:rsidRPr="002A555C">
        <w:rPr>
          <w:i/>
        </w:rPr>
        <w:t>Long Distance Incentives Ruling</w:t>
      </w:r>
      <w:r w:rsidRPr="002A555C">
        <w:t xml:space="preserve">).  </w:t>
      </w:r>
    </w:p>
  </w:footnote>
  <w:footnote w:id="18">
    <w:p w14:paraId="1D740543" w14:textId="77777777" w:rsidR="00B53CB5" w:rsidRDefault="00B53CB5">
      <w:pPr>
        <w:pStyle w:val="FootnoteText"/>
      </w:pPr>
      <w:r>
        <w:rPr>
          <w:rStyle w:val="FootnoteReference"/>
        </w:rPr>
        <w:footnoteRef/>
      </w:r>
      <w:r>
        <w:t xml:space="preserve"> Sprint </w:t>
      </w:r>
      <w:r w:rsidR="005C6831">
        <w:t>Petition</w:t>
      </w:r>
      <w:r>
        <w:t xml:space="preserve"> at 2</w:t>
      </w:r>
      <w:r w:rsidR="00725ADA">
        <w:t xml:space="preserve">; Hamilton </w:t>
      </w:r>
      <w:r w:rsidR="005C6831">
        <w:t>Petition</w:t>
      </w:r>
      <w:r w:rsidR="00725ADA">
        <w:t xml:space="preserve"> at 2</w:t>
      </w:r>
      <w:r>
        <w:t>.</w:t>
      </w:r>
    </w:p>
  </w:footnote>
  <w:footnote w:id="19">
    <w:p w14:paraId="06FA9869" w14:textId="77777777" w:rsidR="00B53CB5" w:rsidRDefault="00B53CB5">
      <w:pPr>
        <w:pStyle w:val="FootnoteText"/>
      </w:pPr>
      <w:r>
        <w:rPr>
          <w:rStyle w:val="FootnoteReference"/>
        </w:rPr>
        <w:footnoteRef/>
      </w:r>
      <w:r>
        <w:t xml:space="preserve"> </w:t>
      </w:r>
      <w:r w:rsidRPr="00B53CB5">
        <w:t xml:space="preserve">Sprint </w:t>
      </w:r>
      <w:r w:rsidR="005C6831">
        <w:t>Petition</w:t>
      </w:r>
      <w:r w:rsidRPr="00B53CB5">
        <w:t xml:space="preserve"> at 2</w:t>
      </w:r>
      <w:r w:rsidR="00A45041">
        <w:t xml:space="preserve">; </w:t>
      </w:r>
      <w:r w:rsidR="00A45041" w:rsidRPr="00A45041">
        <w:rPr>
          <w:i/>
        </w:rPr>
        <w:t>see also</w:t>
      </w:r>
      <w:r w:rsidR="00A45041">
        <w:t xml:space="preserve"> Hamilton Petition at 2</w:t>
      </w:r>
      <w:r w:rsidRPr="00B53CB5">
        <w:t>.</w:t>
      </w:r>
    </w:p>
  </w:footnote>
  <w:footnote w:id="20">
    <w:p w14:paraId="56B5A90B" w14:textId="77777777" w:rsidR="00A45041" w:rsidRDefault="00A45041">
      <w:pPr>
        <w:pStyle w:val="FootnoteText"/>
      </w:pPr>
      <w:r>
        <w:rPr>
          <w:rStyle w:val="FootnoteReference"/>
        </w:rPr>
        <w:footnoteRef/>
      </w:r>
      <w:r>
        <w:t xml:space="preserve"> </w:t>
      </w:r>
      <w:r w:rsidRPr="00A45041">
        <w:t>Sprint Petition at 2.</w:t>
      </w:r>
    </w:p>
  </w:footnote>
  <w:footnote w:id="21">
    <w:p w14:paraId="1222EDFB" w14:textId="77777777" w:rsidR="00CC3CDB" w:rsidRDefault="00CC3CDB" w:rsidP="00CC3CDB">
      <w:pPr>
        <w:pStyle w:val="FootnoteText"/>
      </w:pPr>
      <w:r>
        <w:rPr>
          <w:rStyle w:val="FootnoteReference"/>
        </w:rPr>
        <w:footnoteRef/>
      </w:r>
      <w:r>
        <w:t xml:space="preserve"> Hamilton Petition at 2.</w:t>
      </w:r>
    </w:p>
  </w:footnote>
  <w:footnote w:id="22">
    <w:p w14:paraId="611067A2" w14:textId="77777777" w:rsidR="004E7DD0" w:rsidRDefault="004E7DD0">
      <w:pPr>
        <w:pStyle w:val="FootnoteText"/>
      </w:pPr>
      <w:r>
        <w:rPr>
          <w:rStyle w:val="FootnoteReference"/>
        </w:rPr>
        <w:footnoteRef/>
      </w:r>
      <w:r>
        <w:t xml:space="preserve"> </w:t>
      </w:r>
      <w:r w:rsidRPr="004E7DD0">
        <w:t xml:space="preserve">Sprint Petition at </w:t>
      </w:r>
      <w:r>
        <w:t>7-8</w:t>
      </w:r>
      <w:r w:rsidRPr="004E7DD0">
        <w:t>.</w:t>
      </w:r>
    </w:p>
  </w:footnote>
  <w:footnote w:id="23">
    <w:p w14:paraId="4D64AD8F" w14:textId="1C259360" w:rsidR="00BA7548" w:rsidRDefault="00BA7548" w:rsidP="00BA7548">
      <w:pPr>
        <w:pStyle w:val="FootnoteText"/>
      </w:pPr>
      <w:r>
        <w:rPr>
          <w:rStyle w:val="FootnoteReference"/>
        </w:rPr>
        <w:footnoteRef/>
      </w:r>
      <w:r>
        <w:t xml:space="preserve"> </w:t>
      </w:r>
      <w:r w:rsidR="00B71C83" w:rsidRPr="00B71C83">
        <w:rPr>
          <w:i/>
        </w:rPr>
        <w:t>Id</w:t>
      </w:r>
      <w:r w:rsidR="00B71C83">
        <w:t>.</w:t>
      </w:r>
      <w:r w:rsidRPr="002D30C6">
        <w:t xml:space="preserve"> at </w:t>
      </w:r>
      <w:r>
        <w:t>3.</w:t>
      </w:r>
    </w:p>
  </w:footnote>
  <w:footnote w:id="24">
    <w:p w14:paraId="2A631C85" w14:textId="774C6FC2" w:rsidR="00E36E84" w:rsidRDefault="00E36E84" w:rsidP="003A1370">
      <w:pPr>
        <w:pStyle w:val="FootnoteText"/>
      </w:pPr>
      <w:r>
        <w:rPr>
          <w:rStyle w:val="FootnoteReference"/>
        </w:rPr>
        <w:footnoteRef/>
      </w:r>
      <w:r>
        <w:t xml:space="preserve"> </w:t>
      </w:r>
      <w:r w:rsidR="00CC3CDB" w:rsidRPr="00CC3CDB">
        <w:t xml:space="preserve">Sprint Petition at </w:t>
      </w:r>
      <w:r w:rsidR="00CC3CDB">
        <w:t>2, 3-4</w:t>
      </w:r>
      <w:r w:rsidR="00CC3CDB" w:rsidRPr="00CC3CDB">
        <w:t>.</w:t>
      </w:r>
      <w:r w:rsidR="00CC3CDB">
        <w:t xml:space="preserve">  </w:t>
      </w:r>
      <w:r w:rsidR="004E7DD0" w:rsidRPr="004E7DD0">
        <w:t>According to its petition, Hamilton does not currently charge TRS users for long distance calls. Hamilton notes, however, that users may be charged for such calls where the user requests connection to a carrier that does charge for such calls.  Hamilton Petition at</w:t>
      </w:r>
      <w:r w:rsidR="004E7DD0">
        <w:t xml:space="preserve"> 3 n.7.</w:t>
      </w:r>
    </w:p>
  </w:footnote>
  <w:footnote w:id="25">
    <w:p w14:paraId="3749DE6D" w14:textId="77777777" w:rsidR="003160A2" w:rsidRDefault="003160A2">
      <w:pPr>
        <w:pStyle w:val="FootnoteText"/>
      </w:pPr>
      <w:r>
        <w:rPr>
          <w:rStyle w:val="FootnoteReference"/>
        </w:rPr>
        <w:footnoteRef/>
      </w:r>
      <w:r>
        <w:t xml:space="preserve"> Sprint Petition at 4-5.</w:t>
      </w:r>
      <w:r w:rsidR="004E5EA7" w:rsidRPr="004E5EA7">
        <w:t xml:space="preserve">  </w:t>
      </w:r>
    </w:p>
  </w:footnote>
  <w:footnote w:id="26">
    <w:p w14:paraId="27E6D9B6" w14:textId="700AF531" w:rsidR="00C647A0" w:rsidRDefault="00C647A0" w:rsidP="00C647A0">
      <w:pPr>
        <w:pStyle w:val="FootnoteText"/>
      </w:pPr>
      <w:r>
        <w:rPr>
          <w:rStyle w:val="FootnoteReference"/>
        </w:rPr>
        <w:footnoteRef/>
      </w:r>
      <w:r>
        <w:t xml:space="preserve"> </w:t>
      </w:r>
      <w:r w:rsidR="008D4E61" w:rsidRPr="008D4E61">
        <w:rPr>
          <w:i/>
        </w:rPr>
        <w:t>Id</w:t>
      </w:r>
      <w:r w:rsidR="008D4E61">
        <w:t>.</w:t>
      </w:r>
      <w:r>
        <w:t xml:space="preserve"> at 6.</w:t>
      </w:r>
      <w:r w:rsidR="006054FC">
        <w:t xml:space="preserve">  </w:t>
      </w:r>
    </w:p>
  </w:footnote>
  <w:footnote w:id="27">
    <w:p w14:paraId="5E3AD3FC" w14:textId="4D0E3A60" w:rsidR="00F47EE3" w:rsidRDefault="00F47EE3">
      <w:pPr>
        <w:pStyle w:val="FootnoteText"/>
      </w:pPr>
      <w:r>
        <w:rPr>
          <w:rStyle w:val="FootnoteReference"/>
        </w:rPr>
        <w:footnoteRef/>
      </w:r>
      <w:r>
        <w:t xml:space="preserve"> </w:t>
      </w:r>
      <w:r w:rsidR="008D4E61" w:rsidRPr="008D4E61">
        <w:rPr>
          <w:i/>
        </w:rPr>
        <w:t>Id</w:t>
      </w:r>
      <w:r w:rsidR="008D4E61">
        <w:t>.</w:t>
      </w:r>
      <w:r w:rsidR="00B53CB5">
        <w:t xml:space="preserve"> </w:t>
      </w:r>
      <w:r w:rsidR="005C6831">
        <w:t>Petition</w:t>
      </w:r>
      <w:r w:rsidR="00B53CB5">
        <w:t xml:space="preserve"> at 6, </w:t>
      </w:r>
      <w:r w:rsidR="00B53CB5" w:rsidRPr="000862E2">
        <w:rPr>
          <w:i/>
        </w:rPr>
        <w:t>citing</w:t>
      </w:r>
      <w:r w:rsidR="00B53CB5">
        <w:t xml:space="preserve"> </w:t>
      </w:r>
      <w:r>
        <w:t xml:space="preserve">47 U.S.C. </w:t>
      </w:r>
      <w:r w:rsidRPr="00F47EE3">
        <w:t>§</w:t>
      </w:r>
      <w:r>
        <w:t xml:space="preserve"> 225(d)(2).</w:t>
      </w:r>
    </w:p>
  </w:footnote>
  <w:footnote w:id="28">
    <w:p w14:paraId="11E36595" w14:textId="77FEED8E" w:rsidR="00805335" w:rsidRDefault="00805335">
      <w:pPr>
        <w:pStyle w:val="FootnoteText"/>
      </w:pPr>
      <w:r>
        <w:rPr>
          <w:rStyle w:val="FootnoteReference"/>
        </w:rPr>
        <w:footnoteRef/>
      </w:r>
      <w:r>
        <w:t xml:space="preserve"> </w:t>
      </w:r>
      <w:r w:rsidR="008D4E61" w:rsidRPr="008D4E61">
        <w:rPr>
          <w:i/>
        </w:rPr>
        <w:t>Id</w:t>
      </w:r>
      <w:r>
        <w:t>.</w:t>
      </w:r>
    </w:p>
  </w:footnote>
  <w:footnote w:id="29">
    <w:p w14:paraId="11038A0D" w14:textId="0CDCA114" w:rsidR="00164599" w:rsidRDefault="00164599">
      <w:pPr>
        <w:pStyle w:val="FootnoteText"/>
      </w:pPr>
      <w:r>
        <w:rPr>
          <w:rStyle w:val="FootnoteReference"/>
        </w:rPr>
        <w:footnoteRef/>
      </w:r>
      <w:r>
        <w:t xml:space="preserve"> Hamilton Supplement at 2.</w:t>
      </w:r>
    </w:p>
  </w:footnote>
  <w:footnote w:id="30">
    <w:p w14:paraId="5BBCC258" w14:textId="77777777" w:rsidR="006619B2" w:rsidRDefault="006619B2" w:rsidP="006619B2">
      <w:pPr>
        <w:pStyle w:val="FootnoteText"/>
      </w:pPr>
      <w:r>
        <w:rPr>
          <w:rStyle w:val="FootnoteReference"/>
        </w:rPr>
        <w:footnoteRef/>
      </w:r>
      <w:r>
        <w:t xml:space="preserve"> 47 C.F.R. § 1.3.</w:t>
      </w:r>
    </w:p>
  </w:footnote>
  <w:footnote w:id="31">
    <w:p w14:paraId="7378932A" w14:textId="77777777" w:rsidR="00D011DA" w:rsidRDefault="00D011DA">
      <w:pPr>
        <w:pStyle w:val="FootnoteText"/>
      </w:pPr>
      <w:r>
        <w:rPr>
          <w:rStyle w:val="FootnoteReference"/>
        </w:rPr>
        <w:footnoteRef/>
      </w:r>
      <w:r>
        <w:t xml:space="preserve"> </w:t>
      </w:r>
      <w:r w:rsidRPr="00D011DA">
        <w:rPr>
          <w:i/>
        </w:rPr>
        <w:t>Northeast Cellular Telephone Co. v. FCC</w:t>
      </w:r>
      <w:r w:rsidRPr="00D011DA">
        <w:t>, 897 F.2d 1164, 1166 (D.C. Cir. 1990).</w:t>
      </w:r>
    </w:p>
  </w:footnote>
  <w:footnote w:id="32">
    <w:p w14:paraId="73B2B35B" w14:textId="77777777" w:rsidR="00D011DA" w:rsidRPr="000F1C19" w:rsidRDefault="00D011DA" w:rsidP="00D011DA">
      <w:pPr>
        <w:pStyle w:val="FootnoteText"/>
      </w:pPr>
      <w:r w:rsidRPr="000F1C19">
        <w:rPr>
          <w:rStyle w:val="FootnoteReference"/>
        </w:rPr>
        <w:footnoteRef/>
      </w:r>
      <w:r w:rsidRPr="000F1C19">
        <w:rPr>
          <w:i/>
        </w:rPr>
        <w:t xml:space="preserve"> </w:t>
      </w:r>
      <w:r>
        <w:rPr>
          <w:i/>
        </w:rPr>
        <w:t>WAIT Radio v. FCC</w:t>
      </w:r>
      <w:r>
        <w:t xml:space="preserve">, 418 F.2d 1153, 1159 (D.C. Cir. 1969), </w:t>
      </w:r>
      <w:r>
        <w:rPr>
          <w:i/>
        </w:rPr>
        <w:t>cert. denied</w:t>
      </w:r>
      <w:r>
        <w:t xml:space="preserve">, 409 </w:t>
      </w:r>
      <w:smartTag w:uri="urn:schemas-microsoft-com:office:smarttags" w:element="place">
        <w:smartTag w:uri="urn:schemas-microsoft-com:office:smarttags" w:element="country-region">
          <w:r>
            <w:t>U.S.</w:t>
          </w:r>
        </w:smartTag>
      </w:smartTag>
      <w:r>
        <w:t xml:space="preserve"> 1027 (1972); </w:t>
      </w:r>
      <w:r>
        <w:rPr>
          <w:i/>
        </w:rPr>
        <w:t>Northeast Cellular</w:t>
      </w:r>
      <w:r>
        <w:t>, 897 F.2d at 1166.</w:t>
      </w:r>
    </w:p>
  </w:footnote>
  <w:footnote w:id="33">
    <w:p w14:paraId="2997A910" w14:textId="77777777" w:rsidR="006619B2" w:rsidRDefault="006619B2" w:rsidP="006619B2">
      <w:pPr>
        <w:pStyle w:val="FootnoteText"/>
      </w:pPr>
      <w:r>
        <w:rPr>
          <w:rStyle w:val="FootnoteReference"/>
        </w:rPr>
        <w:footnoteRef/>
      </w:r>
      <w:r>
        <w:t xml:space="preserve"> </w:t>
      </w:r>
      <w:r>
        <w:rPr>
          <w:i/>
        </w:rPr>
        <w:t>Northeast Cellular</w:t>
      </w:r>
      <w:r>
        <w:t xml:space="preserve">, 897 F.2d </w:t>
      </w:r>
      <w:r w:rsidR="002A6CBD">
        <w:t xml:space="preserve">at </w:t>
      </w:r>
      <w:r>
        <w:t xml:space="preserve">1166. </w:t>
      </w:r>
    </w:p>
  </w:footnote>
  <w:footnote w:id="34">
    <w:p w14:paraId="3A3DA028" w14:textId="77777777" w:rsidR="004845F4" w:rsidRDefault="004845F4">
      <w:pPr>
        <w:pStyle w:val="FootnoteText"/>
      </w:pPr>
      <w:r>
        <w:rPr>
          <w:rStyle w:val="FootnoteReference"/>
        </w:rPr>
        <w:footnoteRef/>
      </w:r>
      <w:r>
        <w:t xml:space="preserve"> </w:t>
      </w:r>
      <w:r w:rsidRPr="00720AB0">
        <w:rPr>
          <w:i/>
        </w:rPr>
        <w:t>See</w:t>
      </w:r>
      <w:r w:rsidRPr="00720AB0">
        <w:t xml:space="preserve"> </w:t>
      </w:r>
      <w:r w:rsidR="008765EA" w:rsidRPr="008765EA">
        <w:rPr>
          <w:i/>
          <w:iCs/>
        </w:rPr>
        <w:t>First TRS Report and Order</w:t>
      </w:r>
      <w:r w:rsidR="00FF3B74" w:rsidRPr="00FF3B74">
        <w:t>, 6 FCC Rcd at 46</w:t>
      </w:r>
      <w:r w:rsidR="00FF3B74">
        <w:t>61</w:t>
      </w:r>
      <w:r w:rsidR="00FF3B74" w:rsidRPr="00FF3B74">
        <w:t>-6</w:t>
      </w:r>
      <w:r w:rsidR="00FF3B74">
        <w:t>2</w:t>
      </w:r>
      <w:r w:rsidR="00FF3B74" w:rsidRPr="00FF3B74">
        <w:t xml:space="preserve">, para. </w:t>
      </w:r>
      <w:r w:rsidR="00FF3B74">
        <w:t xml:space="preserve">22; </w:t>
      </w:r>
      <w:r w:rsidR="00720AB0" w:rsidRPr="00720AB0">
        <w:rPr>
          <w:snapToGrid w:val="0"/>
          <w:kern w:val="28"/>
        </w:rPr>
        <w:t>47 U.S.C. § 225(a)(3) (defining TRS as “telephone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w:t>
      </w:r>
      <w:r w:rsidR="00720AB0" w:rsidRPr="00720AB0">
        <w:rPr>
          <w:snapToGrid w:val="0"/>
          <w:kern w:val="28"/>
          <w:sz w:val="22"/>
        </w:rPr>
        <w:t xml:space="preserve">  </w:t>
      </w:r>
    </w:p>
  </w:footnote>
  <w:footnote w:id="35">
    <w:p w14:paraId="6935F419" w14:textId="77777777" w:rsidR="00FF6746" w:rsidRDefault="00FF6746" w:rsidP="00FF6746">
      <w:pPr>
        <w:pStyle w:val="FootnoteText"/>
      </w:pPr>
      <w:r>
        <w:rPr>
          <w:rStyle w:val="FootnoteReference"/>
        </w:rPr>
        <w:footnoteRef/>
      </w:r>
      <w:r>
        <w:t xml:space="preserve"> </w:t>
      </w:r>
      <w:r w:rsidRPr="00FF6746">
        <w:rPr>
          <w:i/>
          <w:iCs/>
        </w:rPr>
        <w:t>Petition of USTelecom for Forbearance Under</w:t>
      </w:r>
      <w:r>
        <w:rPr>
          <w:i/>
          <w:iCs/>
        </w:rPr>
        <w:t xml:space="preserve"> </w:t>
      </w:r>
      <w:r w:rsidRPr="00FF6746">
        <w:rPr>
          <w:i/>
          <w:iCs/>
        </w:rPr>
        <w:t>47 U.S.C. § 160(c) from Enforcement of Certain Legacy Telecommunications Regulations</w:t>
      </w:r>
      <w:r>
        <w:rPr>
          <w:i/>
          <w:iCs/>
        </w:rPr>
        <w:t xml:space="preserve"> </w:t>
      </w:r>
      <w:r w:rsidRPr="00FF6746">
        <w:rPr>
          <w:i/>
          <w:iCs/>
        </w:rPr>
        <w:t>et al</w:t>
      </w:r>
      <w:r w:rsidRPr="00FF6746">
        <w:t>., Memorandum Opinion and Order and Report and Order and Further Notice of</w:t>
      </w:r>
      <w:r>
        <w:t xml:space="preserve"> </w:t>
      </w:r>
      <w:r w:rsidRPr="00FF6746">
        <w:t>Proposed Rulemaking and Second Further Notice of Proposed Rulemaking, 28 FCC Rcd</w:t>
      </w:r>
      <w:r>
        <w:t xml:space="preserve"> </w:t>
      </w:r>
      <w:r w:rsidRPr="00FF6746">
        <w:t xml:space="preserve">7627, </w:t>
      </w:r>
      <w:r>
        <w:t>7637, para. 16</w:t>
      </w:r>
      <w:r w:rsidRPr="00FF6746">
        <w:t xml:space="preserve"> (2013) (</w:t>
      </w:r>
      <w:r w:rsidRPr="00FF6746">
        <w:rPr>
          <w:i/>
          <w:iCs/>
        </w:rPr>
        <w:t>2013 Forbearance Order</w:t>
      </w:r>
      <w:r w:rsidRPr="00FF6746">
        <w:t>)</w:t>
      </w:r>
      <w:r>
        <w:t xml:space="preserve"> (forbearing from </w:t>
      </w:r>
      <w:r w:rsidR="00985FF6">
        <w:t xml:space="preserve">applying </w:t>
      </w:r>
      <w:r>
        <w:t xml:space="preserve">the Commission’s requirement that independent local exchange carriers (1) inform prospective customers that they may obtain stand-alone long distance service from other carriers and, (2) if requested, read customers a list of long distance carriers); </w:t>
      </w:r>
      <w:r w:rsidRPr="00FF6746">
        <w:rPr>
          <w:i/>
        </w:rPr>
        <w:t>see also</w:t>
      </w:r>
      <w:r>
        <w:t xml:space="preserve"> </w:t>
      </w:r>
      <w:r w:rsidRPr="00FF6746">
        <w:rPr>
          <w:i/>
          <w:iCs/>
        </w:rPr>
        <w:t>Section 272(f)(1)</w:t>
      </w:r>
      <w:r>
        <w:rPr>
          <w:i/>
          <w:iCs/>
        </w:rPr>
        <w:t xml:space="preserve"> </w:t>
      </w:r>
      <w:r w:rsidRPr="00FF6746">
        <w:rPr>
          <w:i/>
          <w:iCs/>
        </w:rPr>
        <w:t>Sunset of the BOC Separate Affiliate and Related Requirements</w:t>
      </w:r>
      <w:r>
        <w:rPr>
          <w:i/>
          <w:iCs/>
        </w:rPr>
        <w:t xml:space="preserve"> et al.</w:t>
      </w:r>
      <w:r w:rsidRPr="00FF6746">
        <w:t>, Report and Order, 22 FCC Rcd 16440, 16501-02, paras. 125-26 (2007)</w:t>
      </w:r>
      <w:r>
        <w:t xml:space="preserve"> </w:t>
      </w:r>
      <w:r w:rsidR="00B77532">
        <w:t>(applying similar forbearance to AT&amp;T, Verizon, and Sprint)</w:t>
      </w:r>
      <w:r>
        <w:t>.</w:t>
      </w:r>
    </w:p>
  </w:footnote>
  <w:footnote w:id="36">
    <w:p w14:paraId="355A35E1" w14:textId="77777777" w:rsidR="00DE6518" w:rsidRDefault="00DE6518" w:rsidP="00DE6518">
      <w:pPr>
        <w:pStyle w:val="FootnoteText"/>
      </w:pPr>
      <w:r>
        <w:rPr>
          <w:rStyle w:val="FootnoteReference"/>
        </w:rPr>
        <w:footnoteRef/>
      </w:r>
      <w:r>
        <w:t xml:space="preserve"> </w:t>
      </w:r>
      <w:r w:rsidRPr="00A45041">
        <w:t>Sprint Petition at 2.</w:t>
      </w:r>
    </w:p>
  </w:footnote>
  <w:footnote w:id="37">
    <w:p w14:paraId="55E24D8E" w14:textId="77777777" w:rsidR="0029584E" w:rsidRDefault="0029584E">
      <w:pPr>
        <w:pStyle w:val="FootnoteText"/>
      </w:pPr>
      <w:r>
        <w:rPr>
          <w:rStyle w:val="FootnoteReference"/>
        </w:rPr>
        <w:footnoteRef/>
      </w:r>
      <w:r>
        <w:t xml:space="preserve"> </w:t>
      </w:r>
      <w:r w:rsidR="006F0BF9" w:rsidRPr="006F0BF9">
        <w:rPr>
          <w:bCs/>
          <w:i/>
        </w:rPr>
        <w:t>iTRS Exemptions Order</w:t>
      </w:r>
      <w:r w:rsidR="000862E2">
        <w:rPr>
          <w:bCs/>
        </w:rPr>
        <w:t xml:space="preserve">, 29 FCC Rcd </w:t>
      </w:r>
      <w:r w:rsidR="006F0BF9">
        <w:rPr>
          <w:bCs/>
        </w:rPr>
        <w:t>at</w:t>
      </w:r>
      <w:r w:rsidR="000862E2">
        <w:rPr>
          <w:bCs/>
        </w:rPr>
        <w:t xml:space="preserve"> 10706, para. 16.</w:t>
      </w:r>
      <w:r w:rsidR="0030600A" w:rsidRPr="0030600A">
        <w:t xml:space="preserve"> </w:t>
      </w:r>
      <w:r w:rsidR="0030600A">
        <w:t xml:space="preserve">   </w:t>
      </w:r>
    </w:p>
  </w:footnote>
  <w:footnote w:id="38">
    <w:p w14:paraId="65C61EB2" w14:textId="77777777" w:rsidR="0029584E" w:rsidRDefault="0029584E">
      <w:pPr>
        <w:pStyle w:val="FootnoteText"/>
      </w:pPr>
      <w:r>
        <w:rPr>
          <w:rStyle w:val="FootnoteReference"/>
        </w:rPr>
        <w:footnoteRef/>
      </w:r>
      <w:r>
        <w:t xml:space="preserve"> </w:t>
      </w:r>
      <w:r w:rsidR="000862E2" w:rsidRPr="000862E2">
        <w:rPr>
          <w:i/>
        </w:rPr>
        <w:t>Id</w:t>
      </w:r>
      <w:r w:rsidR="000862E2">
        <w:t>.</w:t>
      </w:r>
    </w:p>
  </w:footnote>
  <w:footnote w:id="39">
    <w:p w14:paraId="7C9471E5" w14:textId="7E6D015B" w:rsidR="00F4153D" w:rsidRDefault="00F4153D">
      <w:pPr>
        <w:pStyle w:val="FootnoteText"/>
      </w:pPr>
      <w:r>
        <w:rPr>
          <w:rStyle w:val="FootnoteReference"/>
        </w:rPr>
        <w:footnoteRef/>
      </w:r>
      <w:r>
        <w:t xml:space="preserve"> In the </w:t>
      </w:r>
      <w:r w:rsidRPr="0030600A">
        <w:rPr>
          <w:i/>
        </w:rPr>
        <w:t>iTRS Exemptions Order</w:t>
      </w:r>
      <w:r>
        <w:t xml:space="preserve">, the Commission addressed whether various minimum TRS standards that had been previously waived for iTRS providers remained infeasible or inapplicable in the iTRS context.  Because </w:t>
      </w:r>
      <w:r w:rsidR="00F12B1B">
        <w:t xml:space="preserve">the equal access and billing options requirements </w:t>
      </w:r>
      <w:r>
        <w:t xml:space="preserve">had not been waived </w:t>
      </w:r>
      <w:r w:rsidR="00F12B1B">
        <w:t xml:space="preserve">previously </w:t>
      </w:r>
      <w:r>
        <w:t>for providers of TRS</w:t>
      </w:r>
      <w:r w:rsidR="001A691C">
        <w:t>, STS,</w:t>
      </w:r>
      <w:r>
        <w:t xml:space="preserve"> and CTS, the Commission did not consider whether </w:t>
      </w:r>
      <w:r w:rsidR="00D76297">
        <w:t xml:space="preserve">to exempt </w:t>
      </w:r>
      <w:r>
        <w:t>such providers from th</w:t>
      </w:r>
      <w:r w:rsidR="00D76297">
        <w:t>os</w:t>
      </w:r>
      <w:r>
        <w:t>e requirements</w:t>
      </w:r>
      <w:r w:rsidR="00534B1E">
        <w:t>.</w:t>
      </w:r>
    </w:p>
  </w:footnote>
  <w:footnote w:id="40">
    <w:p w14:paraId="65E25939" w14:textId="77777777" w:rsidR="00DF23A4" w:rsidRDefault="00DF23A4">
      <w:pPr>
        <w:pStyle w:val="FootnoteText"/>
      </w:pPr>
      <w:r>
        <w:rPr>
          <w:rStyle w:val="FootnoteReference"/>
        </w:rPr>
        <w:footnoteRef/>
      </w:r>
      <w:r>
        <w:t xml:space="preserve"> </w:t>
      </w:r>
      <w:r w:rsidRPr="00DF23A4">
        <w:t>Sprint Petition at 6.</w:t>
      </w:r>
    </w:p>
  </w:footnote>
  <w:footnote w:id="41">
    <w:p w14:paraId="3785C370" w14:textId="77777777" w:rsidR="00673C94" w:rsidRDefault="00673C94">
      <w:pPr>
        <w:pStyle w:val="FootnoteText"/>
      </w:pPr>
      <w:r>
        <w:rPr>
          <w:rStyle w:val="FootnoteReference"/>
        </w:rPr>
        <w:footnoteRef/>
      </w:r>
      <w:r>
        <w:t xml:space="preserve"> </w:t>
      </w:r>
      <w:r w:rsidRPr="00673C94">
        <w:rPr>
          <w:i/>
        </w:rPr>
        <w:t>WAIT Radio</w:t>
      </w:r>
      <w:r w:rsidRPr="00673C94">
        <w:t xml:space="preserve">, 418 F.2d </w:t>
      </w:r>
      <w:r>
        <w:t>at 1159.</w:t>
      </w:r>
    </w:p>
  </w:footnote>
  <w:footnote w:id="42">
    <w:p w14:paraId="21A77076" w14:textId="77777777" w:rsidR="008765EA" w:rsidRDefault="008765EA" w:rsidP="008765EA">
      <w:pPr>
        <w:pStyle w:val="FootnoteText"/>
      </w:pPr>
      <w:r>
        <w:rPr>
          <w:rStyle w:val="FootnoteReference"/>
        </w:rPr>
        <w:footnoteRef/>
      </w:r>
      <w:r>
        <w:rPr>
          <w:bCs/>
          <w:i/>
          <w:iCs/>
        </w:rPr>
        <w:t xml:space="preserve"> </w:t>
      </w:r>
      <w:r w:rsidRPr="008765EA">
        <w:rPr>
          <w:bCs/>
          <w:i/>
          <w:iCs/>
        </w:rPr>
        <w:t>iTRS Exemptions Order</w:t>
      </w:r>
      <w:r w:rsidRPr="008765EA">
        <w:rPr>
          <w:bCs/>
          <w:iCs/>
        </w:rPr>
        <w:t>, 29 FCC Rcd at 1070</w:t>
      </w:r>
      <w:r>
        <w:rPr>
          <w:bCs/>
          <w:iCs/>
        </w:rPr>
        <w:t>5</w:t>
      </w:r>
      <w:r w:rsidRPr="008765EA">
        <w:rPr>
          <w:bCs/>
          <w:iCs/>
        </w:rPr>
        <w:t xml:space="preserve">, para. </w:t>
      </w:r>
      <w:r>
        <w:rPr>
          <w:bCs/>
          <w:iCs/>
        </w:rPr>
        <w:t xml:space="preserve">14, </w:t>
      </w:r>
      <w:r w:rsidRPr="008765EA">
        <w:rPr>
          <w:bCs/>
          <w:i/>
          <w:iCs/>
        </w:rPr>
        <w:t>citing</w:t>
      </w:r>
      <w:r w:rsidRPr="008765EA">
        <w:rPr>
          <w:i/>
          <w:iCs/>
        </w:rPr>
        <w:t xml:space="preserve"> First TRS Report and Order</w:t>
      </w:r>
      <w:r w:rsidRPr="008765EA">
        <w:t>, 6 FCC Rcd at 4660-61, ¶¶ 17-19</w:t>
      </w:r>
      <w:r>
        <w:t>.</w:t>
      </w:r>
    </w:p>
  </w:footnote>
  <w:footnote w:id="43">
    <w:p w14:paraId="2F92315D" w14:textId="77777777" w:rsidR="00716EC0" w:rsidRDefault="00716EC0">
      <w:pPr>
        <w:pStyle w:val="FootnoteText"/>
      </w:pPr>
      <w:r>
        <w:rPr>
          <w:rStyle w:val="FootnoteReference"/>
        </w:rPr>
        <w:footnoteRef/>
      </w:r>
      <w:r>
        <w:t xml:space="preserve"> </w:t>
      </w:r>
      <w:r w:rsidR="007B01A8" w:rsidRPr="007B01A8">
        <w:rPr>
          <w:bCs/>
          <w:i/>
          <w:iCs/>
        </w:rPr>
        <w:t>2013 Forbearance Order</w:t>
      </w:r>
      <w:r w:rsidR="007B01A8" w:rsidRPr="007B01A8">
        <w:rPr>
          <w:bCs/>
          <w:iCs/>
        </w:rPr>
        <w:t>, 28 FCC Rcd at 7636</w:t>
      </w:r>
      <w:r w:rsidR="007B01A8" w:rsidRPr="009B3FCE">
        <w:rPr>
          <w:bCs/>
          <w:iCs/>
        </w:rPr>
        <w:t>, para. 14</w:t>
      </w:r>
      <w:r w:rsidR="007B01A8">
        <w:rPr>
          <w:bCs/>
          <w:iCs/>
        </w:rPr>
        <w:t>.</w:t>
      </w:r>
    </w:p>
  </w:footnote>
  <w:footnote w:id="44">
    <w:p w14:paraId="167C961A" w14:textId="77777777" w:rsidR="009B3FCE" w:rsidRDefault="009B3FCE" w:rsidP="009B3FCE">
      <w:pPr>
        <w:pStyle w:val="FootnoteText"/>
      </w:pPr>
      <w:r>
        <w:rPr>
          <w:rStyle w:val="FootnoteReference"/>
        </w:rPr>
        <w:footnoteRef/>
      </w:r>
      <w:r>
        <w:t xml:space="preserve"> </w:t>
      </w:r>
      <w:r w:rsidRPr="009B3FCE">
        <w:t xml:space="preserve">Hamilton Petition at 3 </w:t>
      </w:r>
      <w:r>
        <w:t>(</w:t>
      </w:r>
      <w:r w:rsidRPr="009B3FCE">
        <w:rPr>
          <w:i/>
        </w:rPr>
        <w:t>citing Comments Invited on Application of AT&amp;T Services, Inc. on Behalf of Affiliates to Discontinue Domestic Telecommunications Services</w:t>
      </w:r>
      <w:r w:rsidR="00DF4FEA">
        <w:t>, Public Notice</w:t>
      </w:r>
      <w:r w:rsidR="00DF4FEA" w:rsidRPr="00DF4FEA">
        <w:t xml:space="preserve">, </w:t>
      </w:r>
      <w:r w:rsidR="00DF4FEA" w:rsidRPr="00DF4FEA">
        <w:rPr>
          <w:iCs/>
        </w:rPr>
        <w:t>31 FCC Rcd 209</w:t>
      </w:r>
      <w:r w:rsidR="00DF4FEA">
        <w:rPr>
          <w:iCs/>
        </w:rPr>
        <w:t xml:space="preserve"> (WCB 2016)</w:t>
      </w:r>
      <w:r>
        <w:t>)</w:t>
      </w:r>
      <w:r w:rsidR="00DF4FEA">
        <w:t>.</w:t>
      </w:r>
      <w:r>
        <w:t xml:space="preserve"> </w:t>
      </w:r>
    </w:p>
  </w:footnote>
  <w:footnote w:id="45">
    <w:p w14:paraId="44972AB4" w14:textId="4C63D5E4" w:rsidR="00985FF6" w:rsidRDefault="00985FF6" w:rsidP="00CA7B1D">
      <w:pPr>
        <w:pStyle w:val="FootnoteText"/>
      </w:pPr>
      <w:r>
        <w:rPr>
          <w:rStyle w:val="FootnoteReference"/>
        </w:rPr>
        <w:footnoteRef/>
      </w:r>
      <w:r>
        <w:t xml:space="preserve"> </w:t>
      </w:r>
      <w:r w:rsidRPr="00985FF6">
        <w:rPr>
          <w:bCs/>
          <w:i/>
          <w:iCs/>
        </w:rPr>
        <w:t>iTRS Exemptions Order</w:t>
      </w:r>
      <w:r w:rsidRPr="00985FF6">
        <w:rPr>
          <w:bCs/>
          <w:iCs/>
        </w:rPr>
        <w:t>, 29 FCC Rcd at 1070</w:t>
      </w:r>
      <w:r>
        <w:rPr>
          <w:bCs/>
          <w:iCs/>
        </w:rPr>
        <w:t>4</w:t>
      </w:r>
      <w:r w:rsidRPr="00985FF6">
        <w:rPr>
          <w:bCs/>
          <w:iCs/>
        </w:rPr>
        <w:t>, para. 1</w:t>
      </w:r>
      <w:r>
        <w:rPr>
          <w:bCs/>
          <w:iCs/>
        </w:rPr>
        <w:t>2.</w:t>
      </w:r>
      <w:r w:rsidR="00CA7B1D">
        <w:rPr>
          <w:bCs/>
          <w:iCs/>
        </w:rPr>
        <w:t xml:space="preserve">  </w:t>
      </w:r>
      <w:r w:rsidR="00742719">
        <w:rPr>
          <w:bCs/>
          <w:iCs/>
        </w:rPr>
        <w:t>T</w:t>
      </w:r>
      <w:r w:rsidR="00A52471">
        <w:rPr>
          <w:bCs/>
          <w:iCs/>
        </w:rPr>
        <w:t xml:space="preserve">he Commission </w:t>
      </w:r>
      <w:r w:rsidR="00742719">
        <w:rPr>
          <w:bCs/>
          <w:iCs/>
        </w:rPr>
        <w:t xml:space="preserve">also cited, as one reason </w:t>
      </w:r>
      <w:r w:rsidR="00A52471">
        <w:rPr>
          <w:bCs/>
          <w:iCs/>
        </w:rPr>
        <w:t xml:space="preserve">for permanently </w:t>
      </w:r>
      <w:r w:rsidR="00CA7B1D">
        <w:rPr>
          <w:bCs/>
          <w:iCs/>
        </w:rPr>
        <w:t xml:space="preserve">exempting </w:t>
      </w:r>
      <w:r w:rsidR="00CA7B1D" w:rsidRPr="00A52471">
        <w:rPr>
          <w:bCs/>
          <w:iCs/>
        </w:rPr>
        <w:t xml:space="preserve">iTRS </w:t>
      </w:r>
      <w:r w:rsidR="00CA7B1D">
        <w:rPr>
          <w:bCs/>
          <w:iCs/>
        </w:rPr>
        <w:t>providers from the billing-options requirement</w:t>
      </w:r>
      <w:r w:rsidR="00742719">
        <w:rPr>
          <w:bCs/>
          <w:iCs/>
        </w:rPr>
        <w:t>,</w:t>
      </w:r>
      <w:r w:rsidR="00A52471">
        <w:rPr>
          <w:bCs/>
          <w:iCs/>
        </w:rPr>
        <w:t xml:space="preserve"> </w:t>
      </w:r>
      <w:r w:rsidR="00C549F4">
        <w:rPr>
          <w:bCs/>
          <w:iCs/>
        </w:rPr>
        <w:t xml:space="preserve">the lack of </w:t>
      </w:r>
      <w:r w:rsidR="00C33C5A">
        <w:rPr>
          <w:bCs/>
          <w:iCs/>
        </w:rPr>
        <w:t>a</w:t>
      </w:r>
      <w:r w:rsidR="00CA7B1D" w:rsidRPr="00CA7B1D">
        <w:rPr>
          <w:bCs/>
          <w:iCs/>
        </w:rPr>
        <w:t xml:space="preserve"> billing relationship </w:t>
      </w:r>
      <w:r w:rsidR="00C33C5A">
        <w:rPr>
          <w:bCs/>
          <w:iCs/>
        </w:rPr>
        <w:t xml:space="preserve">between iTRS providers and </w:t>
      </w:r>
      <w:r w:rsidR="00CA7B1D" w:rsidRPr="00CA7B1D">
        <w:rPr>
          <w:bCs/>
          <w:iCs/>
        </w:rPr>
        <w:t>iTRS users</w:t>
      </w:r>
      <w:r w:rsidR="00C549F4">
        <w:rPr>
          <w:bCs/>
          <w:iCs/>
        </w:rPr>
        <w:t xml:space="preserve">.  </w:t>
      </w:r>
      <w:r w:rsidR="00C549F4" w:rsidRPr="003D4CDB">
        <w:rPr>
          <w:bCs/>
          <w:i/>
          <w:iCs/>
        </w:rPr>
        <w:t>Id.</w:t>
      </w:r>
      <w:r w:rsidR="00C549F4">
        <w:rPr>
          <w:bCs/>
          <w:iCs/>
        </w:rPr>
        <w:t xml:space="preserve"> at 13.</w:t>
      </w:r>
      <w:r w:rsidR="00CA7B1D">
        <w:rPr>
          <w:bCs/>
          <w:iCs/>
        </w:rPr>
        <w:t xml:space="preserve">  </w:t>
      </w:r>
      <w:r w:rsidR="00154CDB">
        <w:rPr>
          <w:bCs/>
          <w:iCs/>
        </w:rPr>
        <w:t xml:space="preserve">As explained </w:t>
      </w:r>
      <w:r w:rsidR="00154CDB" w:rsidRPr="009E69F5">
        <w:rPr>
          <w:bCs/>
          <w:i/>
          <w:iCs/>
        </w:rPr>
        <w:t>supra</w:t>
      </w:r>
      <w:r w:rsidR="00154CDB">
        <w:rPr>
          <w:bCs/>
          <w:iCs/>
        </w:rPr>
        <w:t xml:space="preserve"> note </w:t>
      </w:r>
      <w:r w:rsidR="00154CDB" w:rsidRPr="00C549F4">
        <w:rPr>
          <w:bCs/>
          <w:iCs/>
        </w:rPr>
        <w:t>3</w:t>
      </w:r>
      <w:r w:rsidR="008D4E61">
        <w:rPr>
          <w:bCs/>
          <w:iCs/>
        </w:rPr>
        <w:t>8</w:t>
      </w:r>
      <w:r w:rsidR="00154CDB">
        <w:rPr>
          <w:bCs/>
          <w:iCs/>
        </w:rPr>
        <w:t xml:space="preserve">, the scope of the </w:t>
      </w:r>
      <w:r w:rsidR="00154CDB" w:rsidRPr="00154CDB">
        <w:rPr>
          <w:bCs/>
          <w:i/>
          <w:iCs/>
        </w:rPr>
        <w:t>iTRS Exemptions Order</w:t>
      </w:r>
      <w:r w:rsidR="00154CDB" w:rsidRPr="00154CDB">
        <w:rPr>
          <w:bCs/>
          <w:iCs/>
        </w:rPr>
        <w:t xml:space="preserve"> </w:t>
      </w:r>
      <w:r w:rsidR="00154CDB">
        <w:rPr>
          <w:bCs/>
          <w:iCs/>
        </w:rPr>
        <w:t xml:space="preserve">rulemaking proceeding was limited to </w:t>
      </w:r>
      <w:r w:rsidR="00AE0D7B">
        <w:rPr>
          <w:bCs/>
          <w:iCs/>
        </w:rPr>
        <w:t xml:space="preserve">determining whether </w:t>
      </w:r>
      <w:r w:rsidR="00CA4385">
        <w:rPr>
          <w:bCs/>
          <w:iCs/>
        </w:rPr>
        <w:t xml:space="preserve">certain </w:t>
      </w:r>
      <w:r w:rsidR="00AE0D7B">
        <w:rPr>
          <w:bCs/>
          <w:iCs/>
        </w:rPr>
        <w:t xml:space="preserve">waivers of TRS requirements previously granted for iTRS providers should be made permanent </w:t>
      </w:r>
      <w:r w:rsidR="00CA4385">
        <w:rPr>
          <w:bCs/>
          <w:iCs/>
        </w:rPr>
        <w:t xml:space="preserve">and did not focus on </w:t>
      </w:r>
      <w:r w:rsidR="00154CDB" w:rsidRPr="00154CDB">
        <w:rPr>
          <w:bCs/>
          <w:iCs/>
        </w:rPr>
        <w:t>billing</w:t>
      </w:r>
      <w:r w:rsidR="00AE0D7B">
        <w:rPr>
          <w:bCs/>
          <w:iCs/>
        </w:rPr>
        <w:t>-</w:t>
      </w:r>
      <w:r w:rsidR="00154CDB" w:rsidRPr="00154CDB">
        <w:rPr>
          <w:bCs/>
          <w:iCs/>
        </w:rPr>
        <w:t>option</w:t>
      </w:r>
      <w:r w:rsidR="00CA4385">
        <w:rPr>
          <w:bCs/>
          <w:iCs/>
        </w:rPr>
        <w:t>s or</w:t>
      </w:r>
      <w:r w:rsidR="00AE0D7B">
        <w:rPr>
          <w:bCs/>
          <w:iCs/>
        </w:rPr>
        <w:t xml:space="preserve"> other </w:t>
      </w:r>
      <w:r w:rsidR="00154CDB" w:rsidRPr="00154CDB">
        <w:rPr>
          <w:bCs/>
          <w:iCs/>
        </w:rPr>
        <w:t xml:space="preserve">requirements for </w:t>
      </w:r>
      <w:r w:rsidR="00AE0D7B">
        <w:rPr>
          <w:bCs/>
          <w:iCs/>
        </w:rPr>
        <w:t>traditional TRS</w:t>
      </w:r>
      <w:r w:rsidR="001A691C">
        <w:rPr>
          <w:bCs/>
          <w:iCs/>
        </w:rPr>
        <w:t>, STS,</w:t>
      </w:r>
      <w:r w:rsidR="00AE0D7B">
        <w:rPr>
          <w:bCs/>
          <w:iCs/>
        </w:rPr>
        <w:t xml:space="preserve"> and CTS </w:t>
      </w:r>
      <w:r w:rsidR="00154CDB" w:rsidRPr="00154CDB">
        <w:rPr>
          <w:bCs/>
          <w:iCs/>
        </w:rPr>
        <w:t>providers</w:t>
      </w:r>
      <w:r w:rsidR="00CA4385">
        <w:rPr>
          <w:bCs/>
          <w:iCs/>
        </w:rPr>
        <w:t xml:space="preserve">.  However, now </w:t>
      </w:r>
      <w:r w:rsidR="00AE0D7B">
        <w:rPr>
          <w:bCs/>
          <w:iCs/>
        </w:rPr>
        <w:t>that even PSTN-based carriers are seeking to discontinue these billing options</w:t>
      </w:r>
      <w:r w:rsidR="00CA4385">
        <w:rPr>
          <w:bCs/>
          <w:iCs/>
        </w:rPr>
        <w:t>,</w:t>
      </w:r>
      <w:r w:rsidR="00AE0D7B">
        <w:rPr>
          <w:bCs/>
          <w:iCs/>
        </w:rPr>
        <w:t xml:space="preserve"> </w:t>
      </w:r>
      <w:r w:rsidR="00CA4385">
        <w:rPr>
          <w:bCs/>
          <w:iCs/>
        </w:rPr>
        <w:t xml:space="preserve">we conclude here that </w:t>
      </w:r>
      <w:r w:rsidR="00AE0D7B">
        <w:rPr>
          <w:bCs/>
          <w:iCs/>
        </w:rPr>
        <w:t xml:space="preserve">such </w:t>
      </w:r>
      <w:r w:rsidR="00D233AB">
        <w:rPr>
          <w:bCs/>
          <w:iCs/>
        </w:rPr>
        <w:t>options are no longer necessary to ensure functionally equivalent communication</w:t>
      </w:r>
      <w:r w:rsidR="00CA4385">
        <w:rPr>
          <w:bCs/>
          <w:iCs/>
        </w:rPr>
        <w:t xml:space="preserve"> as long as the TRS provider does not charge for long distance TRS calls</w:t>
      </w:r>
      <w:r w:rsidR="00D233AB">
        <w:rPr>
          <w:bCs/>
          <w:iCs/>
        </w:rPr>
        <w:t>.</w:t>
      </w:r>
      <w:r w:rsidR="00AE0D7B">
        <w:rPr>
          <w:bCs/>
          <w:iCs/>
        </w:rPr>
        <w:t xml:space="preserve">     </w:t>
      </w:r>
    </w:p>
  </w:footnote>
  <w:footnote w:id="46">
    <w:p w14:paraId="764E0B43" w14:textId="54BFB850" w:rsidR="00673C94" w:rsidRDefault="00673C94" w:rsidP="00C549F4">
      <w:pPr>
        <w:pStyle w:val="FootnoteText"/>
      </w:pPr>
      <w:r>
        <w:rPr>
          <w:rStyle w:val="FootnoteReference"/>
        </w:rPr>
        <w:footnoteRef/>
      </w:r>
      <w:r>
        <w:t xml:space="preserve"> </w:t>
      </w:r>
      <w:r w:rsidRPr="00673C94">
        <w:rPr>
          <w:i/>
        </w:rPr>
        <w:t>WAIT Radio</w:t>
      </w:r>
      <w:r w:rsidRPr="00673C94">
        <w:t>, 418 F.2d at 1159.</w:t>
      </w:r>
    </w:p>
  </w:footnote>
  <w:footnote w:id="47">
    <w:p w14:paraId="2B12FB4F" w14:textId="77777777" w:rsidR="009E69F5" w:rsidRDefault="009E69F5">
      <w:pPr>
        <w:pStyle w:val="FootnoteText"/>
      </w:pPr>
      <w:r>
        <w:rPr>
          <w:rStyle w:val="FootnoteReference"/>
        </w:rPr>
        <w:footnoteRef/>
      </w:r>
      <w:r>
        <w:t xml:space="preserve"> </w:t>
      </w:r>
      <w:r w:rsidRPr="009E69F5">
        <w:t>47 C.F.R. § 64.604(a)(3)(ii)</w:t>
      </w:r>
      <w:r>
        <w:t xml:space="preserve">.  We note that the term “operator assisted” here refers to operator-assisted </w:t>
      </w:r>
      <w:r w:rsidRPr="009E69F5">
        <w:rPr>
          <w:i/>
        </w:rPr>
        <w:t>billing</w:t>
      </w:r>
      <w:r>
        <w:t>, as opposed to other forms of operator assistance.</w:t>
      </w:r>
    </w:p>
  </w:footnote>
  <w:footnote w:id="48">
    <w:p w14:paraId="123FC3D1" w14:textId="77777777" w:rsidR="00A05A5C" w:rsidRDefault="00A05A5C">
      <w:pPr>
        <w:pStyle w:val="FootnoteText"/>
      </w:pPr>
      <w:r>
        <w:rPr>
          <w:rStyle w:val="FootnoteReference"/>
        </w:rPr>
        <w:footnoteRef/>
      </w:r>
      <w:r>
        <w:t xml:space="preserve"> </w:t>
      </w:r>
      <w:r w:rsidRPr="00A05A5C">
        <w:t>Hamilton Petition at 3 n.7.</w:t>
      </w:r>
    </w:p>
  </w:footnote>
  <w:footnote w:id="49">
    <w:p w14:paraId="3347F2A8" w14:textId="20BFC540" w:rsidR="007B01A8" w:rsidRDefault="007B01A8">
      <w:pPr>
        <w:pStyle w:val="FootnoteText"/>
      </w:pPr>
      <w:r>
        <w:rPr>
          <w:rStyle w:val="FootnoteReference"/>
        </w:rPr>
        <w:footnoteRef/>
      </w:r>
      <w:r>
        <w:t xml:space="preserve"> </w:t>
      </w:r>
      <w:r w:rsidR="008D4E61" w:rsidRPr="008D4E61">
        <w:rPr>
          <w:i/>
        </w:rPr>
        <w:t>Id</w:t>
      </w:r>
      <w:r>
        <w:t xml:space="preserve">.  </w:t>
      </w:r>
    </w:p>
  </w:footnote>
  <w:footnote w:id="50">
    <w:p w14:paraId="6A34E6AE" w14:textId="298854C6" w:rsidR="000D32E7" w:rsidRDefault="000D32E7">
      <w:pPr>
        <w:pStyle w:val="FootnoteText"/>
      </w:pPr>
      <w:r>
        <w:rPr>
          <w:rStyle w:val="FootnoteReference"/>
        </w:rPr>
        <w:footnoteRef/>
      </w:r>
      <w:r>
        <w:t xml:space="preserve"> Recently, the Commission adopted a rule prohibiting ICS providers from assessing charges for inmates’ TRS calls, except to the extent </w:t>
      </w:r>
      <w:r w:rsidR="00E63894">
        <w:t xml:space="preserve">that </w:t>
      </w:r>
      <w:r>
        <w:t xml:space="preserve">any per-call or per-minute charges </w:t>
      </w:r>
      <w:r w:rsidR="00E63894">
        <w:t xml:space="preserve">are </w:t>
      </w:r>
      <w:r>
        <w:t xml:space="preserve">assessed on the ICS provider by another carrier or service provider to complete a call made through a TRS center.  </w:t>
      </w:r>
      <w:r w:rsidRPr="00B95441">
        <w:rPr>
          <w:i/>
        </w:rPr>
        <w:t>Rates for Interstate Inmate Calling Services, Second Report and Order and Third Further Notice of Proposed Rulemaking</w:t>
      </w:r>
      <w:r>
        <w:t>, 30 FCC Rcd 12763, 12879, para. 236 &amp; n.842 (2015).  With the exception of such pass-through charges, there would appear to be no need for collect billing or other billing options with respect to inmate calls using traditional TRS</w:t>
      </w:r>
      <w:r w:rsidR="001A691C">
        <w:t>, STS,</w:t>
      </w:r>
      <w:r>
        <w:t xml:space="preserve"> or CTS.  In the event that such billing options remain necessary, however, this waiver does not authorize a TRS provider to decline to cooperate in arranging appropriate billing.</w:t>
      </w:r>
    </w:p>
  </w:footnote>
  <w:footnote w:id="51">
    <w:p w14:paraId="0A827E47" w14:textId="3D8419DB" w:rsidR="00763942" w:rsidRPr="00450902" w:rsidRDefault="00763942" w:rsidP="00763942">
      <w:pPr>
        <w:pStyle w:val="FootnoteText"/>
      </w:pPr>
      <w:r>
        <w:rPr>
          <w:rStyle w:val="FootnoteReference"/>
        </w:rPr>
        <w:footnoteRef/>
      </w:r>
      <w:r w:rsidRPr="00450902">
        <w:rPr>
          <w:iCs/>
        </w:rPr>
        <w:t xml:space="preserve"> </w:t>
      </w:r>
      <w:r w:rsidR="00416E3E" w:rsidRPr="009E69F5">
        <w:rPr>
          <w:i/>
          <w:iCs/>
        </w:rPr>
        <w:t>See supra</w:t>
      </w:r>
      <w:r w:rsidR="00416E3E">
        <w:rPr>
          <w:iCs/>
        </w:rPr>
        <w:t xml:space="preserve"> para.</w:t>
      </w:r>
      <w:r w:rsidR="00164599">
        <w:rPr>
          <w:iCs/>
        </w:rPr>
        <w:t>10</w:t>
      </w:r>
      <w:r w:rsidR="00416E3E">
        <w:rPr>
          <w:iCs/>
        </w:rPr>
        <w:t xml:space="preserve">. </w:t>
      </w:r>
    </w:p>
  </w:footnote>
  <w:footnote w:id="52">
    <w:p w14:paraId="4B330DD5" w14:textId="77777777" w:rsidR="00763942" w:rsidRDefault="00763942" w:rsidP="00763942">
      <w:pPr>
        <w:pStyle w:val="FootnoteText"/>
      </w:pPr>
      <w:r>
        <w:rPr>
          <w:rStyle w:val="FootnoteReference"/>
        </w:rPr>
        <w:footnoteRef/>
      </w:r>
      <w:r>
        <w:t xml:space="preserve"> </w:t>
      </w:r>
      <w:r w:rsidR="008F74B0" w:rsidRPr="008F74B0">
        <w:rPr>
          <w:i/>
        </w:rPr>
        <w:t>Long Distance Incentives Ruling</w:t>
      </w:r>
      <w:r w:rsidR="008F74B0" w:rsidRPr="008F74B0">
        <w:t>, 20 FCC Rcd at 12505, para. 6</w:t>
      </w:r>
      <w:r w:rsidR="008F74B0">
        <w:t>.</w:t>
      </w:r>
    </w:p>
  </w:footnote>
  <w:footnote w:id="53">
    <w:p w14:paraId="00A68C62" w14:textId="77777777" w:rsidR="00763942" w:rsidRDefault="00763942" w:rsidP="00763942">
      <w:pPr>
        <w:pStyle w:val="FootnoteText"/>
      </w:pPr>
      <w:r>
        <w:rPr>
          <w:rStyle w:val="FootnoteReference"/>
        </w:rPr>
        <w:footnoteRef/>
      </w:r>
      <w:r>
        <w:t xml:space="preserve"> </w:t>
      </w:r>
      <w:r w:rsidR="00C95FC3">
        <w:t>In other words, the incentive to make long distance calls that results from allowing free long distance TRS calling does not appear to be</w:t>
      </w:r>
      <w:r w:rsidR="00C95FC3" w:rsidRPr="00C95FC3">
        <w:t xml:space="preserve"> significantly greater than the incentive </w:t>
      </w:r>
      <w:r w:rsidR="00C95FC3">
        <w:t xml:space="preserve">to make such calls that </w:t>
      </w:r>
      <w:r w:rsidR="00C95FC3" w:rsidRPr="00C95FC3">
        <w:t>result</w:t>
      </w:r>
      <w:r w:rsidR="00C95FC3">
        <w:t>s</w:t>
      </w:r>
      <w:r w:rsidR="00C95FC3" w:rsidRPr="00C95FC3">
        <w:t xml:space="preserve"> from </w:t>
      </w:r>
      <w:r w:rsidR="00C95FC3">
        <w:t>a carrier’s</w:t>
      </w:r>
      <w:r w:rsidR="00C95FC3" w:rsidRPr="00C95FC3">
        <w:t xml:space="preserve"> offering </w:t>
      </w:r>
      <w:r w:rsidR="00C95FC3">
        <w:t xml:space="preserve">of </w:t>
      </w:r>
      <w:r w:rsidR="00C95FC3" w:rsidRPr="00C95FC3">
        <w:t>bundled long distance service to hearing consumers.</w:t>
      </w:r>
      <w:r w:rsidR="00C95FC3">
        <w:t xml:space="preserve">  </w:t>
      </w:r>
      <w:r>
        <w:t>We also note that all forms of TRS remain subject to the statutorily mandated requirement that “</w:t>
      </w:r>
      <w:r w:rsidRPr="00FD245D">
        <w:t xml:space="preserve">users of telecommunications relay services pay rates </w:t>
      </w:r>
      <w:r w:rsidRPr="008F74B0">
        <w:rPr>
          <w:i/>
        </w:rPr>
        <w:t>no greater</w:t>
      </w:r>
      <w:r w:rsidRPr="00FD245D">
        <w:t xml:space="preserve"> than the rates paid for functionally equivalent voice communication services with respect to such factors as the duration of the call, the time of day, and the distance from point of originati</w:t>
      </w:r>
      <w:r>
        <w:t>on to point of termination.”  47 U.S.C. § 225(d)(1)(D)</w:t>
      </w:r>
      <w:r w:rsidR="008F74B0">
        <w:t xml:space="preserve"> (emphasis added)</w:t>
      </w:r>
      <w:r>
        <w:t>; 47 CFR § 64.604(c)(4).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2EF5" w14:textId="77777777" w:rsidR="00894002" w:rsidRDefault="0089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4182" w14:textId="129B238A" w:rsidR="00D25FB5" w:rsidRDefault="00D25FB5" w:rsidP="00810B6F">
    <w:pPr>
      <w:pStyle w:val="Header"/>
      <w:rPr>
        <w:b w:val="0"/>
      </w:rPr>
    </w:pPr>
    <w:r>
      <w:tab/>
      <w:t>Federal Communications Commission</w:t>
    </w:r>
    <w:r>
      <w:tab/>
    </w:r>
    <w:r w:rsidR="004C6A50">
      <w:t xml:space="preserve">DA </w:t>
    </w:r>
    <w:r w:rsidR="0023276D">
      <w:t>16-963</w:t>
    </w:r>
  </w:p>
  <w:p w14:paraId="0218E33C" w14:textId="77777777" w:rsidR="00D25FB5" w:rsidRDefault="0096198C">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7451B705" wp14:editId="7DE7206A">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000286"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14:paraId="0FD22175" w14:textId="77777777"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3E844" w14:textId="6A1461C9" w:rsidR="00D25FB5" w:rsidRDefault="0096198C" w:rsidP="00810B6F">
    <w:pPr>
      <w:pStyle w:val="Header"/>
      <w:rPr>
        <w:b w:val="0"/>
      </w:rPr>
    </w:pPr>
    <w:r>
      <w:rPr>
        <w:noProof/>
      </w:rPr>
      <mc:AlternateContent>
        <mc:Choice Requires="wps">
          <w:drawing>
            <wp:anchor distT="0" distB="0" distL="114300" distR="114300" simplePos="0" relativeHeight="251658240" behindDoc="1" locked="0" layoutInCell="0" allowOverlap="1" wp14:anchorId="26D38E67" wp14:editId="1D0ABDB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E0AEE4"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sidR="004C6A50">
      <w:rPr>
        <w:spacing w:val="-2"/>
      </w:rPr>
      <w:t xml:space="preserve">DA </w:t>
    </w:r>
    <w:r w:rsidR="0023276D">
      <w:rPr>
        <w:spacing w:val="-2"/>
      </w:rPr>
      <w:t>16-963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 w:numId="8">
    <w:abstractNumId w:val="5"/>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52"/>
    <w:rsid w:val="00001B99"/>
    <w:rsid w:val="00011536"/>
    <w:rsid w:val="0003146F"/>
    <w:rsid w:val="00036039"/>
    <w:rsid w:val="00037F90"/>
    <w:rsid w:val="00051E17"/>
    <w:rsid w:val="00053452"/>
    <w:rsid w:val="00060D44"/>
    <w:rsid w:val="000618EF"/>
    <w:rsid w:val="00067D4A"/>
    <w:rsid w:val="00070BA1"/>
    <w:rsid w:val="000738D1"/>
    <w:rsid w:val="00085FBC"/>
    <w:rsid w:val="000862E2"/>
    <w:rsid w:val="000875BF"/>
    <w:rsid w:val="00096D8C"/>
    <w:rsid w:val="000C0B65"/>
    <w:rsid w:val="000C2303"/>
    <w:rsid w:val="000D32E7"/>
    <w:rsid w:val="000E05FE"/>
    <w:rsid w:val="000E3D42"/>
    <w:rsid w:val="001003F9"/>
    <w:rsid w:val="00122BD5"/>
    <w:rsid w:val="00133F79"/>
    <w:rsid w:val="00140044"/>
    <w:rsid w:val="00154CDB"/>
    <w:rsid w:val="00157835"/>
    <w:rsid w:val="00164599"/>
    <w:rsid w:val="00190287"/>
    <w:rsid w:val="00194A66"/>
    <w:rsid w:val="001A691C"/>
    <w:rsid w:val="001B5C5A"/>
    <w:rsid w:val="001B76E9"/>
    <w:rsid w:val="001D6BCF"/>
    <w:rsid w:val="001E01CA"/>
    <w:rsid w:val="002059BD"/>
    <w:rsid w:val="002073BE"/>
    <w:rsid w:val="00211D04"/>
    <w:rsid w:val="00215E15"/>
    <w:rsid w:val="0023276D"/>
    <w:rsid w:val="00233316"/>
    <w:rsid w:val="002341A7"/>
    <w:rsid w:val="00242980"/>
    <w:rsid w:val="00244DB6"/>
    <w:rsid w:val="00250D96"/>
    <w:rsid w:val="00260FED"/>
    <w:rsid w:val="00275CF5"/>
    <w:rsid w:val="0028301F"/>
    <w:rsid w:val="00285017"/>
    <w:rsid w:val="0029426B"/>
    <w:rsid w:val="0029584E"/>
    <w:rsid w:val="002A2D2E"/>
    <w:rsid w:val="002A555C"/>
    <w:rsid w:val="002A6CBD"/>
    <w:rsid w:val="002A7201"/>
    <w:rsid w:val="002B13C0"/>
    <w:rsid w:val="002B23BB"/>
    <w:rsid w:val="002B5288"/>
    <w:rsid w:val="002C00E8"/>
    <w:rsid w:val="002D30C6"/>
    <w:rsid w:val="002E7C0C"/>
    <w:rsid w:val="002F02C1"/>
    <w:rsid w:val="002F0BC8"/>
    <w:rsid w:val="002F1C01"/>
    <w:rsid w:val="002F2121"/>
    <w:rsid w:val="0030600A"/>
    <w:rsid w:val="003160A2"/>
    <w:rsid w:val="00330309"/>
    <w:rsid w:val="00331566"/>
    <w:rsid w:val="0033419F"/>
    <w:rsid w:val="00343749"/>
    <w:rsid w:val="003453B6"/>
    <w:rsid w:val="00350C47"/>
    <w:rsid w:val="00351617"/>
    <w:rsid w:val="003660ED"/>
    <w:rsid w:val="00385738"/>
    <w:rsid w:val="003A1370"/>
    <w:rsid w:val="003A7B10"/>
    <w:rsid w:val="003B0550"/>
    <w:rsid w:val="003B5295"/>
    <w:rsid w:val="003B52E1"/>
    <w:rsid w:val="003B694F"/>
    <w:rsid w:val="003C3F38"/>
    <w:rsid w:val="003C4165"/>
    <w:rsid w:val="003D4CDB"/>
    <w:rsid w:val="003E2A33"/>
    <w:rsid w:val="003F171C"/>
    <w:rsid w:val="003F46F3"/>
    <w:rsid w:val="00406102"/>
    <w:rsid w:val="00412FC5"/>
    <w:rsid w:val="004163B0"/>
    <w:rsid w:val="00416E3E"/>
    <w:rsid w:val="00422276"/>
    <w:rsid w:val="004242F1"/>
    <w:rsid w:val="00445A00"/>
    <w:rsid w:val="00447A42"/>
    <w:rsid w:val="00450902"/>
    <w:rsid w:val="00451B0F"/>
    <w:rsid w:val="00471000"/>
    <w:rsid w:val="00472E43"/>
    <w:rsid w:val="00481A7D"/>
    <w:rsid w:val="004845F4"/>
    <w:rsid w:val="00484DA7"/>
    <w:rsid w:val="004C2EE3"/>
    <w:rsid w:val="004C6A50"/>
    <w:rsid w:val="004D50D9"/>
    <w:rsid w:val="004E11BB"/>
    <w:rsid w:val="004E1ED6"/>
    <w:rsid w:val="004E4A22"/>
    <w:rsid w:val="004E5236"/>
    <w:rsid w:val="004E5EA7"/>
    <w:rsid w:val="004E7DD0"/>
    <w:rsid w:val="00511968"/>
    <w:rsid w:val="00521CFB"/>
    <w:rsid w:val="00522972"/>
    <w:rsid w:val="00534B1E"/>
    <w:rsid w:val="00551DB7"/>
    <w:rsid w:val="00554A15"/>
    <w:rsid w:val="0055614C"/>
    <w:rsid w:val="005702B1"/>
    <w:rsid w:val="00583430"/>
    <w:rsid w:val="0058435F"/>
    <w:rsid w:val="005A564D"/>
    <w:rsid w:val="005C363A"/>
    <w:rsid w:val="005C6831"/>
    <w:rsid w:val="005C7682"/>
    <w:rsid w:val="005E14C2"/>
    <w:rsid w:val="005E5B68"/>
    <w:rsid w:val="005F2CCF"/>
    <w:rsid w:val="006028F2"/>
    <w:rsid w:val="006054FC"/>
    <w:rsid w:val="00607BA5"/>
    <w:rsid w:val="0061180A"/>
    <w:rsid w:val="0062556A"/>
    <w:rsid w:val="00626E90"/>
    <w:rsid w:val="00626EB6"/>
    <w:rsid w:val="0063587B"/>
    <w:rsid w:val="00654E30"/>
    <w:rsid w:val="00655D03"/>
    <w:rsid w:val="006619B2"/>
    <w:rsid w:val="006639CF"/>
    <w:rsid w:val="00673C94"/>
    <w:rsid w:val="00676418"/>
    <w:rsid w:val="00681D51"/>
    <w:rsid w:val="00683388"/>
    <w:rsid w:val="0068341A"/>
    <w:rsid w:val="0068353F"/>
    <w:rsid w:val="00683F84"/>
    <w:rsid w:val="00684176"/>
    <w:rsid w:val="006853BA"/>
    <w:rsid w:val="006A42D4"/>
    <w:rsid w:val="006A6A81"/>
    <w:rsid w:val="006C0DCC"/>
    <w:rsid w:val="006C71E8"/>
    <w:rsid w:val="006E2E8A"/>
    <w:rsid w:val="006F0BF9"/>
    <w:rsid w:val="006F5080"/>
    <w:rsid w:val="006F7393"/>
    <w:rsid w:val="0070224F"/>
    <w:rsid w:val="007115F7"/>
    <w:rsid w:val="0071545C"/>
    <w:rsid w:val="0071571A"/>
    <w:rsid w:val="00716EC0"/>
    <w:rsid w:val="00717C46"/>
    <w:rsid w:val="00720AB0"/>
    <w:rsid w:val="00725ADA"/>
    <w:rsid w:val="00742719"/>
    <w:rsid w:val="00750252"/>
    <w:rsid w:val="00763942"/>
    <w:rsid w:val="007723B9"/>
    <w:rsid w:val="00773090"/>
    <w:rsid w:val="00781C68"/>
    <w:rsid w:val="00782733"/>
    <w:rsid w:val="00785689"/>
    <w:rsid w:val="007925BC"/>
    <w:rsid w:val="0079754B"/>
    <w:rsid w:val="007A0659"/>
    <w:rsid w:val="007A1E6D"/>
    <w:rsid w:val="007B01A8"/>
    <w:rsid w:val="007B0EB2"/>
    <w:rsid w:val="007D4726"/>
    <w:rsid w:val="007E060B"/>
    <w:rsid w:val="007F5C82"/>
    <w:rsid w:val="00800386"/>
    <w:rsid w:val="00805335"/>
    <w:rsid w:val="00806BDF"/>
    <w:rsid w:val="00810B6F"/>
    <w:rsid w:val="00812161"/>
    <w:rsid w:val="00822CE0"/>
    <w:rsid w:val="00841780"/>
    <w:rsid w:val="00841AB1"/>
    <w:rsid w:val="008442ED"/>
    <w:rsid w:val="00854DF9"/>
    <w:rsid w:val="008765EA"/>
    <w:rsid w:val="00890688"/>
    <w:rsid w:val="00894002"/>
    <w:rsid w:val="008C68F1"/>
    <w:rsid w:val="008D46EF"/>
    <w:rsid w:val="008D4E61"/>
    <w:rsid w:val="008D7252"/>
    <w:rsid w:val="008E13AF"/>
    <w:rsid w:val="008E1B99"/>
    <w:rsid w:val="008F2B3D"/>
    <w:rsid w:val="008F56E7"/>
    <w:rsid w:val="008F74B0"/>
    <w:rsid w:val="008F7AD7"/>
    <w:rsid w:val="00915AD2"/>
    <w:rsid w:val="00921803"/>
    <w:rsid w:val="009252E9"/>
    <w:rsid w:val="00926503"/>
    <w:rsid w:val="00932C88"/>
    <w:rsid w:val="00934AD8"/>
    <w:rsid w:val="00940690"/>
    <w:rsid w:val="00941F5B"/>
    <w:rsid w:val="00954EF1"/>
    <w:rsid w:val="0096198C"/>
    <w:rsid w:val="00964F45"/>
    <w:rsid w:val="009726D8"/>
    <w:rsid w:val="0098112F"/>
    <w:rsid w:val="00985FF6"/>
    <w:rsid w:val="009B3FCE"/>
    <w:rsid w:val="009C0020"/>
    <w:rsid w:val="009C1DAC"/>
    <w:rsid w:val="009D5E0F"/>
    <w:rsid w:val="009E4A6D"/>
    <w:rsid w:val="009E69F5"/>
    <w:rsid w:val="009F76DB"/>
    <w:rsid w:val="00A00CEC"/>
    <w:rsid w:val="00A05A5C"/>
    <w:rsid w:val="00A1163E"/>
    <w:rsid w:val="00A13AAD"/>
    <w:rsid w:val="00A32717"/>
    <w:rsid w:val="00A32C3B"/>
    <w:rsid w:val="00A43274"/>
    <w:rsid w:val="00A45041"/>
    <w:rsid w:val="00A45F4F"/>
    <w:rsid w:val="00A52471"/>
    <w:rsid w:val="00A600A9"/>
    <w:rsid w:val="00A747C3"/>
    <w:rsid w:val="00A878E6"/>
    <w:rsid w:val="00AA37B1"/>
    <w:rsid w:val="00AA55B7"/>
    <w:rsid w:val="00AA5B9E"/>
    <w:rsid w:val="00AB2407"/>
    <w:rsid w:val="00AB53DF"/>
    <w:rsid w:val="00AD12C6"/>
    <w:rsid w:val="00AE0D7B"/>
    <w:rsid w:val="00AE2186"/>
    <w:rsid w:val="00AF5302"/>
    <w:rsid w:val="00B07E5C"/>
    <w:rsid w:val="00B41230"/>
    <w:rsid w:val="00B41432"/>
    <w:rsid w:val="00B53CB5"/>
    <w:rsid w:val="00B6607B"/>
    <w:rsid w:val="00B71C83"/>
    <w:rsid w:val="00B77532"/>
    <w:rsid w:val="00B811F7"/>
    <w:rsid w:val="00B83A8B"/>
    <w:rsid w:val="00B92461"/>
    <w:rsid w:val="00B95441"/>
    <w:rsid w:val="00BA3B1F"/>
    <w:rsid w:val="00BA5DC6"/>
    <w:rsid w:val="00BA6196"/>
    <w:rsid w:val="00BA7548"/>
    <w:rsid w:val="00BB40C1"/>
    <w:rsid w:val="00BC4CF4"/>
    <w:rsid w:val="00BC5988"/>
    <w:rsid w:val="00BC6D8C"/>
    <w:rsid w:val="00BD41A6"/>
    <w:rsid w:val="00BF6C3D"/>
    <w:rsid w:val="00C05BC2"/>
    <w:rsid w:val="00C132E7"/>
    <w:rsid w:val="00C156B0"/>
    <w:rsid w:val="00C27082"/>
    <w:rsid w:val="00C33C5A"/>
    <w:rsid w:val="00C34006"/>
    <w:rsid w:val="00C426B1"/>
    <w:rsid w:val="00C525CB"/>
    <w:rsid w:val="00C529D7"/>
    <w:rsid w:val="00C549F4"/>
    <w:rsid w:val="00C647A0"/>
    <w:rsid w:val="00C66160"/>
    <w:rsid w:val="00C721AC"/>
    <w:rsid w:val="00C75756"/>
    <w:rsid w:val="00C76D16"/>
    <w:rsid w:val="00C82593"/>
    <w:rsid w:val="00C90D6A"/>
    <w:rsid w:val="00C943E3"/>
    <w:rsid w:val="00C95FC3"/>
    <w:rsid w:val="00CA247E"/>
    <w:rsid w:val="00CA4385"/>
    <w:rsid w:val="00CA7B1D"/>
    <w:rsid w:val="00CB3FF6"/>
    <w:rsid w:val="00CC3CDB"/>
    <w:rsid w:val="00CC72B6"/>
    <w:rsid w:val="00CD72C5"/>
    <w:rsid w:val="00D011DA"/>
    <w:rsid w:val="00D0218D"/>
    <w:rsid w:val="00D17B73"/>
    <w:rsid w:val="00D233AB"/>
    <w:rsid w:val="00D253EF"/>
    <w:rsid w:val="00D25FB5"/>
    <w:rsid w:val="00D31953"/>
    <w:rsid w:val="00D44223"/>
    <w:rsid w:val="00D73E70"/>
    <w:rsid w:val="00D76297"/>
    <w:rsid w:val="00DA2529"/>
    <w:rsid w:val="00DA37C0"/>
    <w:rsid w:val="00DB130A"/>
    <w:rsid w:val="00DB2EBB"/>
    <w:rsid w:val="00DB5ADB"/>
    <w:rsid w:val="00DC10A1"/>
    <w:rsid w:val="00DC305B"/>
    <w:rsid w:val="00DC655F"/>
    <w:rsid w:val="00DD0B59"/>
    <w:rsid w:val="00DD7EBD"/>
    <w:rsid w:val="00DE6518"/>
    <w:rsid w:val="00DF23A4"/>
    <w:rsid w:val="00DF2581"/>
    <w:rsid w:val="00DF4FEA"/>
    <w:rsid w:val="00DF62B6"/>
    <w:rsid w:val="00E07225"/>
    <w:rsid w:val="00E143A7"/>
    <w:rsid w:val="00E36E84"/>
    <w:rsid w:val="00E37263"/>
    <w:rsid w:val="00E50534"/>
    <w:rsid w:val="00E52C77"/>
    <w:rsid w:val="00E5409F"/>
    <w:rsid w:val="00E56E7F"/>
    <w:rsid w:val="00E62C9F"/>
    <w:rsid w:val="00E63894"/>
    <w:rsid w:val="00E673EC"/>
    <w:rsid w:val="00E74DDE"/>
    <w:rsid w:val="00EC30EF"/>
    <w:rsid w:val="00ED4369"/>
    <w:rsid w:val="00EE22FE"/>
    <w:rsid w:val="00EE6488"/>
    <w:rsid w:val="00F021FA"/>
    <w:rsid w:val="00F1062B"/>
    <w:rsid w:val="00F12B1B"/>
    <w:rsid w:val="00F12B89"/>
    <w:rsid w:val="00F1328B"/>
    <w:rsid w:val="00F13D75"/>
    <w:rsid w:val="00F15A1B"/>
    <w:rsid w:val="00F168ED"/>
    <w:rsid w:val="00F21475"/>
    <w:rsid w:val="00F4153D"/>
    <w:rsid w:val="00F43B57"/>
    <w:rsid w:val="00F47EE3"/>
    <w:rsid w:val="00F62E97"/>
    <w:rsid w:val="00F637BD"/>
    <w:rsid w:val="00F64209"/>
    <w:rsid w:val="00F862AC"/>
    <w:rsid w:val="00F93BF5"/>
    <w:rsid w:val="00F9569D"/>
    <w:rsid w:val="00FC2F29"/>
    <w:rsid w:val="00FD245D"/>
    <w:rsid w:val="00FF1555"/>
    <w:rsid w:val="00FF3B74"/>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0388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6C0DCC"/>
    <w:pPr>
      <w:numPr>
        <w:numId w:val="2"/>
      </w:numPr>
      <w:tabs>
        <w:tab w:val="clear" w:pos="1080"/>
      </w:tabs>
      <w:spacing w:after="120"/>
    </w:pPr>
  </w:style>
  <w:style w:type="paragraph" w:styleId="EndnoteText">
    <w:name w:val="endnote text"/>
    <w:basedOn w:val="Normal"/>
    <w:semiHidden/>
    <w:rsid w:val="00330309"/>
    <w:rPr>
      <w:sz w:val="20"/>
    </w:rPr>
  </w:style>
  <w:style w:type="character" w:styleId="EndnoteReference">
    <w:name w:val="endnote reference"/>
    <w:semiHidden/>
    <w:rsid w:val="00330309"/>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
    <w:link w:val="FootnoteTextChar"/>
    <w:rsid w:val="000E3D42"/>
    <w:pPr>
      <w:spacing w:after="120"/>
    </w:pPr>
  </w:style>
  <w:style w:type="character" w:styleId="FootnoteReference">
    <w:name w:val="footnote reference"/>
    <w:aliases w:val="Appel note de bas de p,Style 12,(NECG) Footnote Reference,Style 124,Style 13,fr,o,Style 3,FR,Style 17,Style 6,Footnote Reference/,Style 4"/>
    <w:rsid w:val="00A32C3B"/>
    <w:rPr>
      <w:rFonts w:ascii="Times New Roman" w:hAnsi="Times New Roman"/>
      <w:dstrike w:val="0"/>
      <w:color w:val="auto"/>
      <w:sz w:val="20"/>
      <w:vertAlign w:val="superscript"/>
    </w:rPr>
  </w:style>
  <w:style w:type="paragraph" w:styleId="TOC1">
    <w:name w:val="toc 1"/>
    <w:basedOn w:val="Normal"/>
    <w:next w:val="Normal"/>
    <w:semiHidden/>
    <w:rsid w:val="00330309"/>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30309"/>
    <w:pPr>
      <w:tabs>
        <w:tab w:val="left" w:pos="720"/>
        <w:tab w:val="right" w:leader="dot" w:pos="9360"/>
      </w:tabs>
      <w:suppressAutoHyphens/>
      <w:ind w:left="720" w:right="720" w:hanging="360"/>
    </w:pPr>
    <w:rPr>
      <w:noProof/>
    </w:rPr>
  </w:style>
  <w:style w:type="paragraph" w:styleId="TOC3">
    <w:name w:val="toc 3"/>
    <w:basedOn w:val="Normal"/>
    <w:next w:val="Normal"/>
    <w:semiHidden/>
    <w:rsid w:val="0033030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3030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3030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3030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3030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3030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3030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30309"/>
    <w:pPr>
      <w:tabs>
        <w:tab w:val="right" w:pos="9360"/>
      </w:tabs>
      <w:suppressAutoHyphens/>
    </w:pPr>
  </w:style>
  <w:style w:type="character" w:customStyle="1" w:styleId="EquationCaption">
    <w:name w:val="_Equation Caption"/>
    <w:rsid w:val="00330309"/>
  </w:style>
  <w:style w:type="paragraph" w:styleId="Header">
    <w:name w:val="header"/>
    <w:basedOn w:val="Normal"/>
    <w:autoRedefine/>
    <w:rsid w:val="00330309"/>
    <w:pPr>
      <w:tabs>
        <w:tab w:val="center" w:pos="4680"/>
        <w:tab w:val="right" w:pos="9360"/>
      </w:tabs>
    </w:pPr>
    <w:rPr>
      <w:b/>
    </w:rPr>
  </w:style>
  <w:style w:type="paragraph" w:styleId="Footer">
    <w:name w:val="footer"/>
    <w:basedOn w:val="Normal"/>
    <w:rsid w:val="00330309"/>
    <w:pPr>
      <w:tabs>
        <w:tab w:val="center" w:pos="4320"/>
        <w:tab w:val="right" w:pos="8640"/>
      </w:tabs>
    </w:pPr>
  </w:style>
  <w:style w:type="character" w:styleId="PageNumber">
    <w:name w:val="page number"/>
    <w:basedOn w:val="DefaultParagraphFont"/>
    <w:rsid w:val="00330309"/>
  </w:style>
  <w:style w:type="paragraph" w:styleId="BlockText">
    <w:name w:val="Block Text"/>
    <w:basedOn w:val="Normal"/>
    <w:rsid w:val="00330309"/>
    <w:pPr>
      <w:spacing w:after="240"/>
      <w:ind w:left="1440" w:right="1440"/>
    </w:pPr>
  </w:style>
  <w:style w:type="paragraph" w:customStyle="1" w:styleId="Paratitle">
    <w:name w:val="Para title"/>
    <w:basedOn w:val="Normal"/>
    <w:rsid w:val="00330309"/>
    <w:pPr>
      <w:tabs>
        <w:tab w:val="center" w:pos="9270"/>
      </w:tabs>
      <w:spacing w:after="240"/>
    </w:pPr>
    <w:rPr>
      <w:spacing w:val="-2"/>
    </w:rPr>
  </w:style>
  <w:style w:type="paragraph" w:customStyle="1" w:styleId="Bullet">
    <w:name w:val="Bullet"/>
    <w:basedOn w:val="Normal"/>
    <w:rsid w:val="00330309"/>
    <w:pPr>
      <w:tabs>
        <w:tab w:val="left" w:pos="2160"/>
      </w:tabs>
      <w:spacing w:after="220"/>
      <w:ind w:left="2160" w:hanging="720"/>
    </w:pPr>
  </w:style>
  <w:style w:type="paragraph" w:customStyle="1" w:styleId="TableFormat">
    <w:name w:val="TableFormat"/>
    <w:basedOn w:val="Bullet"/>
    <w:rsid w:val="00330309"/>
    <w:pPr>
      <w:tabs>
        <w:tab w:val="clear" w:pos="2160"/>
        <w:tab w:val="left" w:pos="5040"/>
      </w:tabs>
      <w:ind w:left="5040" w:hanging="3600"/>
    </w:pPr>
  </w:style>
  <w:style w:type="paragraph" w:customStyle="1" w:styleId="TOCTitle">
    <w:name w:val="TOC Title"/>
    <w:basedOn w:val="Normal"/>
    <w:rsid w:val="0033030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D30C6"/>
    <w:pPr>
      <w:jc w:val="center"/>
    </w:pPr>
    <w:rPr>
      <w:rFonts w:ascii="Times New Roman Bold" w:hAnsi="Times New Roman Bold"/>
      <w:b/>
      <w:bCs/>
      <w:szCs w:val="22"/>
    </w:rPr>
  </w:style>
  <w:style w:type="character" w:styleId="Hyperlink">
    <w:name w:val="Hyperlink"/>
    <w:rsid w:val="002A2D2E"/>
    <w:rPr>
      <w:color w:val="0000FF"/>
      <w:u w:val="single"/>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f Char"/>
    <w:basedOn w:val="DefaultParagraphFont"/>
    <w:link w:val="FootnoteText"/>
    <w:rsid w:val="006619B2"/>
  </w:style>
  <w:style w:type="character" w:customStyle="1" w:styleId="ParaNumChar">
    <w:name w:val="ParaNum Char"/>
    <w:link w:val="ParaNum"/>
    <w:rsid w:val="006C0DCC"/>
    <w:rPr>
      <w:snapToGrid w:val="0"/>
      <w:kern w:val="28"/>
      <w:sz w:val="22"/>
    </w:rPr>
  </w:style>
  <w:style w:type="character" w:customStyle="1" w:styleId="ParaNumChar1">
    <w:name w:val="ParaNum Char1"/>
    <w:locked/>
    <w:rsid w:val="00890688"/>
    <w:rPr>
      <w:snapToGrid w:val="0"/>
      <w:kern w:val="28"/>
      <w:sz w:val="22"/>
    </w:rPr>
  </w:style>
  <w:style w:type="paragraph" w:styleId="BalloonText">
    <w:name w:val="Balloon Text"/>
    <w:basedOn w:val="Normal"/>
    <w:link w:val="BalloonTextChar"/>
    <w:semiHidden/>
    <w:unhideWhenUsed/>
    <w:rsid w:val="00385738"/>
    <w:rPr>
      <w:rFonts w:ascii="Segoe UI" w:hAnsi="Segoe UI" w:cs="Segoe UI"/>
      <w:sz w:val="18"/>
      <w:szCs w:val="18"/>
    </w:rPr>
  </w:style>
  <w:style w:type="character" w:customStyle="1" w:styleId="BalloonTextChar">
    <w:name w:val="Balloon Text Char"/>
    <w:basedOn w:val="DefaultParagraphFont"/>
    <w:link w:val="BalloonText"/>
    <w:semiHidden/>
    <w:rsid w:val="00385738"/>
    <w:rPr>
      <w:rFonts w:ascii="Segoe UI" w:hAnsi="Segoe UI" w:cs="Segoe UI"/>
      <w:snapToGrid w:val="0"/>
      <w:kern w:val="28"/>
      <w:sz w:val="18"/>
      <w:szCs w:val="18"/>
    </w:rPr>
  </w:style>
  <w:style w:type="character" w:styleId="CommentReference">
    <w:name w:val="annotation reference"/>
    <w:basedOn w:val="DefaultParagraphFont"/>
    <w:semiHidden/>
    <w:unhideWhenUsed/>
    <w:rsid w:val="00D253EF"/>
    <w:rPr>
      <w:sz w:val="16"/>
      <w:szCs w:val="16"/>
    </w:rPr>
  </w:style>
  <w:style w:type="paragraph" w:styleId="CommentText">
    <w:name w:val="annotation text"/>
    <w:basedOn w:val="Normal"/>
    <w:link w:val="CommentTextChar"/>
    <w:unhideWhenUsed/>
    <w:rsid w:val="00D253EF"/>
    <w:rPr>
      <w:sz w:val="20"/>
    </w:rPr>
  </w:style>
  <w:style w:type="character" w:customStyle="1" w:styleId="CommentTextChar">
    <w:name w:val="Comment Text Char"/>
    <w:basedOn w:val="DefaultParagraphFont"/>
    <w:link w:val="CommentText"/>
    <w:rsid w:val="00D253EF"/>
    <w:rPr>
      <w:snapToGrid w:val="0"/>
      <w:kern w:val="28"/>
    </w:rPr>
  </w:style>
  <w:style w:type="paragraph" w:styleId="CommentSubject">
    <w:name w:val="annotation subject"/>
    <w:basedOn w:val="CommentText"/>
    <w:next w:val="CommentText"/>
    <w:link w:val="CommentSubjectChar"/>
    <w:semiHidden/>
    <w:unhideWhenUsed/>
    <w:rsid w:val="00D253EF"/>
    <w:rPr>
      <w:b/>
      <w:bCs/>
    </w:rPr>
  </w:style>
  <w:style w:type="character" w:customStyle="1" w:styleId="CommentSubjectChar">
    <w:name w:val="Comment Subject Char"/>
    <w:basedOn w:val="CommentTextChar"/>
    <w:link w:val="CommentSubject"/>
    <w:semiHidden/>
    <w:rsid w:val="00D253EF"/>
    <w:rPr>
      <w:b/>
      <w:bCs/>
      <w:snapToGrid w:val="0"/>
      <w:kern w:val="28"/>
    </w:rPr>
  </w:style>
  <w:style w:type="paragraph" w:styleId="Revision">
    <w:name w:val="Revision"/>
    <w:hidden/>
    <w:uiPriority w:val="99"/>
    <w:semiHidden/>
    <w:rsid w:val="006054FC"/>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6C0DCC"/>
    <w:pPr>
      <w:numPr>
        <w:numId w:val="2"/>
      </w:numPr>
      <w:tabs>
        <w:tab w:val="clear" w:pos="1080"/>
      </w:tabs>
      <w:spacing w:after="120"/>
    </w:pPr>
  </w:style>
  <w:style w:type="paragraph" w:styleId="EndnoteText">
    <w:name w:val="endnote text"/>
    <w:basedOn w:val="Normal"/>
    <w:semiHidden/>
    <w:rsid w:val="00330309"/>
    <w:rPr>
      <w:sz w:val="20"/>
    </w:rPr>
  </w:style>
  <w:style w:type="character" w:styleId="EndnoteReference">
    <w:name w:val="endnote reference"/>
    <w:semiHidden/>
    <w:rsid w:val="00330309"/>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
    <w:link w:val="FootnoteTextChar"/>
    <w:rsid w:val="000E3D42"/>
    <w:pPr>
      <w:spacing w:after="120"/>
    </w:pPr>
  </w:style>
  <w:style w:type="character" w:styleId="FootnoteReference">
    <w:name w:val="footnote reference"/>
    <w:aliases w:val="Appel note de bas de p,Style 12,(NECG) Footnote Reference,Style 124,Style 13,fr,o,Style 3,FR,Style 17,Style 6,Footnote Reference/,Style 4"/>
    <w:rsid w:val="00A32C3B"/>
    <w:rPr>
      <w:rFonts w:ascii="Times New Roman" w:hAnsi="Times New Roman"/>
      <w:dstrike w:val="0"/>
      <w:color w:val="auto"/>
      <w:sz w:val="20"/>
      <w:vertAlign w:val="superscript"/>
    </w:rPr>
  </w:style>
  <w:style w:type="paragraph" w:styleId="TOC1">
    <w:name w:val="toc 1"/>
    <w:basedOn w:val="Normal"/>
    <w:next w:val="Normal"/>
    <w:semiHidden/>
    <w:rsid w:val="00330309"/>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30309"/>
    <w:pPr>
      <w:tabs>
        <w:tab w:val="left" w:pos="720"/>
        <w:tab w:val="right" w:leader="dot" w:pos="9360"/>
      </w:tabs>
      <w:suppressAutoHyphens/>
      <w:ind w:left="720" w:right="720" w:hanging="360"/>
    </w:pPr>
    <w:rPr>
      <w:noProof/>
    </w:rPr>
  </w:style>
  <w:style w:type="paragraph" w:styleId="TOC3">
    <w:name w:val="toc 3"/>
    <w:basedOn w:val="Normal"/>
    <w:next w:val="Normal"/>
    <w:semiHidden/>
    <w:rsid w:val="0033030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3030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3030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3030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3030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3030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3030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30309"/>
    <w:pPr>
      <w:tabs>
        <w:tab w:val="right" w:pos="9360"/>
      </w:tabs>
      <w:suppressAutoHyphens/>
    </w:pPr>
  </w:style>
  <w:style w:type="character" w:customStyle="1" w:styleId="EquationCaption">
    <w:name w:val="_Equation Caption"/>
    <w:rsid w:val="00330309"/>
  </w:style>
  <w:style w:type="paragraph" w:styleId="Header">
    <w:name w:val="header"/>
    <w:basedOn w:val="Normal"/>
    <w:autoRedefine/>
    <w:rsid w:val="00330309"/>
    <w:pPr>
      <w:tabs>
        <w:tab w:val="center" w:pos="4680"/>
        <w:tab w:val="right" w:pos="9360"/>
      </w:tabs>
    </w:pPr>
    <w:rPr>
      <w:b/>
    </w:rPr>
  </w:style>
  <w:style w:type="paragraph" w:styleId="Footer">
    <w:name w:val="footer"/>
    <w:basedOn w:val="Normal"/>
    <w:rsid w:val="00330309"/>
    <w:pPr>
      <w:tabs>
        <w:tab w:val="center" w:pos="4320"/>
        <w:tab w:val="right" w:pos="8640"/>
      </w:tabs>
    </w:pPr>
  </w:style>
  <w:style w:type="character" w:styleId="PageNumber">
    <w:name w:val="page number"/>
    <w:basedOn w:val="DefaultParagraphFont"/>
    <w:rsid w:val="00330309"/>
  </w:style>
  <w:style w:type="paragraph" w:styleId="BlockText">
    <w:name w:val="Block Text"/>
    <w:basedOn w:val="Normal"/>
    <w:rsid w:val="00330309"/>
    <w:pPr>
      <w:spacing w:after="240"/>
      <w:ind w:left="1440" w:right="1440"/>
    </w:pPr>
  </w:style>
  <w:style w:type="paragraph" w:customStyle="1" w:styleId="Paratitle">
    <w:name w:val="Para title"/>
    <w:basedOn w:val="Normal"/>
    <w:rsid w:val="00330309"/>
    <w:pPr>
      <w:tabs>
        <w:tab w:val="center" w:pos="9270"/>
      </w:tabs>
      <w:spacing w:after="240"/>
    </w:pPr>
    <w:rPr>
      <w:spacing w:val="-2"/>
    </w:rPr>
  </w:style>
  <w:style w:type="paragraph" w:customStyle="1" w:styleId="Bullet">
    <w:name w:val="Bullet"/>
    <w:basedOn w:val="Normal"/>
    <w:rsid w:val="00330309"/>
    <w:pPr>
      <w:tabs>
        <w:tab w:val="left" w:pos="2160"/>
      </w:tabs>
      <w:spacing w:after="220"/>
      <w:ind w:left="2160" w:hanging="720"/>
    </w:pPr>
  </w:style>
  <w:style w:type="paragraph" w:customStyle="1" w:styleId="TableFormat">
    <w:name w:val="TableFormat"/>
    <w:basedOn w:val="Bullet"/>
    <w:rsid w:val="00330309"/>
    <w:pPr>
      <w:tabs>
        <w:tab w:val="clear" w:pos="2160"/>
        <w:tab w:val="left" w:pos="5040"/>
      </w:tabs>
      <w:ind w:left="5040" w:hanging="3600"/>
    </w:pPr>
  </w:style>
  <w:style w:type="paragraph" w:customStyle="1" w:styleId="TOCTitle">
    <w:name w:val="TOC Title"/>
    <w:basedOn w:val="Normal"/>
    <w:rsid w:val="0033030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D30C6"/>
    <w:pPr>
      <w:jc w:val="center"/>
    </w:pPr>
    <w:rPr>
      <w:rFonts w:ascii="Times New Roman Bold" w:hAnsi="Times New Roman Bold"/>
      <w:b/>
      <w:bCs/>
      <w:szCs w:val="22"/>
    </w:rPr>
  </w:style>
  <w:style w:type="character" w:styleId="Hyperlink">
    <w:name w:val="Hyperlink"/>
    <w:rsid w:val="002A2D2E"/>
    <w:rPr>
      <w:color w:val="0000FF"/>
      <w:u w:val="single"/>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f Char"/>
    <w:basedOn w:val="DefaultParagraphFont"/>
    <w:link w:val="FootnoteText"/>
    <w:rsid w:val="006619B2"/>
  </w:style>
  <w:style w:type="character" w:customStyle="1" w:styleId="ParaNumChar">
    <w:name w:val="ParaNum Char"/>
    <w:link w:val="ParaNum"/>
    <w:rsid w:val="006C0DCC"/>
    <w:rPr>
      <w:snapToGrid w:val="0"/>
      <w:kern w:val="28"/>
      <w:sz w:val="22"/>
    </w:rPr>
  </w:style>
  <w:style w:type="character" w:customStyle="1" w:styleId="ParaNumChar1">
    <w:name w:val="ParaNum Char1"/>
    <w:locked/>
    <w:rsid w:val="00890688"/>
    <w:rPr>
      <w:snapToGrid w:val="0"/>
      <w:kern w:val="28"/>
      <w:sz w:val="22"/>
    </w:rPr>
  </w:style>
  <w:style w:type="paragraph" w:styleId="BalloonText">
    <w:name w:val="Balloon Text"/>
    <w:basedOn w:val="Normal"/>
    <w:link w:val="BalloonTextChar"/>
    <w:semiHidden/>
    <w:unhideWhenUsed/>
    <w:rsid w:val="00385738"/>
    <w:rPr>
      <w:rFonts w:ascii="Segoe UI" w:hAnsi="Segoe UI" w:cs="Segoe UI"/>
      <w:sz w:val="18"/>
      <w:szCs w:val="18"/>
    </w:rPr>
  </w:style>
  <w:style w:type="character" w:customStyle="1" w:styleId="BalloonTextChar">
    <w:name w:val="Balloon Text Char"/>
    <w:basedOn w:val="DefaultParagraphFont"/>
    <w:link w:val="BalloonText"/>
    <w:semiHidden/>
    <w:rsid w:val="00385738"/>
    <w:rPr>
      <w:rFonts w:ascii="Segoe UI" w:hAnsi="Segoe UI" w:cs="Segoe UI"/>
      <w:snapToGrid w:val="0"/>
      <w:kern w:val="28"/>
      <w:sz w:val="18"/>
      <w:szCs w:val="18"/>
    </w:rPr>
  </w:style>
  <w:style w:type="character" w:styleId="CommentReference">
    <w:name w:val="annotation reference"/>
    <w:basedOn w:val="DefaultParagraphFont"/>
    <w:semiHidden/>
    <w:unhideWhenUsed/>
    <w:rsid w:val="00D253EF"/>
    <w:rPr>
      <w:sz w:val="16"/>
      <w:szCs w:val="16"/>
    </w:rPr>
  </w:style>
  <w:style w:type="paragraph" w:styleId="CommentText">
    <w:name w:val="annotation text"/>
    <w:basedOn w:val="Normal"/>
    <w:link w:val="CommentTextChar"/>
    <w:unhideWhenUsed/>
    <w:rsid w:val="00D253EF"/>
    <w:rPr>
      <w:sz w:val="20"/>
    </w:rPr>
  </w:style>
  <w:style w:type="character" w:customStyle="1" w:styleId="CommentTextChar">
    <w:name w:val="Comment Text Char"/>
    <w:basedOn w:val="DefaultParagraphFont"/>
    <w:link w:val="CommentText"/>
    <w:rsid w:val="00D253EF"/>
    <w:rPr>
      <w:snapToGrid w:val="0"/>
      <w:kern w:val="28"/>
    </w:rPr>
  </w:style>
  <w:style w:type="paragraph" w:styleId="CommentSubject">
    <w:name w:val="annotation subject"/>
    <w:basedOn w:val="CommentText"/>
    <w:next w:val="CommentText"/>
    <w:link w:val="CommentSubjectChar"/>
    <w:semiHidden/>
    <w:unhideWhenUsed/>
    <w:rsid w:val="00D253EF"/>
    <w:rPr>
      <w:b/>
      <w:bCs/>
    </w:rPr>
  </w:style>
  <w:style w:type="character" w:customStyle="1" w:styleId="CommentSubjectChar">
    <w:name w:val="Comment Subject Char"/>
    <w:basedOn w:val="CommentTextChar"/>
    <w:link w:val="CommentSubject"/>
    <w:semiHidden/>
    <w:rsid w:val="00D253EF"/>
    <w:rPr>
      <w:b/>
      <w:bCs/>
      <w:snapToGrid w:val="0"/>
      <w:kern w:val="28"/>
    </w:rPr>
  </w:style>
  <w:style w:type="paragraph" w:styleId="Revision">
    <w:name w:val="Revision"/>
    <w:hidden/>
    <w:uiPriority w:val="99"/>
    <w:semiHidden/>
    <w:rsid w:val="006054FC"/>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c504@fcc.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general/telecommunications-relay-services-tr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na.wilson\AppData\Local\Microsoft\Windows\Temporary%20Internet%20Files\Content.MSO\77E76F9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77E76F9F</Template>
  <TotalTime>0</TotalTime>
  <Pages>3</Pages>
  <Words>2522</Words>
  <Characters>14189</Characters>
  <Application>Microsoft Office Word</Application>
  <DocSecurity>0</DocSecurity>
  <Lines>221</Lines>
  <Paragraphs>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16740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2016-08-23T20:06:00Z</cp:lastPrinted>
  <dcterms:created xsi:type="dcterms:W3CDTF">2016-08-24T13:38:00Z</dcterms:created>
  <dcterms:modified xsi:type="dcterms:W3CDTF">2016-08-24T13:38:00Z</dcterms:modified>
  <cp:category> </cp:category>
  <cp:contentStatus> </cp:contentStatus>
</cp:coreProperties>
</file>