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3.0.0 -->
  <w:body>
    <w:p w:rsidR="0013719D" w:rsidRPr="0008480C" w:rsidP="0013719D">
      <w:pPr>
        <w:jc w:val="center"/>
        <w:rPr>
          <w:b/>
        </w:rPr>
      </w:pPr>
      <w:bookmarkStart w:id="0" w:name="_GoBack"/>
      <w:bookmarkEnd w:id="0"/>
      <w:r w:rsidRPr="0008480C">
        <w:rPr>
          <w:rFonts w:ascii="Times New Roman Bold" w:hAnsi="Times New Roman Bold"/>
          <w:b/>
          <w:kern w:val="0"/>
          <w:szCs w:val="22"/>
        </w:rPr>
        <w:t>Before</w:t>
      </w:r>
      <w:r w:rsidRPr="0008480C">
        <w:rPr>
          <w:b/>
        </w:rPr>
        <w:t xml:space="preserve"> the</w:t>
      </w:r>
    </w:p>
    <w:p w:rsidR="0013719D" w:rsidRPr="0008480C" w:rsidP="0013719D">
      <w:pPr>
        <w:jc w:val="center"/>
        <w:rPr>
          <w:rFonts w:ascii="Times New Roman Bold" w:hAnsi="Times New Roman Bold"/>
          <w:b/>
          <w:bCs/>
          <w:caps/>
          <w:szCs w:val="22"/>
        </w:rPr>
      </w:pPr>
      <w:r w:rsidRPr="0008480C">
        <w:rPr>
          <w:rFonts w:ascii="Times New Roman Bold" w:hAnsi="Times New Roman Bold"/>
          <w:b/>
          <w:bCs/>
          <w:caps/>
          <w:szCs w:val="22"/>
        </w:rPr>
        <w:t>F</w:t>
      </w:r>
      <w:r w:rsidRPr="0008480C">
        <w:rPr>
          <w:rFonts w:ascii="Times New Roman Bold" w:hAnsi="Times New Roman Bold"/>
          <w:b/>
          <w:bCs/>
          <w:szCs w:val="22"/>
        </w:rPr>
        <w:t>ederal Communications Commission</w:t>
      </w:r>
    </w:p>
    <w:p w:rsidR="0013719D" w:rsidRPr="0008480C" w:rsidP="0013719D">
      <w:pPr>
        <w:jc w:val="center"/>
        <w:rPr>
          <w:rFonts w:ascii="Times New Roman Bold" w:hAnsi="Times New Roman Bold"/>
          <w:b/>
          <w:bCs/>
          <w:caps/>
          <w:szCs w:val="22"/>
        </w:rPr>
      </w:pPr>
      <w:r w:rsidRPr="0008480C">
        <w:rPr>
          <w:rFonts w:ascii="Times New Roman Bold" w:hAnsi="Times New Roman Bold"/>
          <w:b/>
          <w:bCs/>
          <w:szCs w:val="22"/>
        </w:rPr>
        <w:t>Washington, D.C. 20554</w:t>
      </w:r>
    </w:p>
    <w:p w:rsidR="0013719D" w:rsidRPr="0008480C" w:rsidP="0013719D"/>
    <w:p w:rsidR="0013719D" w:rsidRPr="0008480C" w:rsidP="0013719D"/>
    <w:tbl>
      <w:tblPr>
        <w:tblW w:w="0" w:type="auto"/>
        <w:tblLayout w:type="fixed"/>
        <w:tblLook w:val="0000"/>
      </w:tblPr>
      <w:tblGrid>
        <w:gridCol w:w="4698"/>
        <w:gridCol w:w="630"/>
        <w:gridCol w:w="4248"/>
      </w:tblGrid>
      <w:tr w:rsidTr="00193649">
        <w:tblPrEx>
          <w:tblW w:w="0" w:type="auto"/>
          <w:tblLayout w:type="fixed"/>
          <w:tblLook w:val="0000"/>
        </w:tblPrEx>
        <w:tc>
          <w:tcPr>
            <w:tcW w:w="4698" w:type="dxa"/>
          </w:tcPr>
          <w:p w:rsidR="0013719D" w:rsidRPr="0008480C" w:rsidP="00193649">
            <w:pPr>
              <w:tabs>
                <w:tab w:val="center" w:pos="4680"/>
              </w:tabs>
              <w:suppressAutoHyphens/>
              <w:rPr>
                <w:spacing w:val="-2"/>
              </w:rPr>
            </w:pPr>
            <w:r w:rsidRPr="0008480C">
              <w:rPr>
                <w:spacing w:val="-2"/>
              </w:rPr>
              <w:t>In the Matter of</w:t>
            </w:r>
          </w:p>
          <w:p w:rsidR="0013719D" w:rsidRPr="0008480C" w:rsidP="00193649">
            <w:pPr>
              <w:tabs>
                <w:tab w:val="center" w:pos="4680"/>
              </w:tabs>
              <w:suppressAutoHyphens/>
              <w:rPr>
                <w:spacing w:val="-2"/>
              </w:rPr>
            </w:pPr>
          </w:p>
          <w:p w:rsidR="0013719D" w:rsidRPr="0008480C" w:rsidP="00193649">
            <w:pPr>
              <w:tabs>
                <w:tab w:val="center" w:pos="4680"/>
              </w:tabs>
              <w:suppressAutoHyphens/>
              <w:rPr>
                <w:spacing w:val="-2"/>
              </w:rPr>
            </w:pPr>
            <w:r w:rsidRPr="0008480C">
              <w:rPr>
                <w:spacing w:val="-2"/>
              </w:rPr>
              <w:t>Structure and Practices of the Video Relay Service Program</w:t>
            </w:r>
          </w:p>
          <w:p w:rsidR="0013719D" w:rsidRPr="0008480C" w:rsidP="00193649">
            <w:pPr>
              <w:tabs>
                <w:tab w:val="center" w:pos="4680"/>
              </w:tabs>
              <w:suppressAutoHyphens/>
              <w:rPr>
                <w:spacing w:val="-2"/>
              </w:rPr>
            </w:pPr>
          </w:p>
          <w:p w:rsidR="0013719D" w:rsidRPr="0008480C" w:rsidP="00193649">
            <w:pPr>
              <w:tabs>
                <w:tab w:val="center" w:pos="4680"/>
              </w:tabs>
              <w:suppressAutoHyphens/>
              <w:rPr>
                <w:spacing w:val="-2"/>
              </w:rPr>
            </w:pPr>
            <w:r w:rsidRPr="0008480C">
              <w:rPr>
                <w:spacing w:val="-2"/>
              </w:rPr>
              <w:t xml:space="preserve">Telecommunications Relay Services and Speech-to-Speech Services for Individuals with Hearing and Speech Disabilities </w:t>
            </w:r>
          </w:p>
        </w:tc>
        <w:tc>
          <w:tcPr>
            <w:tcW w:w="630" w:type="dxa"/>
          </w:tcPr>
          <w:p w:rsidR="0013719D" w:rsidRPr="0008480C" w:rsidP="00193649">
            <w:pPr>
              <w:tabs>
                <w:tab w:val="center" w:pos="4680"/>
              </w:tabs>
              <w:suppressAutoHyphens/>
              <w:rPr>
                <w:b/>
                <w:spacing w:val="-2"/>
              </w:rPr>
            </w:pPr>
            <w:r w:rsidRPr="0008480C">
              <w:rPr>
                <w:b/>
                <w:spacing w:val="-2"/>
              </w:rPr>
              <w:t>)</w:t>
            </w:r>
          </w:p>
          <w:p w:rsidR="0013719D" w:rsidRPr="0008480C" w:rsidP="00193649">
            <w:pPr>
              <w:tabs>
                <w:tab w:val="center" w:pos="4680"/>
              </w:tabs>
              <w:suppressAutoHyphens/>
              <w:rPr>
                <w:b/>
                <w:spacing w:val="-2"/>
              </w:rPr>
            </w:pPr>
            <w:r w:rsidRPr="0008480C">
              <w:rPr>
                <w:b/>
                <w:spacing w:val="-2"/>
              </w:rPr>
              <w:t>)</w:t>
            </w:r>
          </w:p>
          <w:p w:rsidR="0013719D" w:rsidRPr="0008480C" w:rsidP="00193649">
            <w:pPr>
              <w:tabs>
                <w:tab w:val="center" w:pos="4680"/>
              </w:tabs>
              <w:suppressAutoHyphens/>
              <w:rPr>
                <w:b/>
                <w:spacing w:val="-2"/>
              </w:rPr>
            </w:pPr>
            <w:r w:rsidRPr="0008480C">
              <w:rPr>
                <w:b/>
                <w:spacing w:val="-2"/>
              </w:rPr>
              <w:t>)</w:t>
            </w:r>
          </w:p>
          <w:p w:rsidR="0013719D" w:rsidRPr="0008480C" w:rsidP="00193649">
            <w:pPr>
              <w:tabs>
                <w:tab w:val="center" w:pos="4680"/>
              </w:tabs>
              <w:suppressAutoHyphens/>
              <w:rPr>
                <w:b/>
                <w:spacing w:val="-2"/>
              </w:rPr>
            </w:pPr>
            <w:r w:rsidRPr="0008480C">
              <w:rPr>
                <w:b/>
                <w:spacing w:val="-2"/>
              </w:rPr>
              <w:t>)</w:t>
            </w:r>
          </w:p>
          <w:p w:rsidR="0013719D" w:rsidRPr="0008480C" w:rsidP="00193649">
            <w:pPr>
              <w:tabs>
                <w:tab w:val="center" w:pos="4680"/>
              </w:tabs>
              <w:suppressAutoHyphens/>
              <w:rPr>
                <w:b/>
                <w:spacing w:val="-2"/>
              </w:rPr>
            </w:pPr>
            <w:r w:rsidRPr="0008480C">
              <w:rPr>
                <w:b/>
                <w:spacing w:val="-2"/>
              </w:rPr>
              <w:t>)</w:t>
            </w:r>
          </w:p>
          <w:p w:rsidR="0013719D" w:rsidRPr="0008480C" w:rsidP="00193649">
            <w:pPr>
              <w:tabs>
                <w:tab w:val="center" w:pos="4680"/>
              </w:tabs>
              <w:suppressAutoHyphens/>
              <w:rPr>
                <w:b/>
                <w:spacing w:val="-2"/>
              </w:rPr>
            </w:pPr>
            <w:r w:rsidRPr="0008480C">
              <w:rPr>
                <w:b/>
                <w:spacing w:val="-2"/>
              </w:rPr>
              <w:t>)</w:t>
            </w:r>
          </w:p>
          <w:p w:rsidR="0013719D" w:rsidRPr="0008480C" w:rsidP="00193649">
            <w:pPr>
              <w:tabs>
                <w:tab w:val="center" w:pos="4680"/>
              </w:tabs>
              <w:suppressAutoHyphens/>
              <w:rPr>
                <w:b/>
                <w:spacing w:val="-2"/>
              </w:rPr>
            </w:pPr>
            <w:r w:rsidRPr="0008480C">
              <w:rPr>
                <w:b/>
                <w:spacing w:val="-2"/>
              </w:rPr>
              <w:t>)</w:t>
            </w:r>
          </w:p>
          <w:p w:rsidR="0013719D" w:rsidRPr="0008480C" w:rsidP="00193649">
            <w:pPr>
              <w:tabs>
                <w:tab w:val="center" w:pos="4680"/>
              </w:tabs>
              <w:suppressAutoHyphens/>
              <w:rPr>
                <w:b/>
                <w:spacing w:val="-2"/>
              </w:rPr>
            </w:pPr>
            <w:r w:rsidRPr="0008480C">
              <w:rPr>
                <w:b/>
                <w:spacing w:val="-2"/>
              </w:rPr>
              <w:t>)</w:t>
            </w:r>
          </w:p>
          <w:p w:rsidR="0013719D" w:rsidRPr="0008480C" w:rsidP="00193649">
            <w:pPr>
              <w:tabs>
                <w:tab w:val="center" w:pos="4680"/>
              </w:tabs>
              <w:suppressAutoHyphens/>
              <w:rPr>
                <w:spacing w:val="-2"/>
              </w:rPr>
            </w:pPr>
            <w:r w:rsidRPr="0008480C">
              <w:rPr>
                <w:b/>
                <w:spacing w:val="-2"/>
              </w:rPr>
              <w:t>)</w:t>
            </w:r>
          </w:p>
        </w:tc>
        <w:tc>
          <w:tcPr>
            <w:tcW w:w="4248" w:type="dxa"/>
          </w:tcPr>
          <w:p w:rsidR="0013719D" w:rsidRPr="0008480C" w:rsidP="00193649">
            <w:pPr>
              <w:tabs>
                <w:tab w:val="center" w:pos="4680"/>
              </w:tabs>
              <w:suppressAutoHyphens/>
              <w:rPr>
                <w:spacing w:val="-2"/>
              </w:rPr>
            </w:pPr>
          </w:p>
          <w:p w:rsidR="0013719D" w:rsidRPr="0008480C" w:rsidP="00193649">
            <w:pPr>
              <w:tabs>
                <w:tab w:val="center" w:pos="4680"/>
              </w:tabs>
              <w:suppressAutoHyphens/>
              <w:rPr>
                <w:spacing w:val="-2"/>
              </w:rPr>
            </w:pPr>
          </w:p>
          <w:p w:rsidR="0013719D" w:rsidRPr="0008480C" w:rsidP="00DD51FC">
            <w:pPr>
              <w:tabs>
                <w:tab w:val="right" w:pos="4032"/>
              </w:tabs>
              <w:suppressAutoHyphens/>
              <w:rPr>
                <w:spacing w:val="-2"/>
              </w:rPr>
            </w:pPr>
            <w:r w:rsidRPr="0008480C">
              <w:rPr>
                <w:spacing w:val="-2"/>
              </w:rPr>
              <w:t>CG Docket No. 10-51</w:t>
            </w:r>
            <w:r>
              <w:rPr>
                <w:spacing w:val="-2"/>
              </w:rPr>
              <w:tab/>
            </w:r>
          </w:p>
          <w:p w:rsidR="0013719D" w:rsidRPr="0008480C" w:rsidP="00193649">
            <w:pPr>
              <w:tabs>
                <w:tab w:val="center" w:pos="4680"/>
              </w:tabs>
              <w:suppressAutoHyphens/>
              <w:rPr>
                <w:spacing w:val="-2"/>
              </w:rPr>
            </w:pPr>
          </w:p>
          <w:p w:rsidR="0013719D" w:rsidRPr="0008480C" w:rsidP="00193649">
            <w:pPr>
              <w:tabs>
                <w:tab w:val="center" w:pos="4680"/>
              </w:tabs>
              <w:suppressAutoHyphens/>
              <w:rPr>
                <w:spacing w:val="-2"/>
              </w:rPr>
            </w:pPr>
          </w:p>
          <w:p w:rsidR="0013719D" w:rsidRPr="0008480C" w:rsidP="00193649">
            <w:pPr>
              <w:tabs>
                <w:tab w:val="center" w:pos="4680"/>
              </w:tabs>
              <w:suppressAutoHyphens/>
              <w:rPr>
                <w:spacing w:val="-2"/>
              </w:rPr>
            </w:pPr>
            <w:r w:rsidRPr="0008480C">
              <w:rPr>
                <w:spacing w:val="-2"/>
              </w:rPr>
              <w:t>CG Docket No. 03-123</w:t>
            </w:r>
          </w:p>
        </w:tc>
      </w:tr>
    </w:tbl>
    <w:p w:rsidR="0013719D" w:rsidRPr="0008480C" w:rsidP="0013719D"/>
    <w:p w:rsidR="0013719D" w:rsidRPr="0008480C" w:rsidP="0013719D">
      <w:pPr>
        <w:jc w:val="center"/>
        <w:rPr>
          <w:rFonts w:ascii="Times New Roman Bold" w:hAnsi="Times New Roman Bold"/>
          <w:b/>
          <w:bCs/>
          <w:caps/>
          <w:szCs w:val="22"/>
        </w:rPr>
      </w:pPr>
      <w:r w:rsidRPr="0008480C">
        <w:rPr>
          <w:rFonts w:ascii="Times New Roman Bold" w:hAnsi="Times New Roman Bold"/>
          <w:b/>
          <w:bCs/>
          <w:caps/>
          <w:szCs w:val="22"/>
        </w:rPr>
        <w:t>Order</w:t>
      </w:r>
    </w:p>
    <w:p w:rsidR="0013719D" w:rsidRPr="0008480C" w:rsidP="0013719D">
      <w:pPr>
        <w:tabs>
          <w:tab w:val="left" w:pos="-720"/>
        </w:tabs>
        <w:suppressAutoHyphens/>
        <w:spacing w:line="227" w:lineRule="auto"/>
        <w:rPr>
          <w:spacing w:val="-2"/>
        </w:rPr>
      </w:pPr>
    </w:p>
    <w:p w:rsidR="0013719D" w:rsidRPr="0008480C" w:rsidP="0013719D">
      <w:pPr>
        <w:tabs>
          <w:tab w:val="left" w:pos="720"/>
          <w:tab w:val="right" w:pos="9360"/>
        </w:tabs>
        <w:suppressAutoHyphens/>
        <w:spacing w:line="227" w:lineRule="auto"/>
        <w:rPr>
          <w:spacing w:val="-2"/>
        </w:rPr>
      </w:pPr>
      <w:r w:rsidRPr="00DD6A88">
        <w:rPr>
          <w:b/>
          <w:spacing w:val="-2"/>
        </w:rPr>
        <w:t xml:space="preserve">Adopted:  October </w:t>
      </w:r>
      <w:r w:rsidRPr="00DD6A88">
        <w:rPr>
          <w:b/>
          <w:spacing w:val="-2"/>
        </w:rPr>
        <w:t>31</w:t>
      </w:r>
      <w:r w:rsidRPr="00DD6A88">
        <w:rPr>
          <w:b/>
          <w:spacing w:val="-2"/>
        </w:rPr>
        <w:t>, 2018</w:t>
      </w:r>
      <w:r w:rsidRPr="00DD6A88">
        <w:rPr>
          <w:b/>
          <w:spacing w:val="-2"/>
        </w:rPr>
        <w:tab/>
        <w:t xml:space="preserve">Released:  October </w:t>
      </w:r>
      <w:r w:rsidRPr="00DD6A88">
        <w:rPr>
          <w:b/>
          <w:spacing w:val="-2"/>
        </w:rPr>
        <w:t>31</w:t>
      </w:r>
      <w:r w:rsidRPr="00DD6A88">
        <w:rPr>
          <w:b/>
          <w:spacing w:val="-2"/>
        </w:rPr>
        <w:t>, 2018</w:t>
      </w:r>
    </w:p>
    <w:p w:rsidR="0013719D" w:rsidRPr="0008480C" w:rsidP="0013719D"/>
    <w:p w:rsidR="0013719D" w:rsidRPr="0008480C" w:rsidP="0013719D">
      <w:pPr>
        <w:rPr>
          <w:spacing w:val="-2"/>
        </w:rPr>
      </w:pPr>
      <w:r w:rsidRPr="0008480C">
        <w:t xml:space="preserve">By the </w:t>
      </w:r>
      <w:r w:rsidRPr="0008480C">
        <w:t>Consumer and Governmental Affairs Bureau</w:t>
      </w:r>
      <w:r w:rsidRPr="0008480C">
        <w:rPr>
          <w:spacing w:val="-2"/>
        </w:rPr>
        <w:t>:</w:t>
      </w:r>
    </w:p>
    <w:p w:rsidR="0013719D" w:rsidRPr="0008480C" w:rsidP="0013719D">
      <w:pPr>
        <w:rPr>
          <w:spacing w:val="-2"/>
        </w:rPr>
      </w:pPr>
    </w:p>
    <w:p w:rsidR="0013719D" w:rsidRPr="0008480C" w:rsidP="0013719D">
      <w:pPr>
        <w:keepNext/>
        <w:numPr>
          <w:ilvl w:val="0"/>
          <w:numId w:val="3"/>
        </w:numPr>
        <w:tabs>
          <w:tab w:val="left" w:pos="720"/>
        </w:tabs>
        <w:suppressAutoHyphens/>
        <w:spacing w:after="120"/>
        <w:outlineLvl w:val="0"/>
        <w:rPr>
          <w:rFonts w:ascii="Times New Roman Bold" w:hAnsi="Times New Roman Bold"/>
          <w:b/>
          <w:caps/>
        </w:rPr>
      </w:pPr>
      <w:r w:rsidRPr="0008480C">
        <w:rPr>
          <w:rFonts w:ascii="Times New Roman Bold" w:hAnsi="Times New Roman Bold"/>
          <w:b/>
          <w:caps/>
        </w:rPr>
        <w:t>Introduction</w:t>
      </w:r>
    </w:p>
    <w:p w:rsidR="0013719D" w:rsidRPr="0008480C" w:rsidP="0013719D">
      <w:pPr>
        <w:numPr>
          <w:ilvl w:val="0"/>
          <w:numId w:val="2"/>
        </w:numPr>
        <w:tabs>
          <w:tab w:val="clear" w:pos="1080"/>
          <w:tab w:val="num" w:pos="1440"/>
        </w:tabs>
        <w:spacing w:after="120"/>
      </w:pPr>
      <w:r w:rsidRPr="0008480C">
        <w:t>By this Order, the Consumer and Governmental Affairs Bureau (CGB or Bureau) of the Federal Communications Commission (FCC or Commission) grants CSDVRS, LLC, d/b/a ZVRS (ZVRS) and Purple Communications</w:t>
      </w:r>
      <w:r w:rsidRPr="0008480C">
        <w:t xml:space="preserve">, Inc. (Purple) (collectively, the Companies) a limited waiver of the expiration date of the at-home video relay service (VRS) call handling pilot program, so that these providers can continue their participation in the program for </w:t>
      </w:r>
      <w:r>
        <w:t>six</w:t>
      </w:r>
      <w:r w:rsidRPr="0008480C">
        <w:t xml:space="preserve"> </w:t>
      </w:r>
      <w:r w:rsidRPr="0008480C">
        <w:t>additional months, t</w:t>
      </w:r>
      <w:r w:rsidRPr="0008480C">
        <w:t xml:space="preserve">hrough </w:t>
      </w:r>
      <w:r>
        <w:t>April 30</w:t>
      </w:r>
      <w:r w:rsidRPr="0008480C">
        <w:t>, 2019.  This voluntary program has allowed payment of compensation to authorized VRS providers, subject to specified safeguards, for VRS minutes served by at-home communications assistants (CAs).  The pilot program, which commenced November</w:t>
      </w:r>
      <w:r w:rsidRPr="0008480C">
        <w:t xml:space="preserve"> 1, 2017, presently is set to expire October 31, 2018. </w:t>
      </w:r>
    </w:p>
    <w:p w:rsidR="0013719D" w:rsidRPr="0008480C" w:rsidP="0013719D">
      <w:pPr>
        <w:keepNext/>
        <w:numPr>
          <w:ilvl w:val="0"/>
          <w:numId w:val="3"/>
        </w:numPr>
        <w:tabs>
          <w:tab w:val="left" w:pos="720"/>
        </w:tabs>
        <w:suppressAutoHyphens/>
        <w:spacing w:after="120"/>
        <w:outlineLvl w:val="0"/>
        <w:rPr>
          <w:rFonts w:ascii="Times New Roman Bold" w:hAnsi="Times New Roman Bold"/>
          <w:b/>
          <w:caps/>
        </w:rPr>
      </w:pPr>
      <w:r w:rsidRPr="0008480C">
        <w:rPr>
          <w:rFonts w:ascii="Times New Roman Bold" w:hAnsi="Times New Roman Bold"/>
          <w:b/>
          <w:caps/>
        </w:rPr>
        <w:t>Background</w:t>
      </w:r>
    </w:p>
    <w:p w:rsidR="0013719D" w:rsidRPr="0008480C" w:rsidP="0013719D">
      <w:pPr>
        <w:numPr>
          <w:ilvl w:val="0"/>
          <w:numId w:val="2"/>
        </w:numPr>
        <w:tabs>
          <w:tab w:val="clear" w:pos="1080"/>
          <w:tab w:val="left" w:pos="1440"/>
        </w:tabs>
        <w:spacing w:after="120"/>
      </w:pPr>
      <w:r w:rsidRPr="0008480C">
        <w:t>In March 2017, the Commission adopted rules establishing a one-year pilot program for at-home VRS call-handling.</w:t>
      </w:r>
      <w:r>
        <w:rPr>
          <w:sz w:val="20"/>
          <w:vertAlign w:val="superscript"/>
        </w:rPr>
        <w:footnoteReference w:id="3"/>
      </w:r>
      <w:r w:rsidRPr="0008480C">
        <w:t xml:space="preserve">  Under this program, authorized VRS providers may be compensated for calls handled by CAs at-home workstations, up to a maximum of 30 percent of a participating provider’s monthly minutes,</w:t>
      </w:r>
      <w:r>
        <w:rPr>
          <w:sz w:val="20"/>
          <w:vertAlign w:val="superscript"/>
        </w:rPr>
        <w:footnoteReference w:id="4"/>
      </w:r>
      <w:r w:rsidRPr="0008480C">
        <w:t xml:space="preserve"> so long as the provider complies with personnel, technical, and e</w:t>
      </w:r>
      <w:r w:rsidRPr="0008480C">
        <w:t>nvironmental rules and monitoring and oversight obligations.</w:t>
      </w:r>
      <w:r>
        <w:rPr>
          <w:sz w:val="20"/>
          <w:vertAlign w:val="superscript"/>
        </w:rPr>
        <w:footnoteReference w:id="5"/>
      </w:r>
      <w:r w:rsidRPr="0008480C">
        <w:t xml:space="preserve">  </w:t>
      </w:r>
      <w:r w:rsidRPr="0008480C">
        <w:rPr>
          <w:szCs w:val="22"/>
        </w:rPr>
        <w:t>In addition, each participating provider must file</w:t>
      </w:r>
      <w:r w:rsidRPr="0008480C">
        <w:t xml:space="preserve"> (1) monthly reports containing information regarding the location of each home workstation, the CA identification (ID) number for each individ</w:t>
      </w:r>
      <w:r w:rsidRPr="0008480C">
        <w:t xml:space="preserve">ual handling VRS calls from that workstation, the location and call center IDs of call centers supervising at-home workstations, and the names of the supervisors at such call </w:t>
      </w:r>
      <w:r w:rsidRPr="0008480C">
        <w:t>centers; and (2) a one-time report providing detailed information about the provi</w:t>
      </w:r>
      <w:r w:rsidRPr="0008480C">
        <w:t>sion of service during the first six months of the program.</w:t>
      </w:r>
      <w:r>
        <w:rPr>
          <w:sz w:val="20"/>
          <w:vertAlign w:val="superscript"/>
        </w:rPr>
        <w:footnoteReference w:id="6"/>
      </w:r>
      <w:r w:rsidRPr="0008480C">
        <w:t xml:space="preserve">  Two VRS providers that are in the process of merging, </w:t>
      </w:r>
      <w:bookmarkStart w:id="1" w:name="_Hlk527537316"/>
      <w:r w:rsidRPr="0008480C">
        <w:rPr>
          <w:szCs w:val="22"/>
        </w:rPr>
        <w:t>ZVRS and Purple</w:t>
      </w:r>
      <w:bookmarkEnd w:id="1"/>
      <w:r w:rsidRPr="0008480C">
        <w:rPr>
          <w:szCs w:val="22"/>
        </w:rPr>
        <w:t>,</w:t>
      </w:r>
      <w:r>
        <w:rPr>
          <w:rStyle w:val="FootnoteReference"/>
          <w:szCs w:val="22"/>
        </w:rPr>
        <w:footnoteReference w:id="7"/>
      </w:r>
      <w:r w:rsidRPr="0008480C">
        <w:t xml:space="preserve"> currently are authorized to participate in the pilot program.</w:t>
      </w:r>
      <w:r>
        <w:rPr>
          <w:sz w:val="20"/>
          <w:vertAlign w:val="superscript"/>
        </w:rPr>
        <w:footnoteReference w:id="8"/>
      </w:r>
      <w:r w:rsidRPr="0008480C">
        <w:t xml:space="preserve">  Each has submitted the required monthly data, and on June </w:t>
      </w:r>
      <w:r w:rsidRPr="0008480C">
        <w:t>1, 2018, each provided the Commission with its six-month report.</w:t>
      </w:r>
      <w:r>
        <w:rPr>
          <w:sz w:val="20"/>
          <w:vertAlign w:val="superscript"/>
        </w:rPr>
        <w:footnoteReference w:id="9"/>
      </w:r>
      <w:r w:rsidRPr="0008480C">
        <w:t xml:space="preserve">  </w:t>
      </w:r>
    </w:p>
    <w:p w:rsidR="0013719D" w:rsidRPr="0008480C" w:rsidP="0013719D">
      <w:pPr>
        <w:numPr>
          <w:ilvl w:val="0"/>
          <w:numId w:val="2"/>
        </w:numPr>
        <w:tabs>
          <w:tab w:val="clear" w:pos="1080"/>
          <w:tab w:val="left" w:pos="1440"/>
        </w:tabs>
        <w:spacing w:after="120"/>
      </w:pPr>
      <w:r w:rsidRPr="0008480C">
        <w:rPr>
          <w:szCs w:val="22"/>
        </w:rPr>
        <w:t>On August 29, 2018, the Companies jointly filed a petition requesting that the Commission expeditiously initiate a rulemaking to authorize at-home handling of VRS calls on a permanent basi</w:t>
      </w:r>
      <w:r w:rsidRPr="0008480C">
        <w:rPr>
          <w:szCs w:val="22"/>
        </w:rPr>
        <w:t>s.</w:t>
      </w:r>
      <w:r>
        <w:rPr>
          <w:sz w:val="20"/>
          <w:szCs w:val="22"/>
          <w:vertAlign w:val="superscript"/>
        </w:rPr>
        <w:footnoteReference w:id="10"/>
      </w:r>
      <w:r w:rsidRPr="0008480C">
        <w:rPr>
          <w:szCs w:val="22"/>
        </w:rPr>
        <w:t xml:space="preserve">  To maintain the continuity of the program until the Commission acts on this request, the Companies also request a limited waiver of the Commission’s rule establishing October 31, 2018</w:t>
      </w:r>
      <w:r>
        <w:rPr>
          <w:szCs w:val="22"/>
        </w:rPr>
        <w:t>,</w:t>
      </w:r>
      <w:r w:rsidRPr="0008480C">
        <w:rPr>
          <w:szCs w:val="22"/>
        </w:rPr>
        <w:t xml:space="preserve"> as the pilot expiration date, to allow the program to continue thr</w:t>
      </w:r>
      <w:r w:rsidRPr="0008480C">
        <w:rPr>
          <w:szCs w:val="22"/>
        </w:rPr>
        <w:t>ough December 31, 2020.</w:t>
      </w:r>
      <w:r w:rsidRPr="0008480C">
        <w:rPr>
          <w:sz w:val="20"/>
          <w:szCs w:val="22"/>
          <w:vertAlign w:val="superscript"/>
        </w:rPr>
        <w:t xml:space="preserve"> </w:t>
      </w:r>
      <w:r>
        <w:rPr>
          <w:sz w:val="20"/>
          <w:szCs w:val="22"/>
          <w:vertAlign w:val="superscript"/>
        </w:rPr>
        <w:footnoteReference w:id="11"/>
      </w:r>
      <w:r w:rsidRPr="0008480C">
        <w:rPr>
          <w:szCs w:val="22"/>
        </w:rPr>
        <w:t xml:space="preserve">  On September 10, 2018, Sorenson Communications, LLC (Sorenson) filed comments supporting the Companies’ request to initiate a rulemaking and requesting that any extension of the pilot program include an opportunity for any curren</w:t>
      </w:r>
      <w:r w:rsidRPr="0008480C">
        <w:rPr>
          <w:szCs w:val="22"/>
        </w:rPr>
        <w:t>tly certified VRS provider to participate in the extended program so long as the provider makes an election to participate before October 31, 2018.</w:t>
      </w:r>
      <w:r>
        <w:rPr>
          <w:sz w:val="20"/>
          <w:szCs w:val="22"/>
          <w:vertAlign w:val="superscript"/>
        </w:rPr>
        <w:footnoteReference w:id="12"/>
      </w:r>
      <w:r>
        <w:rPr>
          <w:szCs w:val="22"/>
        </w:rPr>
        <w:t xml:space="preserve">  Subsequently, in an ex parte letter, Sorenson argues that granting a two-year extension of the pilot progr</w:t>
      </w:r>
      <w:r>
        <w:rPr>
          <w:szCs w:val="22"/>
        </w:rPr>
        <w:t>am for ZVRS and Purple alone would unfairly discriminate against other VRS providers.</w:t>
      </w:r>
      <w:r>
        <w:rPr>
          <w:rStyle w:val="FootnoteReference"/>
        </w:rPr>
        <w:footnoteReference w:id="13"/>
      </w:r>
      <w:r>
        <w:rPr>
          <w:szCs w:val="22"/>
        </w:rPr>
        <w:t xml:space="preserve">  Sorenson also argues that the Companies have not justified the requested waiver and accuses them of </w:t>
      </w:r>
      <w:r w:rsidRPr="00046B9A">
        <w:rPr>
          <w:szCs w:val="22"/>
        </w:rPr>
        <w:t>us</w:t>
      </w:r>
      <w:r>
        <w:rPr>
          <w:szCs w:val="22"/>
        </w:rPr>
        <w:t>ing</w:t>
      </w:r>
      <w:r w:rsidRPr="00046B9A">
        <w:rPr>
          <w:szCs w:val="22"/>
        </w:rPr>
        <w:t xml:space="preserve"> the at-home interpreting program to </w:t>
      </w:r>
      <w:r>
        <w:rPr>
          <w:szCs w:val="22"/>
        </w:rPr>
        <w:t xml:space="preserve">gain an unwarranted competitive advantage by </w:t>
      </w:r>
      <w:r w:rsidRPr="00046B9A">
        <w:rPr>
          <w:szCs w:val="22"/>
        </w:rPr>
        <w:t>“poach</w:t>
      </w:r>
      <w:r>
        <w:rPr>
          <w:szCs w:val="22"/>
        </w:rPr>
        <w:t>ing</w:t>
      </w:r>
      <w:r w:rsidRPr="00046B9A">
        <w:rPr>
          <w:szCs w:val="22"/>
        </w:rPr>
        <w:t>” interpreters</w:t>
      </w:r>
      <w:r>
        <w:rPr>
          <w:szCs w:val="22"/>
        </w:rPr>
        <w:t xml:space="preserve"> from other providers</w:t>
      </w:r>
      <w:r w:rsidRPr="00046B9A">
        <w:rPr>
          <w:szCs w:val="22"/>
        </w:rPr>
        <w:t>.</w:t>
      </w:r>
      <w:r>
        <w:rPr>
          <w:rStyle w:val="FootnoteReference"/>
          <w:szCs w:val="22"/>
        </w:rPr>
        <w:footnoteReference w:id="14"/>
      </w:r>
      <w:r w:rsidRPr="00046B9A">
        <w:rPr>
          <w:szCs w:val="22"/>
        </w:rPr>
        <w:t xml:space="preserve">  </w:t>
      </w:r>
    </w:p>
    <w:p w:rsidR="0013719D" w:rsidRPr="0008480C" w:rsidP="0013719D">
      <w:pPr>
        <w:keepNext/>
        <w:numPr>
          <w:ilvl w:val="0"/>
          <w:numId w:val="3"/>
        </w:numPr>
        <w:tabs>
          <w:tab w:val="left" w:pos="720"/>
        </w:tabs>
        <w:suppressAutoHyphens/>
        <w:spacing w:after="120"/>
        <w:outlineLvl w:val="0"/>
        <w:rPr>
          <w:rFonts w:ascii="Times New Roman Bold" w:hAnsi="Times New Roman Bold"/>
          <w:b/>
          <w:caps/>
        </w:rPr>
      </w:pPr>
      <w:r w:rsidRPr="0008480C">
        <w:rPr>
          <w:rFonts w:ascii="Times New Roman Bold" w:hAnsi="Times New Roman Bold"/>
          <w:b/>
          <w:caps/>
        </w:rPr>
        <w:t>DISCUSSION</w:t>
      </w:r>
    </w:p>
    <w:p w:rsidR="0013719D" w:rsidRPr="0008480C" w:rsidP="0013719D">
      <w:pPr>
        <w:numPr>
          <w:ilvl w:val="0"/>
          <w:numId w:val="2"/>
        </w:numPr>
        <w:tabs>
          <w:tab w:val="clear" w:pos="1080"/>
          <w:tab w:val="left" w:pos="1440"/>
        </w:tabs>
        <w:spacing w:after="120"/>
      </w:pPr>
      <w:r w:rsidRPr="0008480C">
        <w:t>A Commission rule may be waived for “good cause shown.”</w:t>
      </w:r>
      <w:r>
        <w:rPr>
          <w:sz w:val="20"/>
          <w:vertAlign w:val="superscript"/>
        </w:rPr>
        <w:footnoteReference w:id="15"/>
      </w:r>
      <w:r w:rsidRPr="0008480C">
        <w:t xml:space="preserve">  In particular, a waiver is appropriate where the particular facts make strict enforcement of </w:t>
      </w:r>
      <w:r w:rsidRPr="0008480C">
        <w:t>a rule inconsistent with the public interest.</w:t>
      </w:r>
      <w:r>
        <w:rPr>
          <w:sz w:val="20"/>
          <w:vertAlign w:val="superscript"/>
        </w:rPr>
        <w:footnoteReference w:id="16"/>
      </w:r>
      <w:r w:rsidRPr="0008480C">
        <w:t xml:space="preserve">  In addition, we may take into account considerations of hardship, equity, or more effective implementation of overall policy on an individual basis.</w:t>
      </w:r>
      <w:r>
        <w:rPr>
          <w:sz w:val="20"/>
          <w:vertAlign w:val="superscript"/>
        </w:rPr>
        <w:footnoteReference w:id="17"/>
      </w:r>
      <w:r w:rsidRPr="0008480C">
        <w:t xml:space="preserve">  Such a waiver is appropriate if special </w:t>
      </w:r>
      <w:r w:rsidRPr="0008480C">
        <w:t>circumstances war</w:t>
      </w:r>
      <w:r w:rsidRPr="0008480C">
        <w:t>rant a deviation from the general rule and such deviation will serve the public interest.</w:t>
      </w:r>
      <w:r>
        <w:rPr>
          <w:sz w:val="20"/>
          <w:vertAlign w:val="superscript"/>
        </w:rPr>
        <w:footnoteReference w:id="18"/>
      </w:r>
      <w:r w:rsidRPr="0008480C">
        <w:t xml:space="preserve">  In demonstrating whether a waiver is warranted, the burden of proof rests with the petitioner.</w:t>
      </w:r>
      <w:r>
        <w:rPr>
          <w:sz w:val="20"/>
          <w:vertAlign w:val="superscript"/>
        </w:rPr>
        <w:footnoteReference w:id="19"/>
      </w:r>
      <w:r w:rsidRPr="0008480C">
        <w:t xml:space="preserve">   </w:t>
      </w:r>
    </w:p>
    <w:p w:rsidR="0013719D" w:rsidRPr="0008480C" w:rsidP="0013719D">
      <w:pPr>
        <w:numPr>
          <w:ilvl w:val="0"/>
          <w:numId w:val="2"/>
        </w:numPr>
        <w:tabs>
          <w:tab w:val="clear" w:pos="1080"/>
          <w:tab w:val="left" w:pos="1440"/>
        </w:tabs>
        <w:spacing w:after="120"/>
      </w:pPr>
      <w:r w:rsidRPr="0008480C">
        <w:t>We find good cause to grant ZVRS and Purple a limited waiver of s</w:t>
      </w:r>
      <w:r w:rsidRPr="0008480C">
        <w:t xml:space="preserve">ection 64.604(b)(8) of the Commission’s rules, to enable the Companies to continue to participate in the at-home VRS call handling program for </w:t>
      </w:r>
      <w:r>
        <w:t xml:space="preserve">six </w:t>
      </w:r>
      <w:r w:rsidRPr="0008480C">
        <w:t xml:space="preserve">additional months, through </w:t>
      </w:r>
      <w:r>
        <w:t>April 30</w:t>
      </w:r>
      <w:r w:rsidRPr="0008480C">
        <w:t>, 2019, while the Commission considers whether to authorize at-home VRS ca</w:t>
      </w:r>
      <w:r w:rsidRPr="0008480C">
        <w:t>ll handling on a permanent basis.</w:t>
      </w:r>
      <w:r>
        <w:rPr>
          <w:sz w:val="20"/>
          <w:vertAlign w:val="superscript"/>
        </w:rPr>
        <w:footnoteReference w:id="20"/>
      </w:r>
      <w:r w:rsidRPr="0008480C">
        <w:t xml:space="preserve">  We take this action in light of what we find are special circumstances that warrant deviation from the pilot expiration date, as well as the Companies’ successful implementation of the at-home VRS call handling program d</w:t>
      </w:r>
      <w:r w:rsidRPr="0008480C">
        <w:t>uring the pilot period, as evidenced by information provided in the Companies’ six-month implementation reports.</w:t>
      </w:r>
      <w:r>
        <w:rPr>
          <w:rStyle w:val="FootnoteReference"/>
        </w:rPr>
        <w:footnoteReference w:id="21"/>
      </w:r>
      <w:r w:rsidRPr="0008480C">
        <w:t xml:space="preserve">  </w:t>
      </w:r>
    </w:p>
    <w:p w:rsidR="0013719D" w:rsidRPr="0008480C" w:rsidP="0013719D">
      <w:pPr>
        <w:numPr>
          <w:ilvl w:val="0"/>
          <w:numId w:val="2"/>
        </w:numPr>
        <w:tabs>
          <w:tab w:val="clear" w:pos="1080"/>
          <w:tab w:val="left" w:pos="1440"/>
        </w:tabs>
        <w:spacing w:after="120"/>
      </w:pPr>
      <w:r w:rsidRPr="0008480C">
        <w:t>In authorizing a one-year pilot program, the Commission identified a number of benefits as possible, but did not know if they would be achie</w:t>
      </w:r>
      <w:r w:rsidRPr="0008480C">
        <w:t>ved in practice.</w:t>
      </w:r>
      <w:r>
        <w:rPr>
          <w:sz w:val="20"/>
          <w:vertAlign w:val="superscript"/>
        </w:rPr>
        <w:footnoteReference w:id="22"/>
      </w:r>
      <w:r w:rsidRPr="0008480C">
        <w:t xml:space="preserve">  The Companies’ reports indicate that by using at-home call handling, the two currently participating providers have produced significant benefits for the VRS program. Specifically, evidence presented by the Companies indicates that, unde</w:t>
      </w:r>
      <w:r w:rsidRPr="0008480C">
        <w:t>r the pilot program, the use of at-home interpreting has improved the reliability, redundancy, effectiveness, and efficiency of the Companies’ services.</w:t>
      </w:r>
      <w:r>
        <w:rPr>
          <w:sz w:val="20"/>
          <w:vertAlign w:val="superscript"/>
        </w:rPr>
        <w:footnoteReference w:id="23"/>
      </w:r>
      <w:r w:rsidRPr="0008480C">
        <w:t xml:space="preserve">  For example, the Companies report improvements in the job performance of CAs working at home, in part</w:t>
      </w:r>
      <w:r w:rsidRPr="0008480C">
        <w:t xml:space="preserve"> because of the CAs’ enhanced ability to focus on calls, their increased energy levels, and their reduced stress levels.</w:t>
      </w:r>
      <w:r>
        <w:rPr>
          <w:sz w:val="20"/>
          <w:vertAlign w:val="superscript"/>
        </w:rPr>
        <w:footnoteReference w:id="24"/>
      </w:r>
      <w:r w:rsidRPr="0008480C">
        <w:t xml:space="preserve">  Along these lines, according to the Companies’ reports, on a daily basis, the average at-home CA handles a greater number of calls th</w:t>
      </w:r>
      <w:r w:rsidRPr="0008480C">
        <w:t>an do CAs at traditional call centers.</w:t>
      </w:r>
      <w:r>
        <w:rPr>
          <w:sz w:val="20"/>
          <w:vertAlign w:val="superscript"/>
        </w:rPr>
        <w:footnoteReference w:id="25"/>
      </w:r>
      <w:r w:rsidRPr="0008480C">
        <w:t xml:space="preserve">  Further, the Companies report that under the pilot program, they have been able to increase the pool of qualified interpreters by accommodating CAs who do not live near a call center or </w:t>
      </w:r>
      <w:r w:rsidRPr="0008480C">
        <w:t>have access to public transpo</w:t>
      </w:r>
      <w:r w:rsidRPr="0008480C">
        <w:t>rtation.</w:t>
      </w:r>
      <w:r>
        <w:rPr>
          <w:sz w:val="20"/>
          <w:vertAlign w:val="superscript"/>
        </w:rPr>
        <w:footnoteReference w:id="26"/>
      </w:r>
      <w:r w:rsidRPr="0008480C">
        <w:t xml:space="preserve">  The Companies also report that they have “improve[d] the redundancy of their networks by distributing their call handling capabilities outside of traditional call centers”</w:t>
      </w:r>
      <w:r>
        <w:rPr>
          <w:sz w:val="20"/>
          <w:vertAlign w:val="superscript"/>
        </w:rPr>
        <w:footnoteReference w:id="27"/>
      </w:r>
      <w:r w:rsidRPr="0008480C">
        <w:t xml:space="preserve"> and are better able to meet the demands of unanticipated increases in ca</w:t>
      </w:r>
      <w:r w:rsidRPr="0008480C">
        <w:t>ll volumes by adjusting at-home CA schedules.</w:t>
      </w:r>
      <w:r>
        <w:rPr>
          <w:sz w:val="20"/>
          <w:vertAlign w:val="superscript"/>
        </w:rPr>
        <w:footnoteReference w:id="28"/>
      </w:r>
      <w:r w:rsidRPr="0008480C">
        <w:t xml:space="preserve">  In addition, the Companies claim that the flexibility gained by having some CAs work from their homes makes the Companies better prepared to ensure service during severe weather, geographic network outages an</w:t>
      </w:r>
      <w:r w:rsidRPr="0008480C">
        <w:t>d other unexpected occurrences.</w:t>
      </w:r>
      <w:r>
        <w:rPr>
          <w:sz w:val="20"/>
          <w:vertAlign w:val="superscript"/>
        </w:rPr>
        <w:footnoteReference w:id="29"/>
      </w:r>
      <w:r w:rsidRPr="0008480C">
        <w:t xml:space="preserve">  Finally, the Companies report that at-home VRS call handling has reduced facilities and overhead costs, which is expected to increase efficiency once the Companies’ initial investment in at-home interpreting is recouped.</w:t>
      </w:r>
      <w:r>
        <w:rPr>
          <w:sz w:val="20"/>
          <w:vertAlign w:val="superscript"/>
        </w:rPr>
        <w:footnoteReference w:id="30"/>
      </w:r>
      <w:r w:rsidRPr="0008480C">
        <w:t xml:space="preserve"> </w:t>
      </w:r>
      <w:r w:rsidRPr="0008480C">
        <w:t xml:space="preserve"> </w:t>
      </w:r>
    </w:p>
    <w:p w:rsidR="0013719D" w:rsidRPr="0008480C" w:rsidP="0013719D">
      <w:pPr>
        <w:numPr>
          <w:ilvl w:val="0"/>
          <w:numId w:val="2"/>
        </w:numPr>
        <w:tabs>
          <w:tab w:val="clear" w:pos="1080"/>
          <w:tab w:val="left" w:pos="1440"/>
        </w:tabs>
        <w:spacing w:after="120"/>
      </w:pPr>
      <w:r w:rsidRPr="0008480C">
        <w:t>We believe that it is likely that these benefits, currently being realized, will be sacrificed if at-home interpreting is discontinued as of October 31, 2018.  Indeed, losing the additional call handling capacity and redundancy provided by at-home interp</w:t>
      </w:r>
      <w:r w:rsidRPr="0008480C">
        <w:t xml:space="preserve">reters, especially at peak times and in emergencies, could increase the burden on the Companies of ensuring reliable service to consumers. </w:t>
      </w:r>
      <w:r>
        <w:t xml:space="preserve"> </w:t>
      </w:r>
      <w:r w:rsidRPr="0008480C">
        <w:t>Accordingly, we find that these circumstances support waiving the pilot program’s expiration date for a limited peri</w:t>
      </w:r>
      <w:r w:rsidRPr="0008480C">
        <w:t xml:space="preserve">od of time.  Such a waiver would serve the public interest by preserving the </w:t>
      </w:r>
      <w:r w:rsidRPr="0008480C">
        <w:rPr>
          <w:i/>
        </w:rPr>
        <w:t>status quo</w:t>
      </w:r>
      <w:r w:rsidRPr="0008480C">
        <w:t xml:space="preserve"> and allowing consumers to continue to receive these benefits while the Commission considers whether to make the program permanent.</w:t>
      </w:r>
      <w:r>
        <w:rPr>
          <w:sz w:val="20"/>
          <w:vertAlign w:val="superscript"/>
        </w:rPr>
        <w:footnoteReference w:id="31"/>
      </w:r>
    </w:p>
    <w:p w:rsidR="0013719D" w:rsidRPr="0008480C" w:rsidP="0013719D">
      <w:pPr>
        <w:numPr>
          <w:ilvl w:val="0"/>
          <w:numId w:val="2"/>
        </w:numPr>
        <w:tabs>
          <w:tab w:val="clear" w:pos="1080"/>
          <w:tab w:val="left" w:pos="1440"/>
        </w:tabs>
        <w:spacing w:after="120"/>
      </w:pPr>
      <w:r>
        <w:t>We also believe that special circums</w:t>
      </w:r>
      <w:r>
        <w:t>tances warrant a limited, short-term waiver of the rule.  B</w:t>
      </w:r>
      <w:r w:rsidRPr="0008480C">
        <w:t>ased on the Companies’ reports and petition, it is now apparent that, even at the relatively modest level of a pilot program, significant start-up efforts, including costs estimated at approximatel</w:t>
      </w:r>
      <w:r w:rsidRPr="0008480C">
        <w:t>y [</w:t>
      </w:r>
      <w:r w:rsidRPr="0008480C">
        <w:rPr>
          <w:b/>
        </w:rPr>
        <w:t>***BEGIN CONFIDENTIAL***</w:t>
      </w:r>
      <w:r w:rsidRPr="0008480C">
        <w:t>]</w:t>
      </w:r>
      <w:r w:rsidRPr="00D81D11">
        <w:rPr>
          <w:color w:val="0D0D0D" w:themeColor="text1" w:themeTint="F2"/>
          <w:highlight w:val="black"/>
        </w:rPr>
        <w:t>xx</w:t>
      </w:r>
      <w:r>
        <w:rPr>
          <w:color w:val="0D0D0D" w:themeColor="text1" w:themeTint="F2"/>
          <w:highlight w:val="black"/>
        </w:rPr>
        <w:t xml:space="preserve"> </w:t>
      </w:r>
      <w:r w:rsidRPr="00D81D11">
        <w:rPr>
          <w:color w:val="0D0D0D" w:themeColor="text1" w:themeTint="F2"/>
          <w:highlight w:val="black"/>
        </w:rPr>
        <w:t>x</w:t>
      </w:r>
      <w:r>
        <w:rPr>
          <w:color w:val="0D0D0D" w:themeColor="text1" w:themeTint="F2"/>
          <w:highlight w:val="black"/>
        </w:rPr>
        <w:t xml:space="preserve"> xx</w:t>
      </w:r>
      <w:r w:rsidRPr="00D81D11">
        <w:rPr>
          <w:color w:val="0D0D0D" w:themeColor="text1" w:themeTint="F2"/>
          <w:highlight w:val="black"/>
        </w:rPr>
        <w:t>x</w:t>
      </w:r>
      <w:r w:rsidRPr="0008480C">
        <w:t xml:space="preserve"> </w:t>
      </w:r>
      <w:r w:rsidRPr="0008480C">
        <w:t>[</w:t>
      </w:r>
      <w:r w:rsidRPr="0008480C">
        <w:rPr>
          <w:b/>
        </w:rPr>
        <w:t>***END CONFIDENTIAL***</w:t>
      </w:r>
      <w:r w:rsidRPr="0008480C">
        <w:t>], have been incurred to train CAs, procure, install, and configure the necessary facilities, and provide management and administrative support.</w:t>
      </w:r>
      <w:r>
        <w:rPr>
          <w:sz w:val="20"/>
          <w:vertAlign w:val="superscript"/>
        </w:rPr>
        <w:footnoteReference w:id="32"/>
      </w:r>
      <w:r w:rsidRPr="0008480C">
        <w:t xml:space="preserve">  Moreover, in recent months additional costs have been incurred as the scale of the Companies’ pilot program participation has increased.</w:t>
      </w:r>
      <w:r>
        <w:rPr>
          <w:sz w:val="20"/>
          <w:vertAlign w:val="superscript"/>
        </w:rPr>
        <w:footnoteReference w:id="33"/>
      </w:r>
      <w:r w:rsidRPr="0008480C">
        <w:t xml:space="preserve">  These efforts will be largely wasted if there is a significant lapse in the program.  For example, interpreters rec</w:t>
      </w:r>
      <w:r w:rsidRPr="0008480C">
        <w:t>ruited and retained by the Companies on the promise of being able to work at home—e.g., interpreters who do not live near a call center or have access to public transportation</w:t>
      </w:r>
      <w:r>
        <w:rPr>
          <w:sz w:val="20"/>
          <w:vertAlign w:val="superscript"/>
        </w:rPr>
        <w:footnoteReference w:id="34"/>
      </w:r>
      <w:r w:rsidRPr="0008480C">
        <w:t>—are unlikely to be able to continue working for the Companies if the at-home pr</w:t>
      </w:r>
      <w:r w:rsidRPr="0008480C">
        <w:t>ogram lapses.  Extending the program’s expiration date will better enable companies to retain the at-home VRS interpreters they have already trained, provide greater programmatic certainty to currently participating providers—including greater assurance of</w:t>
      </w:r>
      <w:r w:rsidRPr="0008480C">
        <w:t xml:space="preserve"> recouping start-up costs—and allow the Companies to continue exploring innovative solutions to increase the efficiency of VRS service by reducing overhead costs.  </w:t>
      </w:r>
      <w:r>
        <w:t xml:space="preserve">     </w:t>
      </w:r>
      <w:bookmarkStart w:id="7" w:name="_Hlk528136797"/>
    </w:p>
    <w:p w:rsidR="0013719D" w:rsidRPr="0008480C" w:rsidP="0013719D">
      <w:pPr>
        <w:numPr>
          <w:ilvl w:val="0"/>
          <w:numId w:val="2"/>
        </w:numPr>
        <w:tabs>
          <w:tab w:val="clear" w:pos="1080"/>
          <w:tab w:val="left" w:pos="1440"/>
        </w:tabs>
        <w:spacing w:after="120"/>
      </w:pPr>
      <w:bookmarkEnd w:id="7"/>
      <w:r w:rsidRPr="0008480C">
        <w:t>Finally, allowing the Companies’ participation in the pilot program to continue for an</w:t>
      </w:r>
      <w:r w:rsidRPr="0008480C">
        <w:t xml:space="preserve"> additional, limited period will enable the Commission to gather additional data to help inform its </w:t>
      </w:r>
      <w:r w:rsidRPr="0008480C">
        <w:t>determination on whether to make the program permanent and on crafting rules to govern any permanently authorized program.</w:t>
      </w:r>
      <w:r>
        <w:rPr>
          <w:sz w:val="20"/>
          <w:vertAlign w:val="superscript"/>
        </w:rPr>
        <w:footnoteReference w:id="35"/>
      </w:r>
      <w:r w:rsidRPr="0008480C">
        <w:t xml:space="preserve">  Along these same lines, continu</w:t>
      </w:r>
      <w:r w:rsidRPr="0008480C">
        <w:t>ation of the program without interruption for a limited period may facilitate a smooth transition from the pilot program to a permanent program, if authorized.</w:t>
      </w:r>
      <w:r>
        <w:rPr>
          <w:sz w:val="20"/>
          <w:vertAlign w:val="superscript"/>
        </w:rPr>
        <w:footnoteReference w:id="36"/>
      </w:r>
      <w:r w:rsidRPr="00707FF9">
        <w:t xml:space="preserve"> </w:t>
      </w:r>
      <w:r>
        <w:t xml:space="preserve"> Therefore, even though the time-limited nature of the pilot program arguably placed the Compan</w:t>
      </w:r>
      <w:r>
        <w:t>ies on notice that their investments in interpreters and facilities during the pilot might ultimately be sacrificed,</w:t>
      </w:r>
      <w:r>
        <w:rPr>
          <w:rStyle w:val="FootnoteReference"/>
        </w:rPr>
        <w:footnoteReference w:id="37"/>
      </w:r>
      <w:r>
        <w:t xml:space="preserve"> we conclude that the benefits of temporarily maintaining program continuity, to allow time for a rulemaking decision, justify the grant of</w:t>
      </w:r>
      <w:r>
        <w:t xml:space="preserve"> a waiver extending the program for a short period.  </w:t>
      </w:r>
    </w:p>
    <w:p w:rsidR="0013719D" w:rsidRPr="0008480C" w:rsidP="0013719D">
      <w:pPr>
        <w:numPr>
          <w:ilvl w:val="0"/>
          <w:numId w:val="2"/>
        </w:numPr>
        <w:tabs>
          <w:tab w:val="clear" w:pos="1080"/>
          <w:tab w:val="left" w:pos="1440"/>
        </w:tabs>
        <w:spacing w:after="120"/>
      </w:pPr>
      <w:r>
        <w:t>Our short-term waiver is also based on ample d</w:t>
      </w:r>
      <w:r w:rsidRPr="0008480C">
        <w:t>ata submitted by the Companies indicat</w:t>
      </w:r>
      <w:r>
        <w:t>ing</w:t>
      </w:r>
      <w:r w:rsidRPr="0008480C">
        <w:t xml:space="preserve"> that the at-home call handling services provided by the Companies are in compliance with the Commission’s mandator</w:t>
      </w:r>
      <w:r w:rsidRPr="0008480C">
        <w:t>y minimum TRS standards,</w:t>
      </w:r>
      <w:r>
        <w:rPr>
          <w:sz w:val="20"/>
          <w:vertAlign w:val="superscript"/>
        </w:rPr>
        <w:footnoteReference w:id="38"/>
      </w:r>
      <w:r w:rsidRPr="0008480C">
        <w:t xml:space="preserve"> as well as the specific personnel, technical, and environmental safeguards adopted in the </w:t>
      </w:r>
      <w:r w:rsidRPr="0008480C">
        <w:rPr>
          <w:i/>
        </w:rPr>
        <w:t>VRS Improvements Report and Order</w:t>
      </w:r>
      <w:r w:rsidRPr="0008480C">
        <w:t xml:space="preserve"> for at-home calling stations.</w:t>
      </w:r>
      <w:r>
        <w:rPr>
          <w:sz w:val="20"/>
          <w:vertAlign w:val="superscript"/>
        </w:rPr>
        <w:footnoteReference w:id="39"/>
      </w:r>
      <w:r w:rsidRPr="0008480C">
        <w:t xml:space="preserve">  With respect to personnel safeguards, for example, the Companies report th</w:t>
      </w:r>
      <w:r w:rsidRPr="0008480C">
        <w:t>ey are in compliance with rules requiring that at-home CAs possess the requisite number of years handling VRS calls prior to taking on at-home functions,</w:t>
      </w:r>
      <w:r>
        <w:rPr>
          <w:sz w:val="20"/>
          <w:vertAlign w:val="superscript"/>
        </w:rPr>
        <w:footnoteReference w:id="40"/>
      </w:r>
      <w:r w:rsidRPr="0008480C">
        <w:t xml:space="preserve"> as well as compliance with the Commission’s generally applicable standards requiring competencies in </w:t>
      </w:r>
      <w:r w:rsidRPr="0008480C">
        <w:t>sign language interpreting and voice articulation, and familiarity with hearing and speech disability cultures.</w:t>
      </w:r>
      <w:r>
        <w:rPr>
          <w:sz w:val="20"/>
          <w:vertAlign w:val="superscript"/>
        </w:rPr>
        <w:footnoteReference w:id="41"/>
      </w:r>
      <w:r w:rsidRPr="0008480C">
        <w:t xml:space="preserve">  In addition, </w:t>
      </w:r>
      <w:r>
        <w:t xml:space="preserve">each of </w:t>
      </w:r>
      <w:r w:rsidRPr="0008480C">
        <w:t>the Companies ha</w:t>
      </w:r>
      <w:r>
        <w:t>s</w:t>
      </w:r>
      <w:r w:rsidRPr="0008480C">
        <w:t xml:space="preserve"> provided a copy of a certification that each at-home CA is required to sign, affirming that the CA unde</w:t>
      </w:r>
      <w:r w:rsidRPr="0008480C">
        <w:t>rstands and is committed to complying with TRS minimum standards, in the manner described in the Companies’ training manuals.</w:t>
      </w:r>
      <w:r>
        <w:rPr>
          <w:sz w:val="20"/>
          <w:vertAlign w:val="superscript"/>
        </w:rPr>
        <w:footnoteReference w:id="42"/>
      </w:r>
      <w:r w:rsidRPr="0008480C">
        <w:t xml:space="preserve">  The Companies also report that they have ensured the confidentiality of calls handled in at-home call stations by complying with</w:t>
      </w:r>
      <w:r w:rsidRPr="0008480C">
        <w:t xml:space="preserve"> requirements for at-home workstations to be in a secure, separate, and locked location; installing white noise emitters or soundproofing to prevent eavesdropping; and providing a secure and dedicated Internet connection between at-home stations and the Co</w:t>
      </w:r>
      <w:r w:rsidRPr="0008480C">
        <w:t>mpanies’ secure network.</w:t>
      </w:r>
      <w:r>
        <w:rPr>
          <w:sz w:val="20"/>
          <w:vertAlign w:val="superscript"/>
        </w:rPr>
        <w:footnoteReference w:id="43"/>
      </w:r>
      <w:r w:rsidRPr="0008480C">
        <w:t xml:space="preserve">  The data further indicates that the Companies have successfully ensured supervision </w:t>
      </w:r>
      <w:r w:rsidRPr="0008480C">
        <w:t>and conducted monitoring to fulfill their at-home call handling oversight obligations, for example, by installing external cameras, tracking soft</w:t>
      </w:r>
      <w:r w:rsidRPr="0008480C">
        <w:t>ware and monitoring equipment, and taking other measures to allow for daily communication with and internal reviews by supervisors.</w:t>
      </w:r>
      <w:r>
        <w:rPr>
          <w:sz w:val="20"/>
          <w:vertAlign w:val="superscript"/>
        </w:rPr>
        <w:footnoteReference w:id="44"/>
      </w:r>
      <w:r w:rsidRPr="0008480C">
        <w:t xml:space="preserve">  Similarly, the Companies report that they are ensuring the seamless integration of call routing distribution and tracking </w:t>
      </w:r>
      <w:r w:rsidRPr="0008480C">
        <w:t>systems for both their at-home calling stations and traditional call centers.</w:t>
      </w:r>
      <w:r>
        <w:rPr>
          <w:sz w:val="20"/>
          <w:vertAlign w:val="superscript"/>
        </w:rPr>
        <w:footnoteReference w:id="45"/>
      </w:r>
      <w:r w:rsidRPr="0008480C">
        <w:t xml:space="preserve">  In addition, data provided by the Companies on speed-of-answer performance show that the average level of service provided from the Companies’ at-home work stations is function</w:t>
      </w:r>
      <w:r w:rsidRPr="0008480C">
        <w:t>ally equivalent to voice telephone services, as required by the Communications Act.</w:t>
      </w:r>
      <w:r>
        <w:rPr>
          <w:sz w:val="20"/>
          <w:vertAlign w:val="superscript"/>
        </w:rPr>
        <w:footnoteReference w:id="46"/>
      </w:r>
      <w:r w:rsidRPr="0008480C">
        <w:t xml:space="preserve">  [</w:t>
      </w:r>
      <w:r w:rsidRPr="0008480C">
        <w:rPr>
          <w:b/>
        </w:rPr>
        <w:t>***BEGIN CONFIDENTIAL***</w:t>
      </w:r>
      <w:r w:rsidRPr="0008480C">
        <w:t>]</w:t>
      </w:r>
      <w:r w:rsidRPr="00BD5657">
        <w:rPr>
          <w:color w:val="0D0D0D" w:themeColor="text1" w:themeTint="F2"/>
          <w:highlight w:val="black"/>
        </w:rPr>
        <w:t>xx xxx xxx xxx xxxx xxxx xxx xxxxxxxx xxxx xxx x xxxxxxxxxx xxxxx xxxx xxxx xxxxxxxxxxx xxxxxxxxxxxxxxxxxx xxxxxxxx</w:t>
      </w:r>
      <w:r w:rsidRPr="00BD5657">
        <w:rPr>
          <w:color w:val="0D0D0D" w:themeColor="text1" w:themeTint="F2"/>
          <w:highlight w:val="black"/>
        </w:rPr>
        <w:t xml:space="preserve"> </w:t>
      </w:r>
      <w:r w:rsidRPr="00BD5657">
        <w:rPr>
          <w:color w:val="0D0D0D" w:themeColor="text1" w:themeTint="F2"/>
          <w:highlight w:val="black"/>
        </w:rPr>
        <w:t>xxxxxx xxx x x</w:t>
      </w:r>
      <w:r w:rsidRPr="0008480C">
        <w:t>[</w:t>
      </w:r>
      <w:r w:rsidRPr="0008480C">
        <w:rPr>
          <w:b/>
        </w:rPr>
        <w:t>***END CONFID</w:t>
      </w:r>
      <w:r w:rsidRPr="0008480C">
        <w:rPr>
          <w:b/>
        </w:rPr>
        <w:t>ENTIAL***</w:t>
      </w:r>
      <w:r w:rsidRPr="0008480C">
        <w:t>],</w:t>
      </w:r>
      <w:r>
        <w:rPr>
          <w:sz w:val="20"/>
          <w:vertAlign w:val="superscript"/>
        </w:rPr>
        <w:footnoteReference w:id="47"/>
      </w:r>
      <w:r w:rsidRPr="0008480C">
        <w:t xml:space="preserve"> indicating that the quality of service likely has not been compromised by the use of at-home call handling.</w:t>
      </w:r>
      <w:r>
        <w:rPr>
          <w:sz w:val="20"/>
          <w:vertAlign w:val="superscript"/>
        </w:rPr>
        <w:footnoteReference w:id="48"/>
      </w:r>
    </w:p>
    <w:p w:rsidR="0013719D" w:rsidP="0013719D">
      <w:pPr>
        <w:numPr>
          <w:ilvl w:val="0"/>
          <w:numId w:val="2"/>
        </w:numPr>
        <w:tabs>
          <w:tab w:val="clear" w:pos="1080"/>
          <w:tab w:val="left" w:pos="1440"/>
        </w:tabs>
        <w:spacing w:after="120"/>
      </w:pPr>
      <w:r w:rsidRPr="0008480C">
        <w:t xml:space="preserve">For the reasons enumerated above, the Bureau concludes that there is good cause to waive the pilot program’s end date until </w:t>
      </w:r>
      <w:r>
        <w:t>April 30</w:t>
      </w:r>
      <w:r w:rsidRPr="0008480C">
        <w:t xml:space="preserve">, 2019.  Allowing the Companies to extend by </w:t>
      </w:r>
      <w:r>
        <w:t xml:space="preserve">six </w:t>
      </w:r>
      <w:r w:rsidRPr="0008480C">
        <w:t>months their participation in the at-home interpreting pilot program will serve the public interest and enable more effective implementation of the Commission’s requirements to provide TRS that is both effic</w:t>
      </w:r>
      <w:r w:rsidRPr="0008480C">
        <w:t>ient and functionally equivalent to voice telephone services.</w:t>
      </w:r>
      <w:r>
        <w:rPr>
          <w:sz w:val="20"/>
          <w:vertAlign w:val="superscript"/>
        </w:rPr>
        <w:footnoteReference w:id="49"/>
      </w:r>
      <w:r w:rsidRPr="0008480C">
        <w:t xml:space="preserve">  Further, the Companies’ reports of successful implementation of at-home interpreting and the lack of evidence of waste, fraud, and abuse, or failure to meet TRS standards, persuade us that ter</w:t>
      </w:r>
      <w:r w:rsidRPr="0008480C">
        <w:t>minating the Companies’ participation in the pilot program at this time is not necessary to prevent harm to the TRS program.  In fact, terminating the pilot program could result in less efficient service for VRS consumers due to an immediate reduction of a</w:t>
      </w:r>
      <w:r w:rsidRPr="0008480C">
        <w:t>vailable CAs.</w:t>
      </w:r>
    </w:p>
    <w:p w:rsidR="0013719D" w:rsidP="006C1321">
      <w:pPr>
        <w:widowControl/>
        <w:numPr>
          <w:ilvl w:val="0"/>
          <w:numId w:val="2"/>
        </w:numPr>
        <w:tabs>
          <w:tab w:val="clear" w:pos="1080"/>
          <w:tab w:val="left" w:pos="1440"/>
        </w:tabs>
        <w:spacing w:after="120"/>
      </w:pPr>
      <w:r>
        <w:t xml:space="preserve">We find that the public interest in maintaining the efficiencies of the pilot program and reducing costs associated with the program’s lapse outweighs Sorenson’s </w:t>
      </w:r>
      <w:r w:rsidRPr="00631B67">
        <w:t>unsupported</w:t>
      </w:r>
      <w:r>
        <w:t xml:space="preserve"> claims of competitive harm to other providers</w:t>
      </w:r>
      <w:r w:rsidRPr="00996272">
        <w:t xml:space="preserve"> who elected not to par</w:t>
      </w:r>
      <w:r w:rsidRPr="00996272">
        <w:t>ticipate in this time-limited pilot program</w:t>
      </w:r>
      <w:r>
        <w:t>.</w:t>
      </w:r>
      <w:r>
        <w:t xml:space="preserve">  </w:t>
      </w:r>
      <w:r>
        <w:t>Additionally, g</w:t>
      </w:r>
      <w:r>
        <w:t>iven the reported benefits of at-home interpreting</w:t>
      </w:r>
      <w:r>
        <w:t xml:space="preserve"> and</w:t>
      </w:r>
      <w:r>
        <w:t xml:space="preserve"> </w:t>
      </w:r>
      <w:r>
        <w:t>the lack of evidence of harm to the TRS program—</w:t>
      </w:r>
      <w:r>
        <w:t xml:space="preserve">and </w:t>
      </w:r>
      <w:r>
        <w:t xml:space="preserve">because </w:t>
      </w:r>
      <w:r>
        <w:t>the pilot program</w:t>
      </w:r>
      <w:r>
        <w:t xml:space="preserve"> rules already limit the extent of at-home interpreting</w:t>
      </w:r>
      <w:r>
        <w:t xml:space="preserve"> </w:t>
      </w:r>
      <w:r>
        <w:t xml:space="preserve">to </w:t>
      </w:r>
      <w:r>
        <w:t>30 p</w:t>
      </w:r>
      <w:r>
        <w:t xml:space="preserve">ercent </w:t>
      </w:r>
      <w:r>
        <w:t xml:space="preserve">of </w:t>
      </w:r>
      <w:r>
        <w:t>a provider’s monthly at-home minutes</w:t>
      </w:r>
      <w:r>
        <w:rPr>
          <w:rStyle w:val="FootnoteReference"/>
        </w:rPr>
        <w:footnoteReference w:id="50"/>
      </w:r>
      <w:r>
        <w:t>—</w:t>
      </w:r>
      <w:r>
        <w:t xml:space="preserve">we </w:t>
      </w:r>
      <w:r>
        <w:t>conclude that further</w:t>
      </w:r>
      <w:r>
        <w:t xml:space="preserve"> limit</w:t>
      </w:r>
      <w:r>
        <w:t>s, such as restricting</w:t>
      </w:r>
      <w:r>
        <w:t xml:space="preserve"> the scope of the waiver to interpreters </w:t>
      </w:r>
      <w:r>
        <w:t>currently working</w:t>
      </w:r>
      <w:r>
        <w:t xml:space="preserve"> at home</w:t>
      </w:r>
      <w:r>
        <w:t>,</w:t>
      </w:r>
      <w:r>
        <w:rPr>
          <w:rStyle w:val="FootnoteReference"/>
        </w:rPr>
        <w:footnoteReference w:id="51"/>
      </w:r>
      <w:r>
        <w:t xml:space="preserve"> </w:t>
      </w:r>
      <w:r>
        <w:t>w</w:t>
      </w:r>
      <w:r>
        <w:t>o</w:t>
      </w:r>
      <w:r>
        <w:t>uld</w:t>
      </w:r>
      <w:r>
        <w:t xml:space="preserve"> not serve the public interest</w:t>
      </w:r>
      <w:r>
        <w:t>.</w:t>
      </w:r>
    </w:p>
    <w:p w:rsidR="0013719D" w:rsidP="0013719D">
      <w:pPr>
        <w:numPr>
          <w:ilvl w:val="0"/>
          <w:numId w:val="2"/>
        </w:numPr>
        <w:tabs>
          <w:tab w:val="clear" w:pos="1080"/>
          <w:tab w:val="left" w:pos="1440"/>
        </w:tabs>
        <w:spacing w:after="120"/>
      </w:pPr>
      <w:r w:rsidRPr="0008480C">
        <w:rPr>
          <w:szCs w:val="22"/>
        </w:rPr>
        <w:t>To prevent a lapse in services provided to VRS con</w:t>
      </w:r>
      <w:r w:rsidRPr="0008480C">
        <w:rPr>
          <w:szCs w:val="22"/>
        </w:rPr>
        <w:t>sumers via the pilot program, this partial waiver of the pilot program rules to extend the program expiration date shall be effective on November 1, 2018</w:t>
      </w:r>
      <w:r w:rsidRPr="0008480C">
        <w:t>.  As a condition of the waivers granted herein, during the period of the extension, the Companies shal</w:t>
      </w:r>
      <w:r w:rsidRPr="0008480C">
        <w:t>l continue to comply with the pilot program’s requirements in section 64.604(b)(8) of the rules, including the submission of monthly reports to the TRS Fund administrator as specified in section 64.604(b)(8)(viii) of the rules, as well as additional report</w:t>
      </w:r>
      <w:r w:rsidRPr="0008480C">
        <w:t xml:space="preserve">s, to be filed on or before December 1, 2018 (covering the second six months of the pilot period), </w:t>
      </w:r>
      <w:r>
        <w:t xml:space="preserve">and </w:t>
      </w:r>
      <w:r w:rsidRPr="0008480C">
        <w:t xml:space="preserve">March 1, 2019 (covering the </w:t>
      </w:r>
      <w:r>
        <w:t xml:space="preserve">first </w:t>
      </w:r>
      <w:r w:rsidRPr="0008480C">
        <w:t>three</w:t>
      </w:r>
      <w:r>
        <w:t xml:space="preserve"> </w:t>
      </w:r>
      <w:r w:rsidRPr="0008480C">
        <w:t>month</w:t>
      </w:r>
      <w:r>
        <w:t>s of the</w:t>
      </w:r>
      <w:r w:rsidRPr="0008480C">
        <w:t xml:space="preserve"> extension authorized by this order), each of which must include information specified in section 64</w:t>
      </w:r>
      <w:r w:rsidRPr="0008480C">
        <w:t>.604(b)(8)(ix) of the rules.</w:t>
      </w:r>
      <w:r>
        <w:rPr>
          <w:sz w:val="20"/>
          <w:vertAlign w:val="superscript"/>
        </w:rPr>
        <w:footnoteReference w:id="52"/>
      </w:r>
      <w:r w:rsidRPr="0008480C">
        <w:t xml:space="preserve">  </w:t>
      </w:r>
    </w:p>
    <w:p w:rsidR="0013719D" w:rsidP="0013719D">
      <w:pPr>
        <w:numPr>
          <w:ilvl w:val="0"/>
          <w:numId w:val="2"/>
        </w:numPr>
        <w:tabs>
          <w:tab w:val="clear" w:pos="1080"/>
          <w:tab w:val="left" w:pos="1440"/>
        </w:tabs>
        <w:spacing w:after="120"/>
      </w:pPr>
      <w:r>
        <w:t>Sorenson argues that it determined not to participate in the pilot program based on the understanding that the pilot would be limited only to one year.  However, w</w:t>
      </w:r>
      <w:r w:rsidRPr="006D6ABA">
        <w:t>e do not grant the Companies’ request for an extension of mor</w:t>
      </w:r>
      <w:r w:rsidRPr="006D6ABA">
        <w:t>e than two years, i.e., through December 31, 2020</w:t>
      </w:r>
      <w:r>
        <w:t>.</w:t>
      </w:r>
      <w:r>
        <w:rPr>
          <w:rStyle w:val="FootnoteReference"/>
        </w:rPr>
        <w:footnoteReference w:id="53"/>
      </w:r>
      <w:r>
        <w:t xml:space="preserve">  </w:t>
      </w:r>
      <w:r w:rsidRPr="006D6ABA">
        <w:t>The more</w:t>
      </w:r>
      <w:r>
        <w:t xml:space="preserve"> limited </w:t>
      </w:r>
      <w:r w:rsidRPr="006D6ABA">
        <w:t>extension granted in this Order will afford sufficient time for the Commission to consider the advisability of permanently authorizing at-home interpreting, and, if appropriate, to devel</w:t>
      </w:r>
      <w:r w:rsidRPr="006D6ABA">
        <w:t>op and publish a proposal and take other action the Commission may deem necessary</w:t>
      </w:r>
      <w:r>
        <w:t>,</w:t>
      </w:r>
      <w:r>
        <w:rPr>
          <w:rStyle w:val="FootnoteReference"/>
        </w:rPr>
        <w:footnoteReference w:id="54"/>
      </w:r>
      <w:r w:rsidRPr="006D6ABA">
        <w:t xml:space="preserve"> </w:t>
      </w:r>
      <w:r>
        <w:t>while minimizing any potential competitive disadvantages to other providers</w:t>
      </w:r>
      <w:r w:rsidRPr="006D6ABA">
        <w:t>.</w:t>
      </w:r>
      <w:r>
        <w:t xml:space="preserve">  Although Sorenson argues that granting a waiver to ZVRS and Purple alone would unfairly discri</w:t>
      </w:r>
      <w:r>
        <w:t>minate against other VRS providers,</w:t>
      </w:r>
      <w:r>
        <w:rPr>
          <w:rStyle w:val="FootnoteReference"/>
        </w:rPr>
        <w:footnoteReference w:id="55"/>
      </w:r>
      <w:r>
        <w:t xml:space="preserve"> t</w:t>
      </w:r>
      <w:r w:rsidRPr="0008480C">
        <w:t>o date, no non-participating VRS provider has made an individualized showing of special circumstances in support of a waiver of the rules to allow it to begin participating in the pilot program.</w:t>
      </w:r>
      <w:r>
        <w:rPr>
          <w:sz w:val="20"/>
          <w:szCs w:val="22"/>
          <w:vertAlign w:val="superscript"/>
        </w:rPr>
        <w:footnoteReference w:id="56"/>
      </w:r>
      <w:r w:rsidRPr="0008480C">
        <w:t xml:space="preserve"> </w:t>
      </w:r>
      <w:r>
        <w:t xml:space="preserve"> Accordingly, there is no basis for Sorenson’s discrimination claim.  </w:t>
      </w:r>
    </w:p>
    <w:p w:rsidR="0013719D" w:rsidRPr="0008480C" w:rsidP="0013719D">
      <w:pPr>
        <w:numPr>
          <w:ilvl w:val="0"/>
          <w:numId w:val="2"/>
        </w:numPr>
        <w:tabs>
          <w:tab w:val="clear" w:pos="1080"/>
          <w:tab w:val="left" w:pos="1440"/>
        </w:tabs>
        <w:spacing w:after="120"/>
      </w:pPr>
      <w:r>
        <w:t>We are also unpersuaded</w:t>
      </w:r>
      <w:r w:rsidRPr="00BD4D06">
        <w:t xml:space="preserve"> by Sorenson’s </w:t>
      </w:r>
      <w:r>
        <w:t>argument against granting a waiver based on the Companies’ confidential data submissions, which Sorenson claims were unavailable to other parties.</w:t>
      </w:r>
      <w:r>
        <w:rPr>
          <w:rStyle w:val="FootnoteReference"/>
        </w:rPr>
        <w:footnoteReference w:id="57"/>
      </w:r>
      <w:r w:rsidRPr="008575D2">
        <w:t xml:space="preserve"> </w:t>
      </w:r>
      <w:r>
        <w:t xml:space="preserve"> </w:t>
      </w:r>
      <w:r>
        <w:t xml:space="preserve">We note that the </w:t>
      </w:r>
      <w:r>
        <w:rPr>
          <w:i/>
        </w:rPr>
        <w:t>Third Protective Order</w:t>
      </w:r>
      <w:r>
        <w:t xml:space="preserve"> in these dockets provides procedures whereby confidential data </w:t>
      </w:r>
      <w:r>
        <w:t>submitted in Commission proceedings may be made available to any interested party subject to protective safeguards</w:t>
      </w:r>
      <w:r>
        <w:t>.</w:t>
      </w:r>
      <w:r>
        <w:rPr>
          <w:rStyle w:val="FootnoteReference"/>
        </w:rPr>
        <w:footnoteReference w:id="58"/>
      </w:r>
      <w:r>
        <w:t xml:space="preserve">  </w:t>
      </w:r>
      <w:r w:rsidRPr="008575D2">
        <w:t xml:space="preserve">In the event that </w:t>
      </w:r>
      <w:r>
        <w:t>the Companies s</w:t>
      </w:r>
      <w:r>
        <w:t xml:space="preserve">eek </w:t>
      </w:r>
      <w:r w:rsidRPr="008575D2">
        <w:t xml:space="preserve">a further extension, any confidential data </w:t>
      </w:r>
      <w:r>
        <w:t xml:space="preserve">relied on </w:t>
      </w:r>
      <w:r w:rsidRPr="008575D2">
        <w:t xml:space="preserve">must be made available to other parties </w:t>
      </w:r>
      <w:r>
        <w:t xml:space="preserve">in a timely fashion </w:t>
      </w:r>
      <w:r w:rsidRPr="008575D2">
        <w:t xml:space="preserve">under the terms of the </w:t>
      </w:r>
      <w:r w:rsidRPr="00DB7058">
        <w:rPr>
          <w:i/>
        </w:rPr>
        <w:t>Third Protective Order</w:t>
      </w:r>
      <w:r w:rsidRPr="008575D2">
        <w:t>.</w:t>
      </w:r>
      <w:r>
        <w:t xml:space="preserve">   </w:t>
      </w:r>
    </w:p>
    <w:p w:rsidR="0013719D" w:rsidRPr="0008480C" w:rsidP="0013719D">
      <w:pPr>
        <w:keepNext/>
        <w:numPr>
          <w:ilvl w:val="0"/>
          <w:numId w:val="3"/>
        </w:numPr>
        <w:tabs>
          <w:tab w:val="left" w:pos="720"/>
        </w:tabs>
        <w:suppressAutoHyphens/>
        <w:spacing w:after="120"/>
        <w:outlineLvl w:val="0"/>
        <w:rPr>
          <w:rFonts w:ascii="Times New Roman Bold" w:hAnsi="Times New Roman Bold"/>
          <w:b/>
          <w:caps/>
        </w:rPr>
      </w:pPr>
      <w:r w:rsidRPr="0008480C">
        <w:rPr>
          <w:rFonts w:ascii="Times New Roman Bold" w:hAnsi="Times New Roman Bold"/>
          <w:b/>
          <w:caps/>
        </w:rPr>
        <w:t xml:space="preserve">oRDERING CLAUSES </w:t>
      </w:r>
    </w:p>
    <w:p w:rsidR="0013719D" w:rsidRPr="0008480C" w:rsidP="0013719D">
      <w:pPr>
        <w:numPr>
          <w:ilvl w:val="0"/>
          <w:numId w:val="2"/>
        </w:numPr>
        <w:tabs>
          <w:tab w:val="clear" w:pos="1080"/>
          <w:tab w:val="left" w:pos="1440"/>
        </w:tabs>
        <w:spacing w:after="120"/>
      </w:pPr>
      <w:r w:rsidRPr="0008480C">
        <w:t>Accordingly, IT IS ORDERED, pursuant to sections 1, 4(i), 4(j), and 225</w:t>
      </w:r>
      <w:r w:rsidRPr="0008480C">
        <w:t xml:space="preserve"> of the Communications Act of 1934, as amended, 47 U.S.C. §§ 151, 154(i), 154(j), 225, and sections 0.141, 0.361, and 1.3 of the Commission’s rules, 47 CFR §§ 0.141, 0.361, 1.3, that this Order IS ADOPTED.</w:t>
      </w:r>
    </w:p>
    <w:p w:rsidR="0013719D" w:rsidRPr="0008480C" w:rsidP="0013719D">
      <w:pPr>
        <w:numPr>
          <w:ilvl w:val="0"/>
          <w:numId w:val="2"/>
        </w:numPr>
        <w:tabs>
          <w:tab w:val="clear" w:pos="1080"/>
          <w:tab w:val="left" w:pos="1440"/>
        </w:tabs>
        <w:spacing w:after="120"/>
      </w:pPr>
      <w:bookmarkStart w:id="10" w:name="_Hlk527108162"/>
      <w:r w:rsidRPr="0008480C">
        <w:t>IT IS FURTHER ORDERED that the joint request of CS</w:t>
      </w:r>
      <w:r w:rsidRPr="0008480C">
        <w:t>DVRS, LLC d/b/a ZVRS and Purple Communications, Inc. for waiver and extension of the VRS at-home call handling pilot program IS GRANTED to the extent discussed herein and is otherwise DENIED.</w:t>
      </w:r>
    </w:p>
    <w:p w:rsidR="0013719D" w:rsidRPr="0008480C" w:rsidP="0013719D">
      <w:pPr>
        <w:numPr>
          <w:ilvl w:val="0"/>
          <w:numId w:val="2"/>
        </w:numPr>
        <w:tabs>
          <w:tab w:val="clear" w:pos="1080"/>
          <w:tab w:val="left" w:pos="1440"/>
        </w:tabs>
        <w:spacing w:after="120"/>
      </w:pPr>
      <w:bookmarkEnd w:id="10"/>
      <w:r w:rsidRPr="0008480C">
        <w:t>IT IS FURTHER ORDERED that this Order shall be effective on Nove</w:t>
      </w:r>
      <w:r w:rsidRPr="0008480C">
        <w:t xml:space="preserve">mber 1, 2018. </w:t>
      </w:r>
    </w:p>
    <w:p w:rsidR="0013719D" w:rsidRPr="0008480C" w:rsidP="0013719D">
      <w:pPr>
        <w:tabs>
          <w:tab w:val="left" w:pos="1440"/>
        </w:tabs>
        <w:spacing w:after="120"/>
        <w:ind w:firstLine="720"/>
      </w:pPr>
    </w:p>
    <w:p w:rsidR="0013719D" w:rsidRPr="0008480C" w:rsidP="0013719D">
      <w:pPr>
        <w:ind w:left="4320"/>
      </w:pPr>
      <w:r w:rsidRPr="0008480C">
        <w:t>Patrick Webre</w:t>
      </w:r>
    </w:p>
    <w:p w:rsidR="0013719D" w:rsidRPr="0008480C" w:rsidP="0013719D">
      <w:pPr>
        <w:ind w:left="4320"/>
      </w:pPr>
      <w:r w:rsidRPr="0008480C">
        <w:t>Chief, Consumer and Governmental Affairs Bureau</w:t>
      </w:r>
    </w:p>
    <w:p w:rsidR="0013719D" w:rsidRPr="0008480C" w:rsidP="0013719D"/>
    <w:p w:rsidR="0013719D" w:rsidRPr="0008480C" w:rsidP="0013719D">
      <w:pPr>
        <w:ind w:left="4320"/>
      </w:pPr>
    </w:p>
    <w:p w:rsidR="00412FC5" w:rsidRPr="0013719D" w:rsidP="0013719D"/>
    <w:sectPr w:rsidSect="0055614C">
      <w:headerReference w:type="default" r:id="rId5"/>
      <w:footerReference w:type="even" r:id="rId6"/>
      <w:footerReference w:type="default" r:id="rId7"/>
      <w:headerReference w:type="first" r:id="rId8"/>
      <w:footerReference w:type="first" r:id="rId9"/>
      <w:pgSz w:w="12240" w:h="15840"/>
      <w:pgMar w:top="1440" w:right="1440" w:bottom="720" w:left="1440" w:header="720" w:footer="720" w:gutter="0"/>
      <w:pgNumType w:start="1"/>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imesNewRoman,Italic">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swiss"/>
    <w:notTrueType/>
    <w:pitch w:val="default"/>
    <w:sig w:usb0="00000003" w:usb1="00000000" w:usb2="00000000" w:usb3="00000000" w:csb0="00000001"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rsidP="0055614C">
    <w:pPr>
      <w:pStyle w:val="Footer"/>
      <w:framePr w:wrap="around" w:vAnchor="text" w:hAnchor="margin" w:xAlign="center" w:y="1"/>
    </w:pPr>
    <w:r>
      <w:fldChar w:fldCharType="begin"/>
    </w:r>
    <w:r>
      <w:instrText xml:space="preserve">PAGE  </w:instrText>
    </w:r>
    <w:r>
      <w:fldChar w:fldCharType="separate"/>
    </w:r>
    <w:r>
      <w:fldChar w:fldCharType="end"/>
    </w:r>
  </w:p>
  <w:p w:rsidR="00D25F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D7308">
    <w:pPr>
      <w:pStyle w:val="Footer"/>
      <w:jc w:val="center"/>
    </w:pPr>
    <w:r>
      <w:fldChar w:fldCharType="begin"/>
    </w:r>
    <w:r>
      <w:instrText xml:space="preserve"> PAGE   \* MERGEFORMAT </w:instrText>
    </w:r>
    <w:r>
      <w:fldChar w:fldCharType="separate"/>
    </w:r>
    <w:r>
      <w:rPr>
        <w:noProof/>
      </w:rPr>
      <w:t>2</w:t>
    </w:r>
    <w:r>
      <w:rPr>
        <w:noProof/>
      </w:rPr>
      <w:fldChar w:fldCharType="end"/>
    </w:r>
  </w:p>
  <w:p w:rsidR="00D25FB5">
    <w:pPr>
      <w:suppressAutoHyphens/>
      <w:spacing w:line="227"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pPr>
      <w:pStyle w:val="Footer"/>
      <w:tabs>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13719D">
      <w:r>
        <w:separator/>
      </w:r>
    </w:p>
  </w:footnote>
  <w:footnote w:type="continuationSeparator" w:id="1">
    <w:p w:rsidR="0013719D" w:rsidP="00C721AC">
      <w:pPr>
        <w:spacing w:before="120"/>
        <w:rPr>
          <w:sz w:val="20"/>
        </w:rPr>
      </w:pPr>
      <w:r>
        <w:rPr>
          <w:sz w:val="20"/>
        </w:rPr>
        <w:t xml:space="preserve">(Continued from previous page)  </w:t>
      </w:r>
      <w:r>
        <w:rPr>
          <w:sz w:val="20"/>
        </w:rPr>
        <w:separator/>
      </w:r>
    </w:p>
  </w:footnote>
  <w:footnote w:type="continuationNotice" w:id="2">
    <w:p w:rsidR="0013719D" w:rsidP="00C721AC">
      <w:pPr>
        <w:jc w:val="right"/>
        <w:rPr>
          <w:sz w:val="20"/>
        </w:rPr>
      </w:pPr>
      <w:r>
        <w:rPr>
          <w:sz w:val="20"/>
        </w:rPr>
        <w:t>(continued….)</w:t>
      </w:r>
    </w:p>
  </w:footnote>
  <w:footnote w:id="3">
    <w:p w:rsidR="0013719D" w:rsidP="0013719D">
      <w:pPr>
        <w:pStyle w:val="FootnoteText"/>
      </w:pPr>
      <w:r>
        <w:rPr>
          <w:rStyle w:val="FootnoteReference"/>
        </w:rPr>
        <w:footnoteRef/>
      </w:r>
      <w:r>
        <w:t xml:space="preserve"> </w:t>
      </w:r>
      <w:r>
        <w:rPr>
          <w:i/>
        </w:rPr>
        <w:t xml:space="preserve">Structure and Practices of the Video Relay Service Program; Telecommunications Relay Services and Speech-to-Speech Services for Individuals with Hearing and Speech </w:t>
      </w:r>
      <w:r>
        <w:rPr>
          <w:i/>
        </w:rPr>
        <w:t>Disabilities</w:t>
      </w:r>
      <w:r>
        <w:t>, Report and Order, Notice of Inquiry, Further Notice of Proposed Rulemaking, and Order, 32 FCC Rcd 2436, 2455-56, para. 46 (2017) (</w:t>
      </w:r>
      <w:r>
        <w:rPr>
          <w:i/>
        </w:rPr>
        <w:t>VRS Improvements Report and Order</w:t>
      </w:r>
      <w:r>
        <w:t xml:space="preserve">) (adopting </w:t>
      </w:r>
      <w:r>
        <w:rPr>
          <w:snapToGrid w:val="0"/>
        </w:rPr>
        <w:t>47 CFR § 64.604(b)(4)(iii), (8)).</w:t>
      </w:r>
    </w:p>
  </w:footnote>
  <w:footnote w:id="4">
    <w:p w:rsidR="0013719D" w:rsidRPr="006B5B83" w:rsidP="0013719D">
      <w:pPr>
        <w:pStyle w:val="FootnoteText"/>
      </w:pPr>
      <w:r>
        <w:rPr>
          <w:rStyle w:val="FootnoteReference"/>
        </w:rPr>
        <w:footnoteRef/>
      </w:r>
      <w:r>
        <w:t xml:space="preserve"> This monthly maximum is calcula</w:t>
      </w:r>
      <w:r>
        <w:t xml:space="preserve">ted as the greater of (1) 30 percent of the provider’s </w:t>
      </w:r>
      <w:r w:rsidRPr="00D91C07">
        <w:t xml:space="preserve">total minutes </w:t>
      </w:r>
      <w:r>
        <w:t>compensated minutes for that month, or (2)</w:t>
      </w:r>
      <w:r w:rsidRPr="00D91C07">
        <w:t xml:space="preserve"> 30 percent of the provider’s average monthly minutes for the 12 mon</w:t>
      </w:r>
      <w:r>
        <w:t xml:space="preserve">ths ending October 31, 2017.  47 CFR § 64.604(b)(8)(iii). </w:t>
      </w:r>
    </w:p>
  </w:footnote>
  <w:footnote w:id="5">
    <w:p w:rsidR="0013719D" w:rsidP="0013719D">
      <w:pPr>
        <w:pStyle w:val="FootnoteText"/>
      </w:pPr>
      <w:r>
        <w:rPr>
          <w:rStyle w:val="FootnoteReference"/>
        </w:rPr>
        <w:footnoteRef/>
      </w:r>
      <w:r>
        <w:t xml:space="preserve"> </w:t>
      </w:r>
      <w:r w:rsidRPr="00AD2778">
        <w:rPr>
          <w:i/>
        </w:rPr>
        <w:t>Id</w:t>
      </w:r>
      <w:r>
        <w:t>.</w:t>
      </w:r>
      <w:r>
        <w:t xml:space="preserve"> § 64.604(b)(</w:t>
      </w:r>
      <w:r>
        <w:t xml:space="preserve">8).  Current </w:t>
      </w:r>
      <w:r w:rsidRPr="003113B0">
        <w:rPr>
          <w:szCs w:val="22"/>
        </w:rPr>
        <w:t>participa</w:t>
      </w:r>
      <w:r>
        <w:rPr>
          <w:szCs w:val="22"/>
        </w:rPr>
        <w:t xml:space="preserve">nts of </w:t>
      </w:r>
      <w:r w:rsidRPr="003113B0">
        <w:rPr>
          <w:szCs w:val="22"/>
        </w:rPr>
        <w:t>the pilot program submit</w:t>
      </w:r>
      <w:r>
        <w:rPr>
          <w:szCs w:val="22"/>
        </w:rPr>
        <w:t>ted</w:t>
      </w:r>
      <w:r w:rsidRPr="003113B0">
        <w:rPr>
          <w:szCs w:val="22"/>
        </w:rPr>
        <w:t xml:space="preserve"> in advance a detailed plan explaining how the</w:t>
      </w:r>
      <w:r>
        <w:rPr>
          <w:szCs w:val="22"/>
        </w:rPr>
        <w:t>ir</w:t>
      </w:r>
      <w:r w:rsidRPr="003113B0">
        <w:rPr>
          <w:szCs w:val="22"/>
        </w:rPr>
        <w:t xml:space="preserve"> management of at-home work stations would comply with the program safeguards, meet the TRS mandatory minimum standards, guarantee call confidentiality,</w:t>
      </w:r>
      <w:r w:rsidRPr="003113B0">
        <w:rPr>
          <w:szCs w:val="22"/>
        </w:rPr>
        <w:t xml:space="preserve"> and protect against waste, fraud, and abuse</w:t>
      </w:r>
      <w:r>
        <w:rPr>
          <w:szCs w:val="22"/>
        </w:rPr>
        <w:t xml:space="preserve">.  </w:t>
      </w:r>
      <w:r w:rsidRPr="00AD2778">
        <w:rPr>
          <w:i/>
        </w:rPr>
        <w:t>Id</w:t>
      </w:r>
      <w:r>
        <w:t>.</w:t>
      </w:r>
      <w:r w:rsidRPr="001C06A7">
        <w:t xml:space="preserve"> </w:t>
      </w:r>
      <w:r>
        <w:t> 6</w:t>
      </w:r>
      <w:r w:rsidRPr="001C06A7">
        <w:t>4.604(b)(8)(i).</w:t>
      </w:r>
    </w:p>
  </w:footnote>
  <w:footnote w:id="6">
    <w:p w:rsidR="0013719D" w:rsidP="0013719D">
      <w:pPr>
        <w:pStyle w:val="FootnoteText"/>
      </w:pPr>
      <w:r>
        <w:rPr>
          <w:rStyle w:val="FootnoteReference"/>
        </w:rPr>
        <w:footnoteRef/>
      </w:r>
      <w:r>
        <w:t xml:space="preserve"> </w:t>
      </w:r>
      <w:r w:rsidRPr="00AD2778">
        <w:rPr>
          <w:i/>
        </w:rPr>
        <w:t>Id</w:t>
      </w:r>
      <w:r>
        <w:t>.</w:t>
      </w:r>
      <w:r>
        <w:t xml:space="preserve"> § 64.604(b)(8)(viii), (ix).</w:t>
      </w:r>
    </w:p>
  </w:footnote>
  <w:footnote w:id="7">
    <w:p w:rsidR="0013719D" w:rsidP="0013719D">
      <w:pPr>
        <w:pStyle w:val="FootnoteText"/>
      </w:pPr>
      <w:r>
        <w:rPr>
          <w:rStyle w:val="FootnoteReference"/>
        </w:rPr>
        <w:footnoteRef/>
      </w:r>
      <w:r>
        <w:t xml:space="preserve"> </w:t>
      </w:r>
      <w:r>
        <w:rPr>
          <w:rFonts w:ascii="TimesNewRoman,Italic" w:hAnsi="TimesNewRoman,Italic" w:cs="TimesNewRoman,Italic"/>
          <w:i/>
          <w:iCs/>
        </w:rPr>
        <w:t>See Purple Communications, Inc. et al.</w:t>
      </w:r>
      <w:r>
        <w:rPr>
          <w:rFonts w:ascii="TimesNewRoman" w:hAnsi="TimesNewRoman" w:cs="TimesNewRoman"/>
        </w:rPr>
        <w:t>, Order and Consent Decree, 32 FCC Rcd 1608, 1615, para. 9 (2017).</w:t>
      </w:r>
    </w:p>
  </w:footnote>
  <w:footnote w:id="8">
    <w:p w:rsidR="0013719D" w:rsidP="0013719D">
      <w:pPr>
        <w:pStyle w:val="FootnoteText"/>
      </w:pPr>
      <w:r>
        <w:rPr>
          <w:rStyle w:val="FootnoteReference"/>
        </w:rPr>
        <w:footnoteRef/>
      </w:r>
      <w:r>
        <w:t xml:space="preserve"> </w:t>
      </w:r>
      <w:r w:rsidRPr="00B750C4">
        <w:rPr>
          <w:i/>
        </w:rPr>
        <w:t xml:space="preserve">Authorizations Granted to CSDVRS, LLC, and </w:t>
      </w:r>
      <w:r w:rsidRPr="00B750C4">
        <w:rPr>
          <w:i/>
        </w:rPr>
        <w:t>Purple Communications, Inc., to Participate in the VRS At-Home Call Handling Pilot Program</w:t>
      </w:r>
      <w:r>
        <w:t>, CG Docket Nos. 10-51 and 03-123, Public Notice, 32 FCC Rcd 9245 (CGB October 31, 2017).</w:t>
      </w:r>
    </w:p>
  </w:footnote>
  <w:footnote w:id="9">
    <w:p w:rsidR="0013719D" w:rsidRPr="00930865" w:rsidP="0013719D">
      <w:pPr>
        <w:pStyle w:val="FootnoteText"/>
      </w:pPr>
      <w:r>
        <w:rPr>
          <w:rStyle w:val="FootnoteReference"/>
        </w:rPr>
        <w:footnoteRef/>
      </w:r>
      <w:r>
        <w:t xml:space="preserve"> </w:t>
      </w:r>
      <w:r>
        <w:rPr>
          <w:i/>
        </w:rPr>
        <w:t xml:space="preserve">See </w:t>
      </w:r>
      <w:r>
        <w:t>Petition of CSDVRS, LLC dba ZVRS and Purple Communications, Inc. for R</w:t>
      </w:r>
      <w:r>
        <w:t xml:space="preserve">ulemaking to Permanently Authorize At-Home Video Relay Service Call Handling, </w:t>
      </w:r>
      <w:bookmarkStart w:id="2" w:name="_Hlk528571264"/>
      <w:r>
        <w:t xml:space="preserve">CG Docket Nos. </w:t>
      </w:r>
      <w:r w:rsidRPr="00516E7C">
        <w:t>10-51 and 03-123</w:t>
      </w:r>
      <w:bookmarkEnd w:id="2"/>
      <w:r w:rsidRPr="00516E7C">
        <w:t>, at 3</w:t>
      </w:r>
      <w:r>
        <w:t>,</w:t>
      </w:r>
      <w:r w:rsidRPr="00516E7C">
        <w:t xml:space="preserve"> Ex. </w:t>
      </w:r>
      <w:r>
        <w:t xml:space="preserve">A, &amp; Ex. </w:t>
      </w:r>
      <w:r w:rsidRPr="00516E7C">
        <w:t>B</w:t>
      </w:r>
      <w:r>
        <w:t xml:space="preserve">  (filed Aug. 29, 2018) (Petition) (attaching copies of each provider’s six-month report);</w:t>
      </w:r>
      <w:r w:rsidRPr="006C1B43">
        <w:rPr>
          <w:i/>
        </w:rPr>
        <w:t xml:space="preserve"> see also</w:t>
      </w:r>
      <w:r>
        <w:t xml:space="preserve"> </w:t>
      </w:r>
      <w:bookmarkStart w:id="3" w:name="_Hlk527547085"/>
      <w:r>
        <w:t>Letter from Gregory Hlibo</w:t>
      </w:r>
      <w:r>
        <w:t>k, Chief Legal Officer</w:t>
      </w:r>
      <w:r w:rsidRPr="002F7CF5">
        <w:rPr>
          <w:snapToGrid w:val="0"/>
          <w:kern w:val="28"/>
          <w:sz w:val="22"/>
        </w:rPr>
        <w:t xml:space="preserve"> </w:t>
      </w:r>
      <w:r w:rsidRPr="002F7CF5">
        <w:t>and Chief Compliance Officer, ZVRS Holding Company</w:t>
      </w:r>
      <w:r>
        <w:t>, to Karen Peltz Strauss, Deputy Chief, CGB</w:t>
      </w:r>
      <w:r>
        <w:t xml:space="preserve">, </w:t>
      </w:r>
      <w:r w:rsidRPr="00AD2778">
        <w:t xml:space="preserve">CG Docket Nos. 10-51 and 03-123 </w:t>
      </w:r>
      <w:r>
        <w:t xml:space="preserve">(filed Sept. 28, 2018) </w:t>
      </w:r>
      <w:bookmarkEnd w:id="3"/>
      <w:r>
        <w:t>(</w:t>
      </w:r>
      <w:bookmarkStart w:id="4" w:name="_Hlk526498147"/>
      <w:r>
        <w:t xml:space="preserve">ZVRS/Purple </w:t>
      </w:r>
      <w:r w:rsidRPr="002F7CF5">
        <w:t>Sept. 2</w:t>
      </w:r>
      <w:r>
        <w:t>8</w:t>
      </w:r>
      <w:r w:rsidRPr="002F7CF5">
        <w:t>, 2018</w:t>
      </w:r>
      <w:bookmarkEnd w:id="4"/>
      <w:r>
        <w:t xml:space="preserve"> Letter)</w:t>
      </w:r>
      <w:r w:rsidRPr="002F7CF5">
        <w:t xml:space="preserve"> </w:t>
      </w:r>
      <w:r>
        <w:t xml:space="preserve">(correcting and clarifying certain information </w:t>
      </w:r>
      <w:r>
        <w:t>in the six-month reports).</w:t>
      </w:r>
    </w:p>
  </w:footnote>
  <w:footnote w:id="10">
    <w:p w:rsidR="0013719D" w:rsidP="0013719D">
      <w:pPr>
        <w:pStyle w:val="FootnoteText"/>
      </w:pPr>
      <w:r>
        <w:rPr>
          <w:rStyle w:val="FootnoteReference"/>
        </w:rPr>
        <w:footnoteRef/>
      </w:r>
      <w:r>
        <w:t xml:space="preserve"> Petition.  </w:t>
      </w:r>
      <w:r w:rsidRPr="00192D83">
        <w:t xml:space="preserve"> </w:t>
      </w:r>
    </w:p>
  </w:footnote>
  <w:footnote w:id="11">
    <w:p w:rsidR="0013719D" w:rsidP="0013719D">
      <w:pPr>
        <w:pStyle w:val="FootnoteText"/>
      </w:pPr>
      <w:r>
        <w:rPr>
          <w:rStyle w:val="FootnoteReference"/>
        </w:rPr>
        <w:footnoteRef/>
      </w:r>
      <w:r>
        <w:t xml:space="preserve"> </w:t>
      </w:r>
      <w:r w:rsidRPr="00DF6359">
        <w:rPr>
          <w:i/>
        </w:rPr>
        <w:t>Id</w:t>
      </w:r>
      <w:r>
        <w:t>.</w:t>
      </w:r>
      <w:r>
        <w:t xml:space="preserve"> at 16-17; 47 CFR § 64.604(b)(8).</w:t>
      </w:r>
    </w:p>
  </w:footnote>
  <w:footnote w:id="12">
    <w:p w:rsidR="0013719D" w:rsidRPr="00E55713" w:rsidP="0013719D">
      <w:pPr>
        <w:pStyle w:val="FootnoteText"/>
      </w:pPr>
      <w:r>
        <w:rPr>
          <w:rStyle w:val="FootnoteReference"/>
        </w:rPr>
        <w:footnoteRef/>
      </w:r>
      <w:r>
        <w:t xml:space="preserve"> Comments of Sorenson Communications, LLC, </w:t>
      </w:r>
      <w:bookmarkStart w:id="5" w:name="_Hlk528572179"/>
      <w:r>
        <w:t xml:space="preserve">CG Docket Nos. 10-51 and 03-123 </w:t>
      </w:r>
      <w:bookmarkEnd w:id="5"/>
      <w:r>
        <w:t xml:space="preserve">(filed Sept. 10, 2018) (Sorenson Comments); </w:t>
      </w:r>
      <w:r>
        <w:rPr>
          <w:i/>
        </w:rPr>
        <w:t>see also</w:t>
      </w:r>
      <w:r>
        <w:t xml:space="preserve"> Letter from Mark D. Davis, Counsel for Sorenson, to Marlene H. Dortch, Secretary, FCC, CG Docket Nos. 10-51 and 03-123 (filed Sept. 19, 2018).</w:t>
      </w:r>
    </w:p>
  </w:footnote>
  <w:footnote w:id="13">
    <w:p w:rsidR="0013719D" w:rsidRPr="007F5259" w:rsidP="0013719D">
      <w:pPr>
        <w:pStyle w:val="FootnoteText"/>
      </w:pPr>
      <w:r>
        <w:rPr>
          <w:rStyle w:val="FootnoteReference"/>
        </w:rPr>
        <w:footnoteRef/>
      </w:r>
      <w:r>
        <w:t xml:space="preserve"> Letter from John T. Nakahata and Mark D. Davis, Counsel for Sorenson Communications, LLC, CG Docket Nos. 10-51</w:t>
      </w:r>
      <w:r>
        <w:t xml:space="preserve"> and 03-123, at 1 (Oct. 19, 2018) (Sorenson October 19 </w:t>
      </w:r>
      <w:r w:rsidRPr="007F5259">
        <w:rPr>
          <w:i/>
        </w:rPr>
        <w:t>Ex Parte</w:t>
      </w:r>
      <w:r>
        <w:t>).</w:t>
      </w:r>
    </w:p>
  </w:footnote>
  <w:footnote w:id="14">
    <w:p w:rsidR="0013719D" w:rsidP="0013719D">
      <w:pPr>
        <w:pStyle w:val="FootnoteText"/>
      </w:pPr>
      <w:r>
        <w:rPr>
          <w:rStyle w:val="FootnoteReference"/>
        </w:rPr>
        <w:footnoteRef/>
      </w:r>
      <w:r>
        <w:t xml:space="preserve"> </w:t>
      </w:r>
      <w:r w:rsidRPr="00DF6359">
        <w:rPr>
          <w:i/>
        </w:rPr>
        <w:t>Id</w:t>
      </w:r>
      <w:r>
        <w:t>.</w:t>
      </w:r>
      <w:r>
        <w:t xml:space="preserve"> at 1-2.</w:t>
      </w:r>
    </w:p>
  </w:footnote>
  <w:footnote w:id="15">
    <w:p w:rsidR="0013719D" w:rsidRPr="00541DE1" w:rsidP="0013719D">
      <w:pPr>
        <w:pStyle w:val="FootnoteText"/>
      </w:pPr>
      <w:r w:rsidRPr="00541DE1">
        <w:rPr>
          <w:rStyle w:val="FootnoteReference"/>
        </w:rPr>
        <w:footnoteRef/>
      </w:r>
      <w:r w:rsidRPr="00541DE1">
        <w:t xml:space="preserve"> 47 CFR § 1.3.</w:t>
      </w:r>
    </w:p>
  </w:footnote>
  <w:footnote w:id="16">
    <w:p w:rsidR="0013719D" w:rsidRPr="00541DE1" w:rsidP="0013719D">
      <w:pPr>
        <w:pStyle w:val="FootnoteText"/>
      </w:pPr>
      <w:r w:rsidRPr="00541DE1">
        <w:rPr>
          <w:rStyle w:val="FootnoteReference"/>
        </w:rPr>
        <w:footnoteRef/>
      </w:r>
      <w:r w:rsidRPr="00541DE1">
        <w:t xml:space="preserve"> </w:t>
      </w:r>
      <w:r w:rsidRPr="00541DE1">
        <w:rPr>
          <w:i/>
        </w:rPr>
        <w:t>Northeast Cellular Tel. Co. v. FCC</w:t>
      </w:r>
      <w:r w:rsidRPr="00541DE1">
        <w:t>, 897 F.2d 1164, 1166 (D.C. Cir. 1990).</w:t>
      </w:r>
    </w:p>
  </w:footnote>
  <w:footnote w:id="17">
    <w:p w:rsidR="0013719D" w:rsidRPr="00541DE1" w:rsidP="0013719D">
      <w:pPr>
        <w:pStyle w:val="FootnoteText"/>
      </w:pPr>
      <w:r w:rsidRPr="00541DE1">
        <w:rPr>
          <w:rStyle w:val="FootnoteReference"/>
        </w:rPr>
        <w:footnoteRef/>
      </w:r>
      <w:r w:rsidRPr="00541DE1">
        <w:t xml:space="preserve"> </w:t>
      </w:r>
      <w:bookmarkStart w:id="6" w:name="_Hlk524429616"/>
      <w:r w:rsidRPr="00541DE1">
        <w:rPr>
          <w:i/>
        </w:rPr>
        <w:t>WAIT Radio v. FCC</w:t>
      </w:r>
      <w:r w:rsidRPr="00541DE1">
        <w:t xml:space="preserve">, 418 F.2d 1153, 1159 (D.C. Cir. 1969), </w:t>
      </w:r>
      <w:r w:rsidRPr="00541DE1">
        <w:rPr>
          <w:i/>
        </w:rPr>
        <w:t>cert. denied</w:t>
      </w:r>
      <w:r w:rsidRPr="00541DE1">
        <w:t>, 409 U.S. 10</w:t>
      </w:r>
      <w:r w:rsidRPr="00541DE1">
        <w:t xml:space="preserve">27 (1972); </w:t>
      </w:r>
      <w:r w:rsidRPr="00541DE1">
        <w:rPr>
          <w:i/>
        </w:rPr>
        <w:t>Northeast Cellular</w:t>
      </w:r>
      <w:r w:rsidRPr="00541DE1">
        <w:t>, 897 F.2d at 1166.</w:t>
      </w:r>
      <w:bookmarkEnd w:id="6"/>
    </w:p>
  </w:footnote>
  <w:footnote w:id="18">
    <w:p w:rsidR="0013719D" w:rsidRPr="00541DE1" w:rsidP="0013719D">
      <w:pPr>
        <w:pStyle w:val="FootnoteText"/>
      </w:pPr>
      <w:r w:rsidRPr="00541DE1">
        <w:rPr>
          <w:rStyle w:val="FootnoteReference"/>
        </w:rPr>
        <w:footnoteRef/>
      </w:r>
      <w:r w:rsidRPr="00541DE1">
        <w:t xml:space="preserve"> </w:t>
      </w:r>
      <w:r w:rsidRPr="00541DE1">
        <w:rPr>
          <w:i/>
        </w:rPr>
        <w:t>Northeast Cellular</w:t>
      </w:r>
      <w:r w:rsidRPr="00541DE1">
        <w:t xml:space="preserve">, 897 F.2d at 1166; </w:t>
      </w:r>
      <w:r w:rsidRPr="00541DE1">
        <w:rPr>
          <w:i/>
          <w:iCs/>
        </w:rPr>
        <w:t>NetworkIP, LLC v. FCC</w:t>
      </w:r>
      <w:r w:rsidRPr="00541DE1">
        <w:t>, 548 F.3d 116, 125-128 (D.C. Cir. 2008).</w:t>
      </w:r>
    </w:p>
  </w:footnote>
  <w:footnote w:id="19">
    <w:p w:rsidR="0013719D" w:rsidRPr="00541DE1" w:rsidP="0013719D">
      <w:pPr>
        <w:pStyle w:val="FootnoteText"/>
      </w:pPr>
      <w:r w:rsidRPr="00541DE1">
        <w:rPr>
          <w:rStyle w:val="FootnoteReference"/>
        </w:rPr>
        <w:footnoteRef/>
      </w:r>
      <w:r w:rsidRPr="00541DE1">
        <w:t xml:space="preserve"> </w:t>
      </w:r>
      <w:r w:rsidRPr="00541DE1">
        <w:rPr>
          <w:i/>
          <w:iCs/>
        </w:rPr>
        <w:t>Tucson Radio, Inc. v. FCC</w:t>
      </w:r>
      <w:r w:rsidRPr="00541DE1">
        <w:t>, 452 F.2d 1380, 1382 (D.C. Cir. 1971).</w:t>
      </w:r>
    </w:p>
  </w:footnote>
  <w:footnote w:id="20">
    <w:p w:rsidR="0013719D" w:rsidRPr="00753433" w:rsidP="0013719D">
      <w:pPr>
        <w:pStyle w:val="FootnoteText"/>
      </w:pPr>
      <w:r>
        <w:rPr>
          <w:rStyle w:val="FootnoteReference"/>
        </w:rPr>
        <w:footnoteRef/>
      </w:r>
      <w:r>
        <w:t xml:space="preserve"> </w:t>
      </w:r>
      <w:r w:rsidRPr="00753433">
        <w:rPr>
          <w:i/>
        </w:rPr>
        <w:t>See VRS Improvements Report and Ord</w:t>
      </w:r>
      <w:r w:rsidRPr="00753433">
        <w:rPr>
          <w:i/>
        </w:rPr>
        <w:t>er</w:t>
      </w:r>
      <w:r>
        <w:t xml:space="preserve">, 32 FCC Rcd at 2455-56, 63 paras. 46, 59 (indicating the Commission’s intent to evaluate the effectiveness of this program and make a final determination on its future upon </w:t>
      </w:r>
      <w:r w:rsidRPr="00753433">
        <w:t xml:space="preserve">the </w:t>
      </w:r>
      <w:r>
        <w:t xml:space="preserve">pilot’s </w:t>
      </w:r>
      <w:r w:rsidRPr="00753433">
        <w:t>conclusion</w:t>
      </w:r>
      <w:r>
        <w:t>).</w:t>
      </w:r>
    </w:p>
  </w:footnote>
  <w:footnote w:id="21">
    <w:p w:rsidR="0013719D" w:rsidP="0013719D">
      <w:pPr>
        <w:pStyle w:val="FootnoteText"/>
      </w:pPr>
      <w:r>
        <w:rPr>
          <w:rStyle w:val="FootnoteReference"/>
        </w:rPr>
        <w:footnoteRef/>
      </w:r>
      <w:r>
        <w:t xml:space="preserve"> Contrary to Sorenson’s contention, the special circum</w:t>
      </w:r>
      <w:r>
        <w:t>stances detailed below go well beyond the mere facts that the at-home interpreting pilot was scheduled to end after one year and that the Commission would then evaluate the value and effectiveness of the program, which were known at the time the pilot prog</w:t>
      </w:r>
      <w:r>
        <w:t xml:space="preserve">ram was adopted.  </w:t>
      </w:r>
      <w:r w:rsidRPr="00AC0F01">
        <w:rPr>
          <w:i/>
        </w:rPr>
        <w:t>See</w:t>
      </w:r>
      <w:r>
        <w:t xml:space="preserve"> </w:t>
      </w:r>
      <w:r w:rsidRPr="00AC0F01">
        <w:t xml:space="preserve">Sorenson October 19 </w:t>
      </w:r>
      <w:r w:rsidRPr="00AC0F01">
        <w:rPr>
          <w:i/>
        </w:rPr>
        <w:t>Ex Parte</w:t>
      </w:r>
      <w:r>
        <w:t xml:space="preserve"> at 2. </w:t>
      </w:r>
    </w:p>
  </w:footnote>
  <w:footnote w:id="22">
    <w:p w:rsidR="0013719D" w:rsidP="0013719D">
      <w:pPr>
        <w:pStyle w:val="FootnoteText"/>
      </w:pPr>
      <w:r>
        <w:rPr>
          <w:rStyle w:val="FootnoteReference"/>
        </w:rPr>
        <w:footnoteRef/>
      </w:r>
      <w:r>
        <w:t xml:space="preserve"> </w:t>
      </w:r>
      <w:r w:rsidRPr="00614DE6">
        <w:rPr>
          <w:i/>
        </w:rPr>
        <w:t>VRS Improvements Report and Order</w:t>
      </w:r>
      <w:r w:rsidRPr="00614DE6">
        <w:t xml:space="preserve">, 32 FCC Rcd at 2463, para. </w:t>
      </w:r>
      <w:r>
        <w:t>59 (noting that “</w:t>
      </w:r>
      <w:r w:rsidRPr="00181BC7">
        <w:t xml:space="preserve">there </w:t>
      </w:r>
      <w:r w:rsidRPr="00181BC7">
        <w:rPr>
          <w:i/>
        </w:rPr>
        <w:t>may</w:t>
      </w:r>
      <w:r w:rsidRPr="00181BC7">
        <w:t xml:space="preserve"> be some cost savings associated with implementing at-home interpreting</w:t>
      </w:r>
      <w:r>
        <w:t>” and expressing hope that “</w:t>
      </w:r>
      <w:r w:rsidRPr="00181BC7">
        <w:t>the</w:t>
      </w:r>
      <w:r>
        <w:t xml:space="preserve"> </w:t>
      </w:r>
      <w:r w:rsidRPr="00181BC7">
        <w:t>data we collect during the pilot program will test the accuracy of this assumption, and provide</w:t>
      </w:r>
      <w:r>
        <w:t xml:space="preserve"> </w:t>
      </w:r>
      <w:r w:rsidRPr="00181BC7">
        <w:t>comprehensive information about the costs and benefits of allowing at-home workstations</w:t>
      </w:r>
      <w:r>
        <w:t xml:space="preserve">”) (emphasis added); </w:t>
      </w:r>
      <w:r w:rsidRPr="00181BC7">
        <w:rPr>
          <w:i/>
        </w:rPr>
        <w:t>id</w:t>
      </w:r>
      <w:r>
        <w:t>. at 60 (“</w:t>
      </w:r>
      <w:r w:rsidRPr="00614DE6">
        <w:t xml:space="preserve">The record indicates that the use of </w:t>
      </w:r>
      <w:r>
        <w:t>. .</w:t>
      </w:r>
      <w:r>
        <w:t xml:space="preserve"> .</w:t>
      </w:r>
      <w:r w:rsidRPr="00614DE6">
        <w:t xml:space="preserve"> at</w:t>
      </w:r>
      <w:r>
        <w:t>-</w:t>
      </w:r>
      <w:r w:rsidRPr="00614DE6">
        <w:t>home</w:t>
      </w:r>
      <w:r>
        <w:t xml:space="preserve"> </w:t>
      </w:r>
      <w:r w:rsidRPr="00614DE6">
        <w:t xml:space="preserve">interpreting </w:t>
      </w:r>
      <w:r w:rsidRPr="00614DE6">
        <w:rPr>
          <w:i/>
        </w:rPr>
        <w:t>may</w:t>
      </w:r>
      <w:r w:rsidRPr="00614DE6">
        <w:t xml:space="preserve"> improve the functional equivalence and efficiency of VRS.</w:t>
      </w:r>
      <w:r w:rsidRPr="00614DE6">
        <w:rPr>
          <w:rFonts w:ascii="TimesNewRoman" w:hAnsi="TimesNewRoman" w:cs="TimesNewRoman"/>
        </w:rPr>
        <w:t xml:space="preserve"> </w:t>
      </w:r>
      <w:r>
        <w:rPr>
          <w:rFonts w:ascii="TimesNewRoman" w:hAnsi="TimesNewRoman" w:cs="TimesNewRoman"/>
        </w:rPr>
        <w:t xml:space="preserve"> The data gathered </w:t>
      </w:r>
      <w:r w:rsidRPr="00614DE6">
        <w:t xml:space="preserve">from </w:t>
      </w:r>
      <w:r>
        <w:t>. . . [this]</w:t>
      </w:r>
      <w:r w:rsidRPr="00614DE6">
        <w:t xml:space="preserve"> pilot program will enable the Commission to more fully assess these benefits as well</w:t>
      </w:r>
      <w:r>
        <w:t xml:space="preserve"> </w:t>
      </w:r>
      <w:r w:rsidRPr="00614DE6">
        <w:t>as any additional costs resulting from such prac</w:t>
      </w:r>
      <w:r w:rsidRPr="00614DE6">
        <w:t>tices.</w:t>
      </w:r>
      <w:r>
        <w:t>”) (emphasis added).</w:t>
      </w:r>
    </w:p>
  </w:footnote>
  <w:footnote w:id="23">
    <w:p w:rsidR="0013719D" w:rsidP="0013719D">
      <w:pPr>
        <w:pStyle w:val="FootnoteText"/>
      </w:pPr>
      <w:r>
        <w:rPr>
          <w:rStyle w:val="FootnoteReference"/>
        </w:rPr>
        <w:footnoteRef/>
      </w:r>
      <w:r>
        <w:t xml:space="preserve"> </w:t>
      </w:r>
      <w:r w:rsidRPr="00993C9B">
        <w:t>Petition at 12-14</w:t>
      </w:r>
      <w:r>
        <w:t>.</w:t>
      </w:r>
    </w:p>
  </w:footnote>
  <w:footnote w:id="24">
    <w:p w:rsidR="0013719D" w:rsidP="0013719D">
      <w:pPr>
        <w:pStyle w:val="FootnoteText"/>
      </w:pPr>
      <w:r>
        <w:rPr>
          <w:rStyle w:val="FootnoteReference"/>
        </w:rPr>
        <w:footnoteRef/>
      </w:r>
      <w:r>
        <w:t xml:space="preserve"> </w:t>
      </w:r>
      <w:r w:rsidRPr="00DF6359">
        <w:rPr>
          <w:i/>
        </w:rPr>
        <w:t>Id</w:t>
      </w:r>
      <w:r>
        <w:t xml:space="preserve">. </w:t>
      </w:r>
      <w:r>
        <w:t>at 14, Ex. A at 32, &amp; Ex. B at 35.  A Purple CA stated that “working VRS at home has impacted my comfort level in my working environment.  It reduces distractions and allows me to be in the best frame of mind for excellent customer service thereby reducing</w:t>
      </w:r>
      <w:r>
        <w:t xml:space="preserve"> my answer time . . . and processing my calls more efficiently.”  </w:t>
      </w:r>
      <w:r w:rsidRPr="006A193A">
        <w:rPr>
          <w:i/>
        </w:rPr>
        <w:t>Id</w:t>
      </w:r>
      <w:r>
        <w:rPr>
          <w:i/>
        </w:rPr>
        <w:t>.</w:t>
      </w:r>
      <w:r>
        <w:t xml:space="preserve"> at 14 &amp; Ex. A at 32.  Similarly, a ZVRS CA reports, “being able to get to work without being stressed out from a difficult commute makes a huge difference in my energy level and my dispo</w:t>
      </w:r>
      <w:r>
        <w:t xml:space="preserve">sition.”  </w:t>
      </w:r>
      <w:r w:rsidRPr="006A193A">
        <w:rPr>
          <w:i/>
        </w:rPr>
        <w:t>Id</w:t>
      </w:r>
      <w:r>
        <w:rPr>
          <w:i/>
        </w:rPr>
        <w:t>.</w:t>
      </w:r>
      <w:r>
        <w:t xml:space="preserve"> at 14 &amp; Ex. B at 35. </w:t>
      </w:r>
    </w:p>
  </w:footnote>
  <w:footnote w:id="25">
    <w:p w:rsidR="0013719D" w:rsidP="0013719D">
      <w:pPr>
        <w:pStyle w:val="FootnoteText"/>
      </w:pPr>
      <w:r>
        <w:rPr>
          <w:rStyle w:val="FootnoteReference"/>
        </w:rPr>
        <w:footnoteRef/>
      </w:r>
      <w:r>
        <w:t xml:space="preserve"> </w:t>
      </w:r>
      <w:r w:rsidRPr="00551D86">
        <w:rPr>
          <w:i/>
        </w:rPr>
        <w:t xml:space="preserve">See </w:t>
      </w:r>
      <w:r w:rsidRPr="002F7CF5">
        <w:t>ZVRS/Purple Sept. 2</w:t>
      </w:r>
      <w:r>
        <w:t>8</w:t>
      </w:r>
      <w:r w:rsidRPr="002F7CF5">
        <w:t>, 2018</w:t>
      </w:r>
      <w:r>
        <w:t xml:space="preserve"> Letter</w:t>
      </w:r>
      <w:r w:rsidRPr="002F7CF5">
        <w:rPr>
          <w:i/>
        </w:rPr>
        <w:t xml:space="preserve"> </w:t>
      </w:r>
      <w:r w:rsidRPr="00551D86">
        <w:t>at A</w:t>
      </w:r>
      <w:r>
        <w:t>ttach.</w:t>
      </w:r>
      <w:r w:rsidRPr="00551D86">
        <w:t xml:space="preserve"> 1[</w:t>
      </w:r>
      <w:r w:rsidRPr="00551D86">
        <w:rPr>
          <w:b/>
        </w:rPr>
        <w:t>***BEGIN CONFIDENTIAL***</w:t>
      </w:r>
      <w:r w:rsidRPr="00551D86">
        <w:t>]</w:t>
      </w:r>
      <w:r>
        <w:t xml:space="preserve"> </w:t>
      </w:r>
      <w:r w:rsidRPr="00D81D11">
        <w:rPr>
          <w:color w:val="0D0D0D" w:themeColor="text1" w:themeTint="F2"/>
          <w:highlight w:val="black"/>
        </w:rPr>
        <w:t>xxxxxx xxxxxx xxxxx x</w:t>
      </w:r>
      <w:r w:rsidRPr="00D81D11">
        <w:rPr>
          <w:color w:val="0D0D0D" w:themeColor="text1" w:themeTint="F2"/>
          <w:highlight w:val="black"/>
        </w:rPr>
        <w:t xml:space="preserve"> </w:t>
      </w:r>
      <w:r w:rsidRPr="00D81D11">
        <w:rPr>
          <w:color w:val="0D0D0D" w:themeColor="text1" w:themeTint="F2"/>
          <w:highlight w:val="black"/>
        </w:rPr>
        <w:t>xx xxxxxxxxxx xxxxxxxx xxxx xxx xxxxxxxxxx</w:t>
      </w:r>
      <w:r w:rsidRPr="00D81D11">
        <w:rPr>
          <w:color w:val="0D0D0D" w:themeColor="text1" w:themeTint="F2"/>
          <w:highlight w:val="black"/>
        </w:rPr>
        <w:t xml:space="preserve"> </w:t>
      </w:r>
      <w:r w:rsidRPr="00D81D11">
        <w:rPr>
          <w:color w:val="0D0D0D" w:themeColor="text1" w:themeTint="F2"/>
          <w:highlight w:val="black"/>
        </w:rPr>
        <w:t>xxxxxxxx xxxxxxx xxxxxx xxxxx xxxxxxxxx xxxxxxx xxxxx xx xxxxxx xxx xxx xxxx</w:t>
      </w:r>
      <w:r w:rsidRPr="00D81D11">
        <w:rPr>
          <w:color w:val="0D0D0D" w:themeColor="text1" w:themeTint="F2"/>
          <w:highlight w:val="black"/>
        </w:rPr>
        <w:t xml:space="preserve"> xxx xxxxx xxxxxxxx xxxxxxxxxxxxx xxxxxxxxx xxxx xxx xxxxxxxxxxx xxxxxxxx xx xxx</w:t>
      </w:r>
      <w:r w:rsidRPr="00D81D11">
        <w:rPr>
          <w:color w:val="0D0D0D" w:themeColor="text1" w:themeTint="F2"/>
          <w:highlight w:val="black"/>
        </w:rPr>
        <w:t xml:space="preserve"> </w:t>
      </w:r>
      <w:r w:rsidRPr="00D81D11">
        <w:rPr>
          <w:color w:val="0D0D0D" w:themeColor="text1" w:themeTint="F2"/>
          <w:highlight w:val="black"/>
        </w:rPr>
        <w:t>xxx</w:t>
      </w:r>
      <w:r w:rsidRPr="00D81D11">
        <w:rPr>
          <w:color w:val="0D0D0D" w:themeColor="text1" w:themeTint="F2"/>
          <w:highlight w:val="black"/>
        </w:rPr>
        <w:t xml:space="preserve"> </w:t>
      </w:r>
      <w:r w:rsidRPr="00D81D11">
        <w:rPr>
          <w:color w:val="0D0D0D" w:themeColor="text1" w:themeTint="F2"/>
          <w:highlight w:val="black"/>
        </w:rPr>
        <w:t>xxxxxxxx</w:t>
      </w:r>
      <w:r w:rsidRPr="00D81D11">
        <w:rPr>
          <w:color w:val="0D0D0D" w:themeColor="text1" w:themeTint="F2"/>
          <w:highlight w:val="black"/>
        </w:rPr>
        <w:t xml:space="preserve"> </w:t>
      </w:r>
      <w:r w:rsidRPr="00D81D11">
        <w:rPr>
          <w:color w:val="0D0D0D" w:themeColor="text1" w:themeTint="F2"/>
          <w:highlight w:val="black"/>
        </w:rPr>
        <w:t>xxx</w:t>
      </w:r>
      <w:r w:rsidRPr="00D81D11">
        <w:rPr>
          <w:color w:val="0D0D0D" w:themeColor="text1" w:themeTint="F2"/>
          <w:highlight w:val="black"/>
        </w:rPr>
        <w:t xml:space="preserve"> </w:t>
      </w:r>
      <w:r w:rsidRPr="00D81D11">
        <w:rPr>
          <w:color w:val="0D0D0D" w:themeColor="text1" w:themeTint="F2"/>
          <w:highlight w:val="black"/>
        </w:rPr>
        <w:t>xx</w:t>
      </w:r>
      <w:r w:rsidRPr="00D81D11">
        <w:rPr>
          <w:color w:val="0D0D0D" w:themeColor="text1" w:themeTint="F2"/>
          <w:highlight w:val="black"/>
        </w:rPr>
        <w:t xml:space="preserve"> </w:t>
      </w:r>
      <w:r w:rsidRPr="00D81D11">
        <w:rPr>
          <w:color w:val="0D0D0D" w:themeColor="text1" w:themeTint="F2"/>
          <w:highlight w:val="black"/>
        </w:rPr>
        <w:t>x</w:t>
      </w:r>
      <w:r w:rsidRPr="00D81D11">
        <w:rPr>
          <w:color w:val="0D0D0D" w:themeColor="text1" w:themeTint="F2"/>
          <w:highlight w:val="black"/>
        </w:rPr>
        <w:t xml:space="preserve"> </w:t>
      </w:r>
      <w:r w:rsidRPr="00D81D11">
        <w:rPr>
          <w:color w:val="0D0D0D" w:themeColor="text1" w:themeTint="F2"/>
          <w:highlight w:val="black"/>
        </w:rPr>
        <w:t>xx</w:t>
      </w:r>
      <w:r w:rsidRPr="00D81D11">
        <w:rPr>
          <w:color w:val="0D0D0D" w:themeColor="text1" w:themeTint="F2"/>
          <w:highlight w:val="black"/>
        </w:rPr>
        <w:t xml:space="preserve"> </w:t>
      </w:r>
      <w:r w:rsidRPr="00D81D11">
        <w:rPr>
          <w:color w:val="0D0D0D" w:themeColor="text1" w:themeTint="F2"/>
          <w:highlight w:val="black"/>
        </w:rPr>
        <w:t>xxx</w:t>
      </w:r>
      <w:r w:rsidRPr="00D81D11">
        <w:rPr>
          <w:color w:val="0D0D0D" w:themeColor="text1" w:themeTint="F2"/>
          <w:highlight w:val="black"/>
        </w:rPr>
        <w:t xml:space="preserve"> </w:t>
      </w:r>
      <w:r w:rsidRPr="00D81D11">
        <w:rPr>
          <w:color w:val="0D0D0D" w:themeColor="text1" w:themeTint="F2"/>
          <w:highlight w:val="black"/>
        </w:rPr>
        <w:t>xxxxx</w:t>
      </w:r>
      <w:r>
        <w:t xml:space="preserve"> </w:t>
      </w:r>
      <w:r w:rsidRPr="00E27263">
        <w:t>[</w:t>
      </w:r>
      <w:r w:rsidRPr="00E27263">
        <w:rPr>
          <w:b/>
        </w:rPr>
        <w:t>***END CONFIDENTIAL***</w:t>
      </w:r>
      <w:r w:rsidRPr="00E27263">
        <w:t>]</w:t>
      </w:r>
      <w:r>
        <w:t xml:space="preserve">.  </w:t>
      </w:r>
    </w:p>
  </w:footnote>
  <w:footnote w:id="26">
    <w:p w:rsidR="0013719D" w:rsidRPr="00FB3D82" w:rsidP="0013719D">
      <w:pPr>
        <w:pStyle w:val="FootnoteText"/>
      </w:pPr>
      <w:r>
        <w:rPr>
          <w:rStyle w:val="FootnoteReference"/>
        </w:rPr>
        <w:footnoteRef/>
      </w:r>
      <w:r>
        <w:t xml:space="preserve"> Petition at 6-7. </w:t>
      </w:r>
    </w:p>
  </w:footnote>
  <w:footnote w:id="27">
    <w:p w:rsidR="0013719D" w:rsidP="0013719D">
      <w:pPr>
        <w:pStyle w:val="FootnoteText"/>
      </w:pPr>
      <w:r>
        <w:rPr>
          <w:rStyle w:val="FootnoteReference"/>
        </w:rPr>
        <w:footnoteRef/>
      </w:r>
      <w:r>
        <w:t xml:space="preserve"> </w:t>
      </w:r>
      <w:r w:rsidRPr="00DF6359">
        <w:rPr>
          <w:i/>
        </w:rPr>
        <w:t>Id</w:t>
      </w:r>
      <w:r>
        <w:t xml:space="preserve">. </w:t>
      </w:r>
      <w:r>
        <w:t>at 13.</w:t>
      </w:r>
    </w:p>
  </w:footnote>
  <w:footnote w:id="28">
    <w:p w:rsidR="0013719D" w:rsidRPr="00471898" w:rsidP="0013719D">
      <w:pPr>
        <w:pStyle w:val="FootnoteText"/>
      </w:pPr>
      <w:r>
        <w:rPr>
          <w:rStyle w:val="FootnoteReference"/>
        </w:rPr>
        <w:footnoteRef/>
      </w:r>
      <w:r>
        <w:t xml:space="preserve"> </w:t>
      </w:r>
      <w:r w:rsidRPr="00DF6359">
        <w:rPr>
          <w:i/>
        </w:rPr>
        <w:t>Id</w:t>
      </w:r>
      <w:r>
        <w:t>.</w:t>
      </w:r>
      <w:r>
        <w:t xml:space="preserve"> at 14.  The Companies also point out that the time saved by not commuting</w:t>
      </w:r>
      <w:r>
        <w:t xml:space="preserve"> allows at-home CAs to work more hours—to the benefit of consumers.  </w:t>
      </w:r>
      <w:r>
        <w:rPr>
          <w:i/>
        </w:rPr>
        <w:t>Id</w:t>
      </w:r>
      <w:r>
        <w:t xml:space="preserve">. </w:t>
      </w:r>
    </w:p>
  </w:footnote>
  <w:footnote w:id="29">
    <w:p w:rsidR="0013719D" w:rsidP="0013719D">
      <w:pPr>
        <w:pStyle w:val="FootnoteText"/>
      </w:pPr>
      <w:r>
        <w:rPr>
          <w:rStyle w:val="FootnoteReference"/>
        </w:rPr>
        <w:footnoteRef/>
      </w:r>
      <w:r>
        <w:t xml:space="preserve"> </w:t>
      </w:r>
      <w:r w:rsidRPr="00DF6359">
        <w:rPr>
          <w:i/>
        </w:rPr>
        <w:t>Id</w:t>
      </w:r>
      <w:r>
        <w:t>.</w:t>
      </w:r>
    </w:p>
  </w:footnote>
  <w:footnote w:id="30">
    <w:p w:rsidR="0013719D" w:rsidP="0013719D">
      <w:pPr>
        <w:pStyle w:val="FootnoteText"/>
      </w:pPr>
      <w:r>
        <w:rPr>
          <w:rStyle w:val="FootnoteReference"/>
        </w:rPr>
        <w:footnoteRef/>
      </w:r>
      <w:r>
        <w:t xml:space="preserve"> </w:t>
      </w:r>
      <w:r w:rsidRPr="00DF6359">
        <w:rPr>
          <w:i/>
        </w:rPr>
        <w:t>Id</w:t>
      </w:r>
      <w:r w:rsidRPr="00DF6359">
        <w:t xml:space="preserve">. at </w:t>
      </w:r>
      <w:r>
        <w:t>7</w:t>
      </w:r>
      <w:r w:rsidRPr="00C22ACE">
        <w:t>[</w:t>
      </w:r>
      <w:r w:rsidRPr="00C22ACE">
        <w:rPr>
          <w:b/>
        </w:rPr>
        <w:t>***BEGIN CONFIDENTIAL***</w:t>
      </w:r>
      <w:r w:rsidRPr="00C22ACE">
        <w:t>]</w:t>
      </w:r>
      <w:r>
        <w:t xml:space="preserve"> </w:t>
      </w:r>
      <w:r w:rsidRPr="00BD5657">
        <w:rPr>
          <w:color w:val="0D0D0D" w:themeColor="text1" w:themeTint="F2"/>
          <w:highlight w:val="black"/>
        </w:rPr>
        <w:t>xxxxxx xxxx xxxxx xxxxx xxxx xxxx xxxxx xxxx xxxxx xxxxxx x</w:t>
      </w:r>
      <w:r w:rsidRPr="00BD5657">
        <w:rPr>
          <w:color w:val="0D0D0D" w:themeColor="text1" w:themeTint="F2"/>
          <w:highlight w:val="black"/>
        </w:rPr>
        <w:t xml:space="preserve"> </w:t>
      </w:r>
      <w:r w:rsidRPr="00BD5657">
        <w:rPr>
          <w:color w:val="0D0D0D" w:themeColor="text1" w:themeTint="F2"/>
          <w:highlight w:val="black"/>
        </w:rPr>
        <w:t>xxxxxx xxxxx xxxx x xxxxxx xxx xx xxxxxxxx xxxxxxxxxxxx xxxxxxxxxxxx xxxx</w:t>
      </w:r>
      <w:r w:rsidRPr="00BD5657">
        <w:rPr>
          <w:color w:val="0D0D0D" w:themeColor="text1" w:themeTint="F2"/>
          <w:highlight w:val="black"/>
        </w:rPr>
        <w:t xml:space="preserve"> xxx xx xxxx xxxxxxxxxxxx x xxxxx</w:t>
      </w:r>
      <w:r>
        <w:t xml:space="preserve"> </w:t>
      </w:r>
      <w:r w:rsidRPr="00C22ACE">
        <w:t>[</w:t>
      </w:r>
      <w:r w:rsidRPr="00C22ACE">
        <w:rPr>
          <w:b/>
        </w:rPr>
        <w:t>***END CONFIDENTIAL***</w:t>
      </w:r>
      <w:r w:rsidRPr="00C22ACE">
        <w:t>]</w:t>
      </w:r>
      <w:r>
        <w:t xml:space="preserve">. </w:t>
      </w:r>
    </w:p>
  </w:footnote>
  <w:footnote w:id="31">
    <w:p w:rsidR="0013719D" w:rsidP="0013719D">
      <w:pPr>
        <w:pStyle w:val="FootnoteText"/>
      </w:pPr>
      <w:r>
        <w:rPr>
          <w:rStyle w:val="FootnoteReference"/>
        </w:rPr>
        <w:footnoteRef/>
      </w:r>
      <w:r>
        <w:t xml:space="preserve"> </w:t>
      </w:r>
      <w:r>
        <w:rPr>
          <w:i/>
        </w:rPr>
        <w:t xml:space="preserve">See </w:t>
      </w:r>
      <w:r w:rsidRPr="00541DE1">
        <w:rPr>
          <w:i/>
        </w:rPr>
        <w:t>Northeast Cellular</w:t>
      </w:r>
      <w:r w:rsidRPr="00541DE1">
        <w:t xml:space="preserve">, 897 F.2d at 1166; </w:t>
      </w:r>
      <w:r w:rsidRPr="00541DE1">
        <w:rPr>
          <w:i/>
          <w:iCs/>
        </w:rPr>
        <w:t>NetworkIP, LLC v. FCC</w:t>
      </w:r>
      <w:r w:rsidRPr="00541DE1">
        <w:t xml:space="preserve">, 548 F.3d </w:t>
      </w:r>
      <w:r>
        <w:t>at</w:t>
      </w:r>
      <w:r w:rsidRPr="00541DE1">
        <w:t xml:space="preserve"> 125-28.</w:t>
      </w:r>
    </w:p>
  </w:footnote>
  <w:footnote w:id="32">
    <w:p w:rsidR="0013719D" w:rsidP="0013719D">
      <w:pPr>
        <w:pStyle w:val="FootnoteText"/>
      </w:pPr>
      <w:r>
        <w:rPr>
          <w:rStyle w:val="FootnoteReference"/>
        </w:rPr>
        <w:footnoteRef/>
      </w:r>
      <w:r>
        <w:t xml:space="preserve"> Petition at 7, Exh. A, &amp; Exh. B.</w:t>
      </w:r>
    </w:p>
  </w:footnote>
  <w:footnote w:id="33">
    <w:p w:rsidR="0013719D" w:rsidP="0013719D">
      <w:pPr>
        <w:pStyle w:val="FootnoteText"/>
      </w:pPr>
      <w:r>
        <w:rPr>
          <w:rStyle w:val="FootnoteReference"/>
        </w:rPr>
        <w:footnoteRef/>
      </w:r>
      <w:r>
        <w:t xml:space="preserve"> </w:t>
      </w:r>
      <w:r w:rsidRPr="00E27263">
        <w:rPr>
          <w:i/>
        </w:rPr>
        <w:t>See</w:t>
      </w:r>
      <w:r>
        <w:t xml:space="preserve"> Email from Amanda Coby, Rolka Loube, to Robert Aldrich, Legal Advis</w:t>
      </w:r>
      <w:r>
        <w:t>or, CGB (Sept. 27, 2018).</w:t>
      </w:r>
    </w:p>
  </w:footnote>
  <w:footnote w:id="34">
    <w:p w:rsidR="0013719D" w:rsidP="0013719D">
      <w:pPr>
        <w:pStyle w:val="FootnoteText"/>
      </w:pPr>
      <w:r>
        <w:rPr>
          <w:rStyle w:val="FootnoteReference"/>
        </w:rPr>
        <w:footnoteRef/>
      </w:r>
      <w:r>
        <w:t xml:space="preserve"> Petition at 6-7.</w:t>
      </w:r>
    </w:p>
  </w:footnote>
  <w:footnote w:id="35">
    <w:p w:rsidR="0013719D" w:rsidP="0013719D">
      <w:pPr>
        <w:pStyle w:val="FootnoteText"/>
      </w:pPr>
      <w:r>
        <w:rPr>
          <w:rStyle w:val="FootnoteReference"/>
        </w:rPr>
        <w:footnoteRef/>
      </w:r>
      <w:r>
        <w:t xml:space="preserve"> </w:t>
      </w:r>
      <w:r w:rsidRPr="00B509E2">
        <w:rPr>
          <w:i/>
        </w:rPr>
        <w:t>See</w:t>
      </w:r>
      <w:r>
        <w:t xml:space="preserve"> Petition at 7 (stating that “t</w:t>
      </w:r>
      <w:r w:rsidRPr="00F25E60">
        <w:t>he Pilot Program is serving the public policy goal of allowing the Companies to</w:t>
      </w:r>
      <w:r>
        <w:t xml:space="preserve"> </w:t>
      </w:r>
      <w:r w:rsidRPr="00F25E60">
        <w:t>explore innovative solutions to increase the efficiency of VRS service by reducing the need for</w:t>
      </w:r>
      <w:r>
        <w:t xml:space="preserve"> </w:t>
      </w:r>
      <w:r w:rsidRPr="00F25E60">
        <w:t>facilities and other overhead costs that are not necessary for at-home work stations</w:t>
      </w:r>
      <w:r>
        <w:t xml:space="preserve">”); </w:t>
      </w:r>
      <w:r w:rsidRPr="00F25E60">
        <w:rPr>
          <w:i/>
        </w:rPr>
        <w:t>id</w:t>
      </w:r>
      <w:r>
        <w:t>. at 16.  Although ZVRS argues, and Sorenson agrees, that the data already reported should be sufficient to allow the Commission to decide whether to make the at-hom</w:t>
      </w:r>
      <w:r>
        <w:t xml:space="preserve">e interpreting program permanent, Sorenson October 19 </w:t>
      </w:r>
      <w:r w:rsidRPr="00046B9A">
        <w:rPr>
          <w:i/>
        </w:rPr>
        <w:t>Ex Parte</w:t>
      </w:r>
      <w:r>
        <w:t xml:space="preserve"> at 2, we believe that additional information, including consumer opinion about the effectiveness of the pilot in meeting user relay needs, will further assist the Commission in this decision.  </w:t>
      </w:r>
    </w:p>
  </w:footnote>
  <w:footnote w:id="36">
    <w:p w:rsidR="0013719D" w:rsidP="0013719D">
      <w:pPr>
        <w:pStyle w:val="FootnoteText"/>
      </w:pPr>
      <w:r>
        <w:rPr>
          <w:rStyle w:val="FootnoteReference"/>
        </w:rPr>
        <w:footnoteRef/>
      </w:r>
      <w:r>
        <w:t xml:space="preserve"> </w:t>
      </w:r>
      <w:r>
        <w:rPr>
          <w:i/>
        </w:rPr>
        <w:t xml:space="preserve">See </w:t>
      </w:r>
      <w:r w:rsidRPr="00993C9B">
        <w:t>Petition</w:t>
      </w:r>
      <w:r>
        <w:t xml:space="preserve"> at 16.</w:t>
      </w:r>
    </w:p>
  </w:footnote>
  <w:footnote w:id="37">
    <w:p w:rsidR="0013719D" w:rsidP="0013719D">
      <w:pPr>
        <w:pStyle w:val="FootnoteText"/>
      </w:pPr>
      <w:r>
        <w:rPr>
          <w:rStyle w:val="FootnoteReference"/>
        </w:rPr>
        <w:footnoteRef/>
      </w:r>
      <w:r>
        <w:t xml:space="preserve"> </w:t>
      </w:r>
      <w:r w:rsidRPr="00AB700B">
        <w:rPr>
          <w:i/>
        </w:rPr>
        <w:t>See</w:t>
      </w:r>
      <w:r>
        <w:t xml:space="preserve"> </w:t>
      </w:r>
      <w:r w:rsidRPr="00AB700B">
        <w:t xml:space="preserve">Sorenson October 19 </w:t>
      </w:r>
      <w:r w:rsidRPr="00AB700B">
        <w:rPr>
          <w:i/>
        </w:rPr>
        <w:t>Ex Parte</w:t>
      </w:r>
      <w:r w:rsidRPr="00AB700B">
        <w:t xml:space="preserve"> at </w:t>
      </w:r>
      <w:r>
        <w:t>3</w:t>
      </w:r>
      <w:r w:rsidRPr="00AB700B">
        <w:t>.</w:t>
      </w:r>
    </w:p>
  </w:footnote>
  <w:footnote w:id="38">
    <w:p w:rsidR="0013719D" w:rsidP="0013719D">
      <w:pPr>
        <w:pStyle w:val="FootnoteText"/>
      </w:pPr>
      <w:r>
        <w:rPr>
          <w:rStyle w:val="FootnoteReference"/>
        </w:rPr>
        <w:footnoteRef/>
      </w:r>
      <w:r>
        <w:t xml:space="preserve"> </w:t>
      </w:r>
      <w:r w:rsidRPr="00133133">
        <w:rPr>
          <w:i/>
        </w:rPr>
        <w:t>See</w:t>
      </w:r>
      <w:r>
        <w:t xml:space="preserve"> 47 CFR § 64.604.</w:t>
      </w:r>
    </w:p>
  </w:footnote>
  <w:footnote w:id="39">
    <w:p w:rsidR="0013719D" w:rsidP="0013719D">
      <w:pPr>
        <w:pStyle w:val="FootnoteText"/>
      </w:pPr>
      <w:r>
        <w:rPr>
          <w:rStyle w:val="FootnoteReference"/>
        </w:rPr>
        <w:footnoteRef/>
      </w:r>
      <w:r>
        <w:t xml:space="preserve"> </w:t>
      </w:r>
      <w:r w:rsidRPr="00753433">
        <w:rPr>
          <w:i/>
        </w:rPr>
        <w:t>See VRS Improvements Report and Order</w:t>
      </w:r>
      <w:r>
        <w:t xml:space="preserve">, 32 FCC Rcd at 2458-59, paras. 52-53.  </w:t>
      </w:r>
      <w:r w:rsidRPr="009273EE">
        <w:t>In addition</w:t>
      </w:r>
      <w:r>
        <w:t xml:space="preserve"> to the specific examples of compliance discussed below, </w:t>
      </w:r>
      <w:r w:rsidRPr="009273EE">
        <w:t>a</w:t>
      </w:r>
      <w:r w:rsidRPr="00A1573B">
        <w:rPr>
          <w:szCs w:val="22"/>
        </w:rPr>
        <w:t>s</w:t>
      </w:r>
      <w:r>
        <w:rPr>
          <w:szCs w:val="22"/>
        </w:rPr>
        <w:t xml:space="preserve"> required by the Commission’s rules, before beginning their pilot programs the Companies each </w:t>
      </w:r>
      <w:r w:rsidRPr="003113B0">
        <w:rPr>
          <w:szCs w:val="22"/>
        </w:rPr>
        <w:t>submit</w:t>
      </w:r>
      <w:r>
        <w:rPr>
          <w:szCs w:val="22"/>
        </w:rPr>
        <w:t>ted</w:t>
      </w:r>
      <w:r w:rsidRPr="003113B0">
        <w:rPr>
          <w:szCs w:val="22"/>
        </w:rPr>
        <w:t xml:space="preserve"> a detailed plan explaining how th</w:t>
      </w:r>
      <w:r>
        <w:rPr>
          <w:szCs w:val="22"/>
        </w:rPr>
        <w:t>e</w:t>
      </w:r>
      <w:r w:rsidRPr="003113B0">
        <w:rPr>
          <w:szCs w:val="22"/>
        </w:rPr>
        <w:t xml:space="preserve"> management of </w:t>
      </w:r>
      <w:r>
        <w:rPr>
          <w:szCs w:val="22"/>
        </w:rPr>
        <w:t xml:space="preserve">their </w:t>
      </w:r>
      <w:r w:rsidRPr="003113B0">
        <w:rPr>
          <w:szCs w:val="22"/>
        </w:rPr>
        <w:t>at-home work stations would comply with the program safeguards, meet the TRS mandatory minimum st</w:t>
      </w:r>
      <w:r w:rsidRPr="003113B0">
        <w:rPr>
          <w:szCs w:val="22"/>
        </w:rPr>
        <w:t>andards, guarantee call confidentiality, and protect against waste, fraud, and abuse</w:t>
      </w:r>
      <w:r>
        <w:rPr>
          <w:szCs w:val="22"/>
        </w:rPr>
        <w:t xml:space="preserve">.  </w:t>
      </w:r>
      <w:r w:rsidRPr="000F0676">
        <w:rPr>
          <w:i/>
          <w:szCs w:val="22"/>
        </w:rPr>
        <w:t>See</w:t>
      </w:r>
      <w:r>
        <w:rPr>
          <w:szCs w:val="22"/>
        </w:rPr>
        <w:t xml:space="preserve"> </w:t>
      </w:r>
      <w:r w:rsidRPr="001C06A7">
        <w:t>47 CFR § 64.604(b)(8)(i)</w:t>
      </w:r>
      <w:r>
        <w:t>; Letter from Gregory Hlibok on behalf of ZVRS to Patrick Webre, Acting Chief, CGB</w:t>
      </w:r>
      <w:r>
        <w:t xml:space="preserve">, </w:t>
      </w:r>
      <w:r w:rsidRPr="0038426E">
        <w:t xml:space="preserve">CG Docket Nos. 10-51 and 03-123 </w:t>
      </w:r>
      <w:r>
        <w:t>(</w:t>
      </w:r>
      <w:r>
        <w:t xml:space="preserve">filed </w:t>
      </w:r>
      <w:r>
        <w:t>Sept. 1, 2017); Le</w:t>
      </w:r>
      <w:r>
        <w:t>tter from Gregory Hlibok on behalf of Purple to Patrick Webre</w:t>
      </w:r>
      <w:r>
        <w:t xml:space="preserve">, </w:t>
      </w:r>
      <w:r w:rsidRPr="0038426E">
        <w:t xml:space="preserve">CG Docket Nos. 10-51 and 03-123 </w:t>
      </w:r>
      <w:r>
        <w:t>(</w:t>
      </w:r>
      <w:r>
        <w:t xml:space="preserve">filed </w:t>
      </w:r>
      <w:r>
        <w:t>Sept. 1, 2017).</w:t>
      </w:r>
    </w:p>
  </w:footnote>
  <w:footnote w:id="40">
    <w:p w:rsidR="0013719D" w:rsidP="0013719D">
      <w:pPr>
        <w:pStyle w:val="FootnoteText"/>
      </w:pPr>
      <w:r>
        <w:rPr>
          <w:rStyle w:val="FootnoteReference"/>
        </w:rPr>
        <w:footnoteRef/>
      </w:r>
      <w:r>
        <w:t xml:space="preserve"> Petition, Ex. A at 3 &amp; Ex. B. at 3. </w:t>
      </w:r>
    </w:p>
  </w:footnote>
  <w:footnote w:id="41">
    <w:p w:rsidR="0013719D" w:rsidP="0013719D">
      <w:pPr>
        <w:pStyle w:val="FootnoteText"/>
      </w:pPr>
      <w:r>
        <w:rPr>
          <w:rStyle w:val="FootnoteReference"/>
        </w:rPr>
        <w:footnoteRef/>
      </w:r>
      <w:r>
        <w:t xml:space="preserve"> </w:t>
      </w:r>
      <w:r w:rsidRPr="0038426E">
        <w:rPr>
          <w:i/>
        </w:rPr>
        <w:t>Id</w:t>
      </w:r>
      <w:r>
        <w:t>.</w:t>
      </w:r>
      <w:r w:rsidRPr="00084536">
        <w:t>, Ex. A at 12 &amp; Ex. B. at 18.</w:t>
      </w:r>
    </w:p>
  </w:footnote>
  <w:footnote w:id="42">
    <w:p w:rsidR="0013719D" w:rsidRPr="00284506" w:rsidP="0013719D">
      <w:pPr>
        <w:pStyle w:val="FootnoteText"/>
      </w:pPr>
      <w:r>
        <w:rPr>
          <w:rStyle w:val="FootnoteReference"/>
        </w:rPr>
        <w:footnoteRef/>
      </w:r>
      <w:r>
        <w:t xml:space="preserve"> </w:t>
      </w:r>
      <w:r w:rsidRPr="0038426E">
        <w:rPr>
          <w:i/>
        </w:rPr>
        <w:t>Id</w:t>
      </w:r>
      <w:r w:rsidRPr="0038426E">
        <w:t>.</w:t>
      </w:r>
      <w:r>
        <w:t>, Ex. A at 9-30 &amp; Ex. B. at 9-33</w:t>
      </w:r>
      <w:r>
        <w:t xml:space="preserve">; </w:t>
      </w:r>
      <w:r w:rsidRPr="0038426E">
        <w:rPr>
          <w:i/>
        </w:rPr>
        <w:t>s</w:t>
      </w:r>
      <w:r>
        <w:rPr>
          <w:i/>
        </w:rPr>
        <w:t xml:space="preserve">ee also </w:t>
      </w:r>
      <w:r>
        <w:t>47 CFR § 64.604(</w:t>
      </w:r>
      <w:r>
        <w:t>b)(8)(iv).</w:t>
      </w:r>
    </w:p>
  </w:footnote>
  <w:footnote w:id="43">
    <w:p w:rsidR="0013719D" w:rsidRPr="00284506" w:rsidP="0013719D">
      <w:pPr>
        <w:pStyle w:val="FootnoteText"/>
      </w:pPr>
      <w:r>
        <w:rPr>
          <w:rStyle w:val="FootnoteReference"/>
        </w:rPr>
        <w:footnoteRef/>
      </w:r>
      <w:r>
        <w:t xml:space="preserve"> Petition at 11, Ex. A at 9-10, Ex. B at 15-16; ZVRS/Purple </w:t>
      </w:r>
      <w:r w:rsidRPr="002F7CF5">
        <w:t>Sept. 2</w:t>
      </w:r>
      <w:r>
        <w:t>8</w:t>
      </w:r>
      <w:r w:rsidRPr="002F7CF5">
        <w:t>, 2018</w:t>
      </w:r>
      <w:r>
        <w:t xml:space="preserve"> Letter at 5-6; </w:t>
      </w:r>
      <w:r>
        <w:rPr>
          <w:i/>
        </w:rPr>
        <w:t xml:space="preserve">see also </w:t>
      </w:r>
      <w:r>
        <w:t xml:space="preserve">47 CFR §§ 64.604(a)(2) (TRS confidentiality requirements); </w:t>
      </w:r>
      <w:r w:rsidRPr="00E41F2B">
        <w:rPr>
          <w:i/>
        </w:rPr>
        <w:t>id</w:t>
      </w:r>
      <w:r>
        <w:t>.</w:t>
      </w:r>
      <w:r w:rsidRPr="0038426E">
        <w:t xml:space="preserve"> §</w:t>
      </w:r>
      <w:r>
        <w:t xml:space="preserve"> </w:t>
      </w:r>
      <w:r>
        <w:t xml:space="preserve">64.604(8)(v) (outlining technical and environmental safeguards requirements for the at-home call handling pilot program). </w:t>
      </w:r>
      <w:r>
        <w:rPr>
          <w:i/>
        </w:rPr>
        <w:t xml:space="preserve"> </w:t>
      </w:r>
      <w:r>
        <w:t>Similarly, the Companies have ensured confidentiality by [</w:t>
      </w:r>
      <w:r>
        <w:rPr>
          <w:b/>
        </w:rPr>
        <w:t>***BEGIN CONFIDENTIAL***</w:t>
      </w:r>
      <w:r>
        <w:t>]</w:t>
      </w:r>
      <w:r w:rsidRPr="001377F8">
        <w:rPr>
          <w:color w:val="0D0D0D" w:themeColor="text1" w:themeTint="F2"/>
          <w:highlight w:val="black"/>
        </w:rPr>
        <w:t>xxxxxxx xxxx xxxx x xxxxxxxx</w:t>
      </w:r>
      <w:r w:rsidRPr="001377F8">
        <w:rPr>
          <w:color w:val="0D0D0D" w:themeColor="text1" w:themeTint="F2"/>
          <w:highlight w:val="black"/>
        </w:rPr>
        <w:t xml:space="preserve"> </w:t>
      </w:r>
      <w:r w:rsidRPr="001377F8">
        <w:rPr>
          <w:color w:val="0D0D0D" w:themeColor="text1" w:themeTint="F2"/>
          <w:highlight w:val="black"/>
        </w:rPr>
        <w:t>xxxx xx xx</w:t>
      </w:r>
      <w:r w:rsidRPr="001377F8">
        <w:rPr>
          <w:color w:val="0D0D0D" w:themeColor="text1" w:themeTint="F2"/>
          <w:highlight w:val="black"/>
        </w:rPr>
        <w:t xml:space="preserve"> </w:t>
      </w:r>
      <w:r w:rsidRPr="001377F8">
        <w:rPr>
          <w:color w:val="0D0D0D" w:themeColor="text1" w:themeTint="F2"/>
          <w:highlight w:val="black"/>
        </w:rPr>
        <w:t>xxxx xxxxx</w:t>
      </w:r>
      <w:r w:rsidRPr="001377F8">
        <w:rPr>
          <w:color w:val="0D0D0D" w:themeColor="text1" w:themeTint="F2"/>
          <w:highlight w:val="black"/>
        </w:rPr>
        <w:t xml:space="preserve"> xx</w:t>
      </w:r>
      <w:r w:rsidRPr="001377F8">
        <w:rPr>
          <w:color w:val="0D0D0D" w:themeColor="text1" w:themeTint="F2"/>
          <w:highlight w:val="black"/>
        </w:rPr>
        <w:t xml:space="preserve"> </w:t>
      </w:r>
      <w:r w:rsidRPr="001377F8">
        <w:rPr>
          <w:color w:val="0D0D0D" w:themeColor="text1" w:themeTint="F2"/>
          <w:highlight w:val="black"/>
        </w:rPr>
        <w:t>xxxx xxxxx xxxxxxxxx xxxxxxxxxxx xxxxxx xxx xxxx xxxx xxxxx xxxxxxx xxxxxx xxxx xxxxx xxxxxxx xx xxxx</w:t>
      </w:r>
      <w:r w:rsidRPr="001377F8">
        <w:rPr>
          <w:color w:val="0D0D0D" w:themeColor="text1" w:themeTint="F2"/>
          <w:highlight w:val="black"/>
        </w:rPr>
        <w:t xml:space="preserve"> </w:t>
      </w:r>
      <w:r w:rsidRPr="001377F8">
        <w:rPr>
          <w:color w:val="0D0D0D" w:themeColor="text1" w:themeTint="F2"/>
          <w:highlight w:val="black"/>
        </w:rPr>
        <w:t xml:space="preserve">xxxxxxxxxxxxx xxxxxxxxxxxxx xxxxxx xxxx xxxxx xxxxxxxxx xxxxxxxxxx xxx xxxxxxx xxx xxx xxx xxx xx xx </w:t>
      </w:r>
      <w:r w:rsidRPr="001377F8">
        <w:rPr>
          <w:color w:val="0D0D0D" w:themeColor="text1" w:themeTint="F2"/>
          <w:highlight w:val="black"/>
        </w:rPr>
        <w:t xml:space="preserve"> </w:t>
      </w:r>
      <w:r w:rsidRPr="001377F8">
        <w:rPr>
          <w:color w:val="0D0D0D" w:themeColor="text1" w:themeTint="F2"/>
          <w:highlight w:val="black"/>
        </w:rPr>
        <w:t>xxxxxxxxx xxxxxxxx xxxxxx xxx xx xxx xxxxx xxxxx</w:t>
      </w:r>
      <w:r w:rsidRPr="001377F8">
        <w:rPr>
          <w:color w:val="0D0D0D" w:themeColor="text1" w:themeTint="F2"/>
          <w:highlight w:val="black"/>
        </w:rPr>
        <w:t xml:space="preserve"> xxxxxxxxxxx</w:t>
      </w:r>
      <w:r>
        <w:t>[</w:t>
      </w:r>
      <w:r>
        <w:rPr>
          <w:b/>
        </w:rPr>
        <w:t>***END CONFIDENTAL***</w:t>
      </w:r>
      <w:r>
        <w:t>].  Petition at 12, Ex. A at 5-7, 9-10</w:t>
      </w:r>
      <w:r>
        <w:t>,</w:t>
      </w:r>
      <w:r>
        <w:t xml:space="preserve"> &amp; Ex. B. at 5-7, 15-16.</w:t>
      </w:r>
    </w:p>
  </w:footnote>
  <w:footnote w:id="44">
    <w:p w:rsidR="0013719D" w:rsidP="0013719D">
      <w:pPr>
        <w:pStyle w:val="FootnoteText"/>
      </w:pPr>
      <w:r>
        <w:rPr>
          <w:rStyle w:val="FootnoteReference"/>
        </w:rPr>
        <w:footnoteRef/>
      </w:r>
      <w:r>
        <w:t xml:space="preserve"> </w:t>
      </w:r>
      <w:bookmarkStart w:id="8" w:name="_Hlk528572757"/>
      <w:r w:rsidRPr="002F7CF5">
        <w:t>ZVRS/Purple Sept. 2</w:t>
      </w:r>
      <w:r>
        <w:t>8</w:t>
      </w:r>
      <w:r w:rsidRPr="002F7CF5">
        <w:t>, 20</w:t>
      </w:r>
      <w:bookmarkEnd w:id="8"/>
      <w:r w:rsidRPr="002F7CF5">
        <w:t>18</w:t>
      </w:r>
      <w:r>
        <w:t xml:space="preserve"> Letter</w:t>
      </w:r>
      <w:r w:rsidRPr="002F7CF5">
        <w:rPr>
          <w:i/>
        </w:rPr>
        <w:t xml:space="preserve"> </w:t>
      </w:r>
      <w:r>
        <w:t>at 6</w:t>
      </w:r>
      <w:r>
        <w:t xml:space="preserve">; </w:t>
      </w:r>
      <w:r w:rsidRPr="0038426E">
        <w:rPr>
          <w:i/>
        </w:rPr>
        <w:t>see also</w:t>
      </w:r>
      <w:r>
        <w:t xml:space="preserve"> 47 CFR § 64.604(b)(8).</w:t>
      </w:r>
      <w:r>
        <w:t xml:space="preserve">  [</w:t>
      </w:r>
      <w:r>
        <w:rPr>
          <w:b/>
        </w:rPr>
        <w:t>***BEGIN CONFIDENTIAL***</w:t>
      </w:r>
      <w:r>
        <w:t>]</w:t>
      </w:r>
      <w:r w:rsidRPr="001377F8">
        <w:rPr>
          <w:color w:val="0D0D0D" w:themeColor="text1" w:themeTint="F2"/>
          <w:highlight w:val="black"/>
        </w:rPr>
        <w:t>xxxxx xx xxxxxx xxxxxxx xxxxxxxxxxxxx xxxxxxxx xxxxxx xxx</w:t>
      </w:r>
      <w:r w:rsidRPr="001377F8">
        <w:rPr>
          <w:color w:val="0D0D0D" w:themeColor="text1" w:themeTint="F2"/>
          <w:highlight w:val="black"/>
        </w:rPr>
        <w:t xml:space="preserve"> xxxx x xxx xxx xxx</w:t>
      </w:r>
      <w:r w:rsidRPr="001377F8">
        <w:rPr>
          <w:color w:val="0D0D0D" w:themeColor="text1" w:themeTint="F2"/>
          <w:highlight w:val="black"/>
        </w:rPr>
        <w:t xml:space="preserve"> </w:t>
      </w:r>
      <w:r w:rsidRPr="001377F8">
        <w:rPr>
          <w:color w:val="0D0D0D" w:themeColor="text1" w:themeTint="F2"/>
          <w:highlight w:val="black"/>
        </w:rPr>
        <w:t>xxxxxxxxx xxxxxxx xxxxxxxxxxxxxxxxxxxxxx xxxxxxxx xx xxx xxx xxxxxxxx xxxxxxxx xxxxxxxxxxxx xxxxxx</w:t>
      </w:r>
      <w:r w:rsidRPr="001377F8">
        <w:rPr>
          <w:color w:val="0D0D0D" w:themeColor="text1" w:themeTint="F2"/>
          <w:highlight w:val="black"/>
        </w:rPr>
        <w:t xml:space="preserve"> </w:t>
      </w:r>
      <w:r w:rsidRPr="001377F8">
        <w:rPr>
          <w:color w:val="0D0D0D" w:themeColor="text1" w:themeTint="F2"/>
          <w:highlight w:val="black"/>
        </w:rPr>
        <w:t>xx xxxx xxxxxx xxx xx xxxx</w:t>
      </w:r>
      <w:r>
        <w:t>[</w:t>
      </w:r>
      <w:r>
        <w:rPr>
          <w:b/>
        </w:rPr>
        <w:t>***END CONFIDENTIAL***</w:t>
      </w:r>
      <w:r>
        <w:t>]</w:t>
      </w:r>
      <w:r>
        <w:t xml:space="preserve"> </w:t>
      </w:r>
      <w:r>
        <w:t>Petition at 15, Ex. A at 6-7,</w:t>
      </w:r>
      <w:r w:rsidRPr="004A1A69">
        <w:t xml:space="preserve"> </w:t>
      </w:r>
      <w:r>
        <w:t>&amp; Ex. B at 6.</w:t>
      </w:r>
    </w:p>
  </w:footnote>
  <w:footnote w:id="45">
    <w:p w:rsidR="0013719D" w:rsidP="0013719D">
      <w:pPr>
        <w:pStyle w:val="FootnoteText"/>
      </w:pPr>
      <w:r w:rsidRPr="004066FF">
        <w:rPr>
          <w:rStyle w:val="FootnoteReference"/>
        </w:rPr>
        <w:footnoteRef/>
      </w:r>
      <w:r w:rsidRPr="004066FF">
        <w:t xml:space="preserve"> </w:t>
      </w:r>
      <w:r w:rsidRPr="002F7CF5">
        <w:t>ZVRS/Purple Sept. 2</w:t>
      </w:r>
      <w:r>
        <w:t>8</w:t>
      </w:r>
      <w:r w:rsidRPr="002F7CF5">
        <w:t>, 2018</w:t>
      </w:r>
      <w:r>
        <w:t xml:space="preserve"> Letter</w:t>
      </w:r>
      <w:r w:rsidRPr="004066FF">
        <w:t xml:space="preserve"> at 6.  </w:t>
      </w:r>
    </w:p>
  </w:footnote>
  <w:footnote w:id="46">
    <w:p w:rsidR="0013719D" w:rsidP="0013719D">
      <w:pPr>
        <w:pStyle w:val="FootnoteText"/>
      </w:pPr>
      <w:r>
        <w:rPr>
          <w:rStyle w:val="FootnoteReference"/>
        </w:rPr>
        <w:footnoteRef/>
      </w:r>
      <w:r>
        <w:t xml:space="preserve"> </w:t>
      </w:r>
      <w:r w:rsidRPr="00516E7C">
        <w:t xml:space="preserve">Petition at </w:t>
      </w:r>
      <w:r>
        <w:t xml:space="preserve">6; 47 U.S.C. §225(a)(3). </w:t>
      </w:r>
    </w:p>
  </w:footnote>
  <w:footnote w:id="47">
    <w:p w:rsidR="0013719D" w:rsidP="0013719D">
      <w:pPr>
        <w:pStyle w:val="FootnoteText"/>
      </w:pPr>
      <w:r>
        <w:rPr>
          <w:rStyle w:val="FootnoteReference"/>
        </w:rPr>
        <w:footnoteRef/>
      </w:r>
      <w:r>
        <w:t xml:space="preserve"> ZVRS/Purple </w:t>
      </w:r>
      <w:r w:rsidRPr="002F7CF5">
        <w:t>Sept. 2</w:t>
      </w:r>
      <w:r>
        <w:t>8</w:t>
      </w:r>
      <w:r w:rsidRPr="002F7CF5">
        <w:t xml:space="preserve">, </w:t>
      </w:r>
      <w:r w:rsidRPr="00335D19">
        <w:t>2018 Letter</w:t>
      </w:r>
      <w:r>
        <w:t xml:space="preserve"> at 3-5[</w:t>
      </w:r>
      <w:r>
        <w:rPr>
          <w:b/>
        </w:rPr>
        <w:t>***BEGIN CONFIDENTIAL***</w:t>
      </w:r>
      <w:r>
        <w:t>]</w:t>
      </w:r>
      <w:r>
        <w:t xml:space="preserve"> </w:t>
      </w:r>
      <w:r w:rsidRPr="00014FAC">
        <w:rPr>
          <w:color w:val="0D0D0D" w:themeColor="text1" w:themeTint="F2"/>
          <w:highlight w:val="black"/>
        </w:rPr>
        <w:t>xxx xxxxx xxxx xxxxx</w:t>
      </w:r>
      <w:r w:rsidRPr="00014FAC">
        <w:rPr>
          <w:color w:val="0D0D0D" w:themeColor="text1" w:themeTint="F2"/>
          <w:highlight w:val="black"/>
        </w:rPr>
        <w:t xml:space="preserve"> </w:t>
      </w:r>
      <w:r w:rsidRPr="00014FAC">
        <w:rPr>
          <w:color w:val="0D0D0D" w:themeColor="text1" w:themeTint="F2"/>
          <w:highlight w:val="black"/>
        </w:rPr>
        <w:t>x</w:t>
      </w:r>
      <w:r w:rsidRPr="00014FAC">
        <w:rPr>
          <w:color w:val="0D0D0D" w:themeColor="text1" w:themeTint="F2"/>
          <w:highlight w:val="black"/>
        </w:rPr>
        <w:t xml:space="preserve"> </w:t>
      </w:r>
      <w:r w:rsidRPr="00014FAC">
        <w:rPr>
          <w:color w:val="0D0D0D" w:themeColor="text1" w:themeTint="F2"/>
          <w:highlight w:val="black"/>
        </w:rPr>
        <w:t>xxxx</w:t>
      </w:r>
      <w:r w:rsidRPr="00014FAC">
        <w:rPr>
          <w:color w:val="0D0D0D" w:themeColor="text1" w:themeTint="F2"/>
          <w:highlight w:val="black"/>
        </w:rPr>
        <w:t xml:space="preserve"> </w:t>
      </w:r>
      <w:r w:rsidRPr="00014FAC">
        <w:rPr>
          <w:color w:val="0D0D0D" w:themeColor="text1" w:themeTint="F2"/>
          <w:highlight w:val="black"/>
        </w:rPr>
        <w:t>xxx xxxxx xxxx xxxxx xxxx xxxx xxxx xxxxxxxxx xxxxxxxxx xxxxx xxxxxxxxxx xxxxxx xxxxxxx xxxxxx xxxx</w:t>
      </w:r>
      <w:r w:rsidRPr="00014FAC">
        <w:rPr>
          <w:color w:val="0D0D0D" w:themeColor="text1" w:themeTint="F2"/>
          <w:highlight w:val="black"/>
        </w:rPr>
        <w:t xml:space="preserve"> </w:t>
      </w:r>
      <w:r w:rsidRPr="00014FAC">
        <w:rPr>
          <w:color w:val="0D0D0D" w:themeColor="text1" w:themeTint="F2"/>
          <w:highlight w:val="black"/>
        </w:rPr>
        <w:t>xx</w:t>
      </w:r>
      <w:r w:rsidRPr="00014FAC">
        <w:rPr>
          <w:color w:val="0D0D0D" w:themeColor="text1" w:themeTint="F2"/>
          <w:highlight w:val="black"/>
        </w:rPr>
        <w:t xml:space="preserve"> </w:t>
      </w:r>
      <w:r w:rsidRPr="00014FAC">
        <w:rPr>
          <w:color w:val="0D0D0D" w:themeColor="text1" w:themeTint="F2"/>
          <w:highlight w:val="black"/>
        </w:rPr>
        <w:t>xxx xxx</w:t>
      </w:r>
      <w:r w:rsidRPr="00014FAC">
        <w:rPr>
          <w:color w:val="0D0D0D" w:themeColor="text1" w:themeTint="F2"/>
          <w:highlight w:val="black"/>
        </w:rPr>
        <w:t>xx xx xxxx xxx xxx xxxx xxxxxx xxx xxxxxxx xxxxxx xxx xxxxx xxxxxxx xxxxxx xxxxxx xxxx xxx</w:t>
      </w:r>
      <w:r w:rsidRPr="00014FAC">
        <w:rPr>
          <w:color w:val="0D0D0D" w:themeColor="text1" w:themeTint="F2"/>
          <w:highlight w:val="black"/>
        </w:rPr>
        <w:t xml:space="preserve"> </w:t>
      </w:r>
      <w:r w:rsidRPr="00014FAC">
        <w:rPr>
          <w:color w:val="0D0D0D" w:themeColor="text1" w:themeTint="F2"/>
          <w:highlight w:val="black"/>
        </w:rPr>
        <w:t>xxxx</w:t>
      </w:r>
      <w:r w:rsidRPr="00014FAC">
        <w:rPr>
          <w:color w:val="0D0D0D" w:themeColor="text1" w:themeTint="F2"/>
          <w:highlight w:val="black"/>
        </w:rPr>
        <w:t xml:space="preserve"> </w:t>
      </w:r>
      <w:r w:rsidRPr="00014FAC">
        <w:rPr>
          <w:color w:val="0D0D0D" w:themeColor="text1" w:themeTint="F2"/>
          <w:highlight w:val="black"/>
        </w:rPr>
        <w:t>xxxxxxxxx xxxxxx xxxx xxxxxxx xxxxx xxx xxx xxx xxx xxxxx</w:t>
      </w:r>
      <w:r w:rsidRPr="00014FAC">
        <w:rPr>
          <w:color w:val="0D0D0D" w:themeColor="text1" w:themeTint="F2"/>
          <w:highlight w:val="black"/>
        </w:rPr>
        <w:t>x xxxxxx xxxxx xxxxxx xxxxxxxxx xxxx xxx</w:t>
      </w:r>
      <w:r w:rsidRPr="00014FAC">
        <w:rPr>
          <w:color w:val="0D0D0D" w:themeColor="text1" w:themeTint="F2"/>
          <w:highlight w:val="black"/>
        </w:rPr>
        <w:t xml:space="preserve"> </w:t>
      </w:r>
      <w:r w:rsidRPr="00014FAC">
        <w:rPr>
          <w:color w:val="0D0D0D" w:themeColor="text1" w:themeTint="F2"/>
          <w:highlight w:val="black"/>
        </w:rPr>
        <w:t>xx</w:t>
      </w:r>
      <w:r w:rsidRPr="00014FAC">
        <w:rPr>
          <w:color w:val="0D0D0D" w:themeColor="text1" w:themeTint="F2"/>
          <w:highlight w:val="black"/>
        </w:rPr>
        <w:t xml:space="preserve"> </w:t>
      </w:r>
      <w:r w:rsidRPr="00014FAC">
        <w:rPr>
          <w:color w:val="0D0D0D" w:themeColor="text1" w:themeTint="F2"/>
          <w:highlight w:val="black"/>
        </w:rPr>
        <w:t>xxxxxxxxx xxxxxx xxxxxx xxxxx xxxxxx xxxxx xxxx xxxxxx xxxx</w:t>
      </w:r>
      <w:r w:rsidRPr="00014FAC">
        <w:rPr>
          <w:color w:val="0D0D0D" w:themeColor="text1" w:themeTint="F2"/>
          <w:highlight w:val="black"/>
        </w:rPr>
        <w:t>xxxx</w:t>
      </w:r>
      <w:r>
        <w:t>[</w:t>
      </w:r>
      <w:r>
        <w:rPr>
          <w:b/>
        </w:rPr>
        <w:t>***END CONFIDENTIAL***</w:t>
      </w:r>
      <w:r>
        <w:t>].</w:t>
      </w:r>
    </w:p>
  </w:footnote>
  <w:footnote w:id="48">
    <w:p w:rsidR="0013719D" w:rsidRPr="00471898" w:rsidP="0013719D">
      <w:pPr>
        <w:pStyle w:val="FootnoteText"/>
      </w:pPr>
      <w:r>
        <w:rPr>
          <w:rStyle w:val="FootnoteReference"/>
        </w:rPr>
        <w:footnoteRef/>
      </w:r>
      <w:r>
        <w:t xml:space="preserve"> </w:t>
      </w:r>
      <w:r w:rsidRPr="00993C9B">
        <w:t>Petition at 15-16.</w:t>
      </w:r>
      <w:r>
        <w:t xml:space="preserve">  The Companies’ compliance with the requirement to provide at-home workstations with access to call-handling technology to the same extent as other CAs ensures quality of service of at-home call handling, </w:t>
      </w:r>
      <w:r>
        <w:t xml:space="preserve">including assurances that emergency calls are being handled appropriately.  </w:t>
      </w:r>
      <w:r>
        <w:rPr>
          <w:i/>
        </w:rPr>
        <w:t>Id.</w:t>
      </w:r>
      <w:r>
        <w:t xml:space="preserve"> at 15; </w:t>
      </w:r>
      <w:r>
        <w:rPr>
          <w:i/>
        </w:rPr>
        <w:t xml:space="preserve">see also </w:t>
      </w:r>
      <w:r>
        <w:t xml:space="preserve">47 CFR </w:t>
      </w:r>
      <w:r w:rsidRPr="001C06A7">
        <w:t>§ 64.604</w:t>
      </w:r>
      <w:r>
        <w:t xml:space="preserve">(b)(8)(v)(B) (requiring each at-home workstation to “allow[] a CA to use all call-handling technology to the same extent as other CAs, including </w:t>
      </w:r>
      <w:r>
        <w:t xml:space="preserve">the ability to transition a non-emergency call to an emergency call, engage in virtual teaming with another CA, and allow supervisors to communicate with and oversee calls”). </w:t>
      </w:r>
    </w:p>
  </w:footnote>
  <w:footnote w:id="49">
    <w:p w:rsidR="0013719D" w:rsidRPr="00E17E5B" w:rsidP="0013719D">
      <w:pPr>
        <w:pStyle w:val="FootnoteText"/>
      </w:pPr>
      <w:r>
        <w:rPr>
          <w:rStyle w:val="FootnoteReference"/>
        </w:rPr>
        <w:footnoteRef/>
      </w:r>
      <w:r>
        <w:t xml:space="preserve"> </w:t>
      </w:r>
      <w:r w:rsidRPr="00B509E2">
        <w:rPr>
          <w:i/>
        </w:rPr>
        <w:t>See</w:t>
      </w:r>
      <w:r>
        <w:t xml:space="preserve"> </w:t>
      </w:r>
      <w:r w:rsidRPr="00B509E2">
        <w:rPr>
          <w:i/>
        </w:rPr>
        <w:t>WAIT Radio</w:t>
      </w:r>
      <w:r w:rsidRPr="00B509E2">
        <w:t xml:space="preserve">, 418 F.2d </w:t>
      </w:r>
      <w:r>
        <w:t>at</w:t>
      </w:r>
      <w:r w:rsidRPr="00B509E2">
        <w:t xml:space="preserve"> 1159</w:t>
      </w:r>
      <w:r>
        <w:t>;</w:t>
      </w:r>
      <w:r w:rsidRPr="00B509E2">
        <w:t xml:space="preserve"> </w:t>
      </w:r>
      <w:r w:rsidRPr="00B509E2">
        <w:rPr>
          <w:i/>
        </w:rPr>
        <w:t>Northeast Cellular</w:t>
      </w:r>
      <w:r w:rsidRPr="00B509E2">
        <w:t>, 897 F.2d at 1166</w:t>
      </w:r>
      <w:r>
        <w:t xml:space="preserve">; </w:t>
      </w:r>
      <w:r>
        <w:rPr>
          <w:i/>
        </w:rPr>
        <w:t xml:space="preserve">see also </w:t>
      </w:r>
      <w:r>
        <w:t xml:space="preserve">47 U.S.C. </w:t>
      </w:r>
      <w:r w:rsidRPr="006A193A">
        <w:t>§</w:t>
      </w:r>
      <w:r>
        <w:t xml:space="preserve"> 225(b)(1) (requiring the </w:t>
      </w:r>
      <w:r w:rsidRPr="006D6ABA">
        <w:t xml:space="preserve">Commission to ensure that TRS “are available, to the extent possible and in the most efficient manner . . .”); </w:t>
      </w:r>
      <w:r w:rsidRPr="006D6ABA">
        <w:rPr>
          <w:i/>
        </w:rPr>
        <w:t>id</w:t>
      </w:r>
      <w:r w:rsidRPr="006D6ABA">
        <w:t xml:space="preserve">. § 225(a)(3) (defining TRS in terms of functional equivalence to voice communications service). </w:t>
      </w:r>
      <w:r w:rsidRPr="006D6ABA">
        <w:t xml:space="preserve">  </w:t>
      </w:r>
    </w:p>
  </w:footnote>
  <w:footnote w:id="50">
    <w:p w:rsidR="0013719D" w:rsidP="0013719D">
      <w:pPr>
        <w:pStyle w:val="FootnoteText"/>
      </w:pPr>
      <w:r>
        <w:rPr>
          <w:rStyle w:val="FootnoteReference"/>
        </w:rPr>
        <w:footnoteRef/>
      </w:r>
      <w:r>
        <w:t xml:space="preserve"> </w:t>
      </w:r>
      <w:r w:rsidRPr="009A419B">
        <w:rPr>
          <w:i/>
        </w:rPr>
        <w:t>See</w:t>
      </w:r>
      <w:r>
        <w:t xml:space="preserve"> </w:t>
      </w:r>
      <w:r w:rsidRPr="009A419B">
        <w:t>47 CFR § 64.604(b)(8)(iii)</w:t>
      </w:r>
      <w:r>
        <w:t xml:space="preserve">.  </w:t>
      </w:r>
    </w:p>
  </w:footnote>
  <w:footnote w:id="51">
    <w:p w:rsidR="00222602" w:rsidP="00222602">
      <w:pPr>
        <w:pStyle w:val="FootnoteText"/>
      </w:pPr>
      <w:r>
        <w:rPr>
          <w:rStyle w:val="FootnoteReference"/>
        </w:rPr>
        <w:footnoteRef/>
      </w:r>
      <w:r>
        <w:t xml:space="preserve"> </w:t>
      </w:r>
      <w:r w:rsidRPr="00222602">
        <w:t xml:space="preserve">Sorenson October 19 </w:t>
      </w:r>
      <w:r w:rsidRPr="00222602">
        <w:rPr>
          <w:i/>
        </w:rPr>
        <w:t>Ex Parte</w:t>
      </w:r>
      <w:r w:rsidRPr="00222602">
        <w:t xml:space="preserve"> at 2</w:t>
      </w:r>
      <w:r>
        <w:t xml:space="preserve"> (noting that the waiver requested by the Companies is not so limited)</w:t>
      </w:r>
      <w:r w:rsidRPr="00222602">
        <w:t xml:space="preserve">.  </w:t>
      </w:r>
    </w:p>
  </w:footnote>
  <w:footnote w:id="52">
    <w:p w:rsidR="0013719D" w:rsidP="0013719D">
      <w:pPr>
        <w:pStyle w:val="FootnoteText"/>
      </w:pPr>
      <w:r>
        <w:rPr>
          <w:rStyle w:val="FootnoteReference"/>
        </w:rPr>
        <w:footnoteRef/>
      </w:r>
      <w:r>
        <w:t xml:space="preserve"> </w:t>
      </w:r>
      <w:r w:rsidRPr="00AA2610">
        <w:t>47 CFR § 64.604(b)(8)(viii)-(ix).  In light of</w:t>
      </w:r>
      <w:r w:rsidRPr="00AA2610">
        <w:t xml:space="preserve"> these information reporting requirements, during the extension of the pilot program we do not </w:t>
      </w:r>
      <w:r>
        <w:t xml:space="preserve">deem </w:t>
      </w:r>
      <w:r w:rsidRPr="00AA2610">
        <w:t xml:space="preserve">at-home call handling workstations </w:t>
      </w:r>
      <w:r>
        <w:t xml:space="preserve">to be call centers for purposes of our rules requiring </w:t>
      </w:r>
      <w:r w:rsidRPr="00AA2610">
        <w:t>semi-annual call center reports and call center change notificatio</w:t>
      </w:r>
      <w:r w:rsidRPr="00AA2610">
        <w:t>ns</w:t>
      </w:r>
      <w:r>
        <w:t xml:space="preserve"> (such as 30-day advance notifications of new at-home call centers)</w:t>
      </w:r>
      <w:r>
        <w:t xml:space="preserve">.  </w:t>
      </w:r>
      <w:r w:rsidRPr="00E41F2B">
        <w:rPr>
          <w:i/>
        </w:rPr>
        <w:t>See id</w:t>
      </w:r>
      <w:r>
        <w:t xml:space="preserve">. </w:t>
      </w:r>
      <w:r w:rsidRPr="00E577F7">
        <w:t>§ 64.604(c)(5)(iii)(N)(</w:t>
      </w:r>
      <w:r w:rsidRPr="00E577F7">
        <w:rPr>
          <w:i/>
        </w:rPr>
        <w:t>2</w:t>
      </w:r>
      <w:r w:rsidRPr="00E577F7">
        <w:t>)</w:t>
      </w:r>
      <w:r>
        <w:t>;</w:t>
      </w:r>
      <w:r w:rsidRPr="00E577F7">
        <w:rPr>
          <w:i/>
        </w:rPr>
        <w:t xml:space="preserve"> </w:t>
      </w:r>
      <w:r w:rsidRPr="00E577F7">
        <w:rPr>
          <w:i/>
          <w:spacing w:val="-2"/>
        </w:rPr>
        <w:t>VRS Improvements Report and Order</w:t>
      </w:r>
      <w:r w:rsidRPr="00E577F7">
        <w:rPr>
          <w:spacing w:val="-2"/>
        </w:rPr>
        <w:t>, 32 FCC Rcd at 2462, n.167.</w:t>
      </w:r>
    </w:p>
  </w:footnote>
  <w:footnote w:id="53">
    <w:p w:rsidR="0013719D" w:rsidP="0013719D">
      <w:pPr>
        <w:pStyle w:val="FootnoteText"/>
      </w:pPr>
      <w:r>
        <w:rPr>
          <w:rStyle w:val="FootnoteReference"/>
        </w:rPr>
        <w:footnoteRef/>
      </w:r>
      <w:r>
        <w:t xml:space="preserve"> </w:t>
      </w:r>
      <w:r w:rsidRPr="00977AA7">
        <w:rPr>
          <w:i/>
        </w:rPr>
        <w:t>See</w:t>
      </w:r>
      <w:r w:rsidRPr="00977AA7">
        <w:t xml:space="preserve"> Petition at 16-17.  </w:t>
      </w:r>
    </w:p>
  </w:footnote>
  <w:footnote w:id="54">
    <w:p w:rsidR="0013719D" w:rsidP="0013719D">
      <w:pPr>
        <w:pStyle w:val="FootnoteText"/>
      </w:pPr>
      <w:r>
        <w:rPr>
          <w:rStyle w:val="FootnoteReference"/>
        </w:rPr>
        <w:footnoteRef/>
      </w:r>
      <w:r>
        <w:t xml:space="preserve"> </w:t>
      </w:r>
      <w:r w:rsidRPr="006D6ABA">
        <w:rPr>
          <w:i/>
        </w:rPr>
        <w:t>See</w:t>
      </w:r>
      <w:r>
        <w:t xml:space="preserve"> Letter from Gregory Hlibok, Chief Legal Officer</w:t>
      </w:r>
      <w:r w:rsidRPr="002F7CF5">
        <w:rPr>
          <w:snapToGrid w:val="0"/>
          <w:kern w:val="28"/>
          <w:sz w:val="22"/>
        </w:rPr>
        <w:t xml:space="preserve"> </w:t>
      </w:r>
      <w:r w:rsidRPr="002F7CF5">
        <w:t>and Ch</w:t>
      </w:r>
      <w:r w:rsidRPr="002F7CF5">
        <w:t>ief Compliance Officer, ZVRS Holding Company</w:t>
      </w:r>
      <w:r>
        <w:t>, to Marlene H. Dortch, Secretary, FCC, at 2 (filed Oct. 17, 2018) (“</w:t>
      </w:r>
      <w:r w:rsidRPr="006D6ABA">
        <w:t>The Pilot Program should only be extended as necessary to approve rules for permanent at-home call handling.</w:t>
      </w:r>
      <w:r>
        <w:t>”)</w:t>
      </w:r>
      <w:r w:rsidRPr="006D6ABA">
        <w:t>.</w:t>
      </w:r>
    </w:p>
  </w:footnote>
  <w:footnote w:id="55">
    <w:p w:rsidR="0013719D" w:rsidP="0013719D">
      <w:pPr>
        <w:pStyle w:val="FootnoteText"/>
      </w:pPr>
      <w:r>
        <w:rPr>
          <w:rStyle w:val="FootnoteReference"/>
        </w:rPr>
        <w:footnoteRef/>
      </w:r>
      <w:r>
        <w:t xml:space="preserve"> Sorenson Comments at 3; </w:t>
      </w:r>
      <w:bookmarkStart w:id="9" w:name="_Hlk527990841"/>
      <w:r w:rsidRPr="00AC0F01">
        <w:t xml:space="preserve">Sorenson October 19 </w:t>
      </w:r>
      <w:r w:rsidRPr="00AC0F01">
        <w:rPr>
          <w:i/>
        </w:rPr>
        <w:t>Ex Parte</w:t>
      </w:r>
      <w:r w:rsidRPr="00AC0F01">
        <w:t xml:space="preserve"> at </w:t>
      </w:r>
      <w:r>
        <w:t>1, 3 (citing</w:t>
      </w:r>
      <w:r w:rsidRPr="00AC0F01">
        <w:rPr>
          <w:rFonts w:ascii="TimesNewRomanPS-ItalicMT" w:hAnsi="TimesNewRomanPS-ItalicMT" w:cs="TimesNewRomanPS-ItalicMT"/>
          <w:i/>
          <w:iCs/>
          <w:sz w:val="24"/>
          <w:szCs w:val="24"/>
        </w:rPr>
        <w:t xml:space="preserve"> </w:t>
      </w:r>
      <w:r w:rsidRPr="00AC0F01">
        <w:rPr>
          <w:i/>
          <w:iCs/>
        </w:rPr>
        <w:t>Northeast Cellular</w:t>
      </w:r>
      <w:r w:rsidRPr="00AC0F01">
        <w:t>, 897 F.2d at 1166</w:t>
      </w:r>
      <w:r>
        <w:t xml:space="preserve">). </w:t>
      </w:r>
      <w:bookmarkEnd w:id="9"/>
    </w:p>
  </w:footnote>
  <w:footnote w:id="56">
    <w:p w:rsidR="0013719D" w:rsidP="0013719D">
      <w:pPr>
        <w:pStyle w:val="FootnoteText"/>
      </w:pPr>
      <w:r>
        <w:rPr>
          <w:rStyle w:val="FootnoteReference"/>
        </w:rPr>
        <w:footnoteRef/>
      </w:r>
      <w:r>
        <w:t xml:space="preserve"> If any VRS provider wishes to begin offering at-home interpreting under the conditions of the pilot program, the provider should submit a particularized showing of speci</w:t>
      </w:r>
      <w:r>
        <w:t xml:space="preserve">al circumstances demonstrating good cause for granting a rule waiver to that VRS provider.  </w:t>
      </w:r>
      <w:r w:rsidRPr="005121F5">
        <w:rPr>
          <w:i/>
        </w:rPr>
        <w:t>See</w:t>
      </w:r>
      <w:r>
        <w:t xml:space="preserve"> </w:t>
      </w:r>
      <w:r w:rsidRPr="005121F5">
        <w:rPr>
          <w:i/>
        </w:rPr>
        <w:t>WAIT Radio</w:t>
      </w:r>
      <w:r w:rsidRPr="005121F5">
        <w:t>, 418 F.2d at 115</w:t>
      </w:r>
      <w:r>
        <w:t>7.</w:t>
      </w:r>
    </w:p>
  </w:footnote>
  <w:footnote w:id="57">
    <w:p w:rsidR="0013719D" w:rsidP="0013719D">
      <w:pPr>
        <w:pStyle w:val="FootnoteText"/>
      </w:pPr>
      <w:r>
        <w:rPr>
          <w:rStyle w:val="FootnoteReference"/>
        </w:rPr>
        <w:footnoteRef/>
      </w:r>
      <w:r>
        <w:t xml:space="preserve"> </w:t>
      </w:r>
      <w:r w:rsidRPr="008575D2">
        <w:t xml:space="preserve">Sorenson October 19 </w:t>
      </w:r>
      <w:r w:rsidRPr="008575D2">
        <w:rPr>
          <w:i/>
        </w:rPr>
        <w:t>Ex Parte</w:t>
      </w:r>
      <w:r w:rsidRPr="008575D2">
        <w:t xml:space="preserve"> at </w:t>
      </w:r>
      <w:r>
        <w:t>3-4</w:t>
      </w:r>
      <w:r w:rsidRPr="008575D2">
        <w:t>.</w:t>
      </w:r>
      <w:r>
        <w:t xml:space="preserve">  </w:t>
      </w:r>
    </w:p>
  </w:footnote>
  <w:footnote w:id="58">
    <w:p w:rsidR="0013719D" w:rsidRPr="00C76F14" w:rsidP="0013719D">
      <w:pPr>
        <w:pStyle w:val="FootnoteText"/>
      </w:pPr>
      <w:r>
        <w:rPr>
          <w:rStyle w:val="FootnoteReference"/>
        </w:rPr>
        <w:footnoteRef/>
      </w:r>
      <w:r>
        <w:t xml:space="preserve"> </w:t>
      </w:r>
      <w:r>
        <w:rPr>
          <w:i/>
        </w:rPr>
        <w:t>See</w:t>
      </w:r>
      <w:r>
        <w:t xml:space="preserve"> </w:t>
      </w:r>
      <w:r w:rsidRPr="00947554">
        <w:rPr>
          <w:i/>
        </w:rPr>
        <w:t>Telecommunications Relay Services and Speech-to-Speech Services for Individuals wit</w:t>
      </w:r>
      <w:r w:rsidRPr="00947554">
        <w:rPr>
          <w:i/>
        </w:rPr>
        <w:t xml:space="preserve">h Hearing and Speech </w:t>
      </w:r>
      <w:r w:rsidRPr="00E41F2B">
        <w:rPr>
          <w:i/>
        </w:rPr>
        <w:t>Disabilities</w:t>
      </w:r>
      <w:r w:rsidRPr="00E41F2B">
        <w:rPr>
          <w:i/>
        </w:rPr>
        <w:t xml:space="preserve"> et al.</w:t>
      </w:r>
      <w:r w:rsidRPr="00947554">
        <w:rPr>
          <w:i/>
        </w:rPr>
        <w:t xml:space="preserve">, </w:t>
      </w:r>
      <w:r w:rsidRPr="00947554">
        <w:t>Order and Third Protective Order, DA 18-751 (filed July 20, 2018)</w:t>
      </w:r>
      <w:r>
        <w:t xml:space="preserve"> (</w:t>
      </w:r>
      <w:r w:rsidRPr="00DB7058">
        <w:rPr>
          <w:i/>
        </w:rPr>
        <w:t>Third Protective Order</w:t>
      </w:r>
      <w:r>
        <w:t>)</w:t>
      </w:r>
      <w:r w:rsidRPr="008575D2">
        <w:t>.</w:t>
      </w:r>
      <w:r>
        <w:t xml:space="preserve"> </w:t>
      </w:r>
      <w:r>
        <w:t xml:space="preserve"> </w:t>
      </w:r>
      <w:r>
        <w:t xml:space="preserve">Sorenson’s </w:t>
      </w:r>
      <w:r>
        <w:rPr>
          <w:i/>
        </w:rPr>
        <w:t>ex parte</w:t>
      </w:r>
      <w:r>
        <w:t xml:space="preserve"> letter, filed more than seven weeks after the Petition was filed (and six weeks after Sorenson filed </w:t>
      </w:r>
      <w:r>
        <w:t>comments on the Petition) does not indicate that Sorenson ever sought access to the data provided by the Companies.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rsidP="00621A08">
    <w:pPr>
      <w:pStyle w:val="Header"/>
    </w:pPr>
    <w:r>
      <w:tab/>
      <w:t>Federal Communications Commission</w:t>
    </w:r>
    <w:r>
      <w:tab/>
    </w:r>
    <w:r>
      <w:t xml:space="preserve">DA </w:t>
    </w:r>
    <w:r>
      <w:t>18-1119</w:t>
    </w:r>
  </w:p>
  <w:p w:rsidR="00D25FB5">
    <w:pPr>
      <w:tabs>
        <w:tab w:val="left" w:pos="-720"/>
      </w:tabs>
      <w:suppressAutoHyphens/>
      <w:spacing w:line="19" w:lineRule="exact"/>
      <w:rPr>
        <w:spacing w:val="-2"/>
      </w:rPr>
    </w:pPr>
    <w:r>
      <w:rPr>
        <w:noProof/>
      </w:rPr>
      <w:pict>
        <v:rect id="Rectangle 1" o:spid="_x0000_s2049" style="width:468pt;height:0.95pt;margin-top:0;margin-left:0;mso-position-horizontal-relative:margin;position:absolute;visibility:visible;z-index:-251658240" o:allowincell="f" fillcolor="black" stroked="f" strokeweight="0.05pt">
          <w10:wrap anchorx="margin"/>
        </v:rect>
      </w:pict>
    </w:r>
  </w:p>
  <w:p w:rsidR="00D25FB5" w:rsidP="00621A08">
    <w:pPr>
      <w:pStyle w:val="Header"/>
      <w:rPr>
        <w:sz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rsidP="00621A08">
    <w:pPr>
      <w:pStyle w:val="Header"/>
      <w:rPr>
        <w:spacing w:val="-2"/>
      </w:rPr>
    </w:pPr>
    <w:r>
      <w:rPr>
        <w:noProof/>
      </w:rPr>
      <w:pict>
        <v:rect id="Rectangle 3" o:spid="_x0000_s2050" style="width:468pt;height:0.95pt;margin-top:12.65pt;margin-left:0.6pt;mso-position-horizontal-relative:margin;position:absolute;visibility:visible;z-index:-251657216" o:allowincell="f" fillcolor="black" stroked="f" strokeweight="0.05pt">
          <w10:wrap anchorx="margin"/>
        </v:rect>
      </w:pict>
    </w:r>
    <w:r>
      <w:tab/>
      <w:t xml:space="preserve">Federal </w:t>
    </w:r>
    <w:r>
      <w:t>Communications Commission</w:t>
    </w:r>
    <w:r>
      <w:tab/>
    </w:r>
    <w:r>
      <w:rPr>
        <w:spacing w:val="-2"/>
      </w:rPr>
      <w:t xml:space="preserve">DA </w:t>
    </w:r>
    <w:r>
      <w:rPr>
        <w:spacing w:val="-2"/>
      </w:rPr>
      <w:t>18-1119</w:t>
    </w:r>
  </w:p>
  <w:p w:rsidR="00C945C6" w:rsidP="00621A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4B453C"/>
    <w:multiLevelType w:val="singleLevel"/>
    <w:tmpl w:val="40A8E97A"/>
    <w:lvl w:ilvl="0">
      <w:start w:val="1"/>
      <w:numFmt w:val="decimal"/>
      <w:lvlText w:val="%1."/>
      <w:lvlJc w:val="left"/>
      <w:pPr>
        <w:tabs>
          <w:tab w:val="num" w:pos="1080"/>
        </w:tabs>
        <w:ind w:left="0" w:firstLine="720"/>
      </w:pPr>
    </w:lvl>
  </w:abstractNum>
  <w:abstractNum w:abstractNumId="1">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2">
    <w:nsid w:val="248246F3"/>
    <w:multiLevelType w:val="singleLevel"/>
    <w:tmpl w:val="B1F45678"/>
    <w:lvl w:ilvl="0">
      <w:start w:val="1"/>
      <w:numFmt w:val="decimal"/>
      <w:lvlText w:val="%1."/>
      <w:lvlJc w:val="left"/>
      <w:pPr>
        <w:tabs>
          <w:tab w:val="num" w:pos="1080"/>
        </w:tabs>
        <w:ind w:left="0" w:firstLine="720"/>
      </w:pPr>
    </w:lvl>
  </w:abstractNum>
  <w:abstractNum w:abstractNumId="3">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4">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nsid w:val="61182925"/>
    <w:multiLevelType w:val="singleLevel"/>
    <w:tmpl w:val="A9EE9842"/>
    <w:lvl w:ilvl="0">
      <w:start w:val="1"/>
      <w:numFmt w:val="decimal"/>
      <w:pStyle w:val="ParaNum"/>
      <w:lvlText w:val="%1."/>
      <w:lvlJc w:val="left"/>
      <w:pPr>
        <w:tabs>
          <w:tab w:val="num" w:pos="1080"/>
        </w:tabs>
        <w:ind w:left="0" w:firstLine="720"/>
      </w:pPr>
    </w:lvl>
  </w:abstractNum>
  <w:num w:numId="1">
    <w:abstractNumId w:val="1"/>
  </w:num>
  <w:num w:numId="2">
    <w:abstractNumId w:val="5"/>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 w:id="2"/>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719D"/>
    <w:pPr>
      <w:widowControl w:val="0"/>
    </w:pPr>
    <w:rPr>
      <w:snapToGrid w:val="0"/>
      <w:kern w:val="28"/>
      <w:sz w:val="22"/>
    </w:rPr>
  </w:style>
  <w:style w:type="paragraph" w:styleId="Heading1">
    <w:name w:val="heading 1"/>
    <w:basedOn w:val="Normal"/>
    <w:next w:val="ParaNum"/>
    <w:qFormat/>
    <w:rsid w:val="00626EB6"/>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autoRedefine/>
    <w:qFormat/>
    <w:rsid w:val="007A1E6D"/>
    <w:pPr>
      <w:keepNext/>
      <w:numPr>
        <w:ilvl w:val="1"/>
        <w:numId w:val="3"/>
      </w:numPr>
      <w:spacing w:after="120"/>
      <w:outlineLvl w:val="1"/>
    </w:pPr>
    <w:rPr>
      <w:b/>
    </w:rPr>
  </w:style>
  <w:style w:type="paragraph" w:styleId="Heading3">
    <w:name w:val="heading 3"/>
    <w:basedOn w:val="Normal"/>
    <w:next w:val="ParaNum"/>
    <w:qFormat/>
    <w:rsid w:val="00BA6196"/>
    <w:pPr>
      <w:keepNext/>
      <w:numPr>
        <w:ilvl w:val="2"/>
        <w:numId w:val="3"/>
      </w:numPr>
      <w:tabs>
        <w:tab w:val="left" w:pos="2160"/>
      </w:tabs>
      <w:spacing w:after="120"/>
      <w:outlineLvl w:val="2"/>
    </w:pPr>
    <w:rPr>
      <w:b/>
    </w:rPr>
  </w:style>
  <w:style w:type="paragraph" w:styleId="Heading4">
    <w:name w:val="heading 4"/>
    <w:basedOn w:val="Normal"/>
    <w:next w:val="ParaNum"/>
    <w:qFormat/>
    <w:rsid w:val="00C426B1"/>
    <w:pPr>
      <w:keepNext/>
      <w:numPr>
        <w:ilvl w:val="3"/>
        <w:numId w:val="3"/>
      </w:numPr>
      <w:tabs>
        <w:tab w:val="left" w:pos="2880"/>
      </w:tabs>
      <w:spacing w:after="120"/>
      <w:outlineLvl w:val="3"/>
    </w:pPr>
    <w:rPr>
      <w:b/>
    </w:rPr>
  </w:style>
  <w:style w:type="paragraph" w:styleId="Heading5">
    <w:name w:val="heading 5"/>
    <w:basedOn w:val="Normal"/>
    <w:next w:val="ParaNum"/>
    <w:qFormat/>
    <w:rsid w:val="00511968"/>
    <w:pPr>
      <w:keepNext/>
      <w:numPr>
        <w:ilvl w:val="4"/>
        <w:numId w:val="3"/>
      </w:numPr>
      <w:tabs>
        <w:tab w:val="left" w:pos="3600"/>
      </w:tabs>
      <w:suppressAutoHyphens/>
      <w:spacing w:after="120"/>
      <w:outlineLvl w:val="4"/>
    </w:pPr>
    <w:rPr>
      <w:b/>
    </w:rPr>
  </w:style>
  <w:style w:type="paragraph" w:styleId="Heading6">
    <w:name w:val="heading 6"/>
    <w:basedOn w:val="Normal"/>
    <w:next w:val="ParaNum"/>
    <w:qFormat/>
    <w:rsid w:val="00036039"/>
    <w:pPr>
      <w:numPr>
        <w:ilvl w:val="5"/>
        <w:numId w:val="3"/>
      </w:numPr>
      <w:tabs>
        <w:tab w:val="left" w:pos="4320"/>
      </w:tabs>
      <w:spacing w:after="120"/>
      <w:outlineLvl w:val="5"/>
    </w:pPr>
    <w:rPr>
      <w:b/>
    </w:rPr>
  </w:style>
  <w:style w:type="paragraph" w:styleId="Heading7">
    <w:name w:val="heading 7"/>
    <w:basedOn w:val="Normal"/>
    <w:next w:val="ParaNum"/>
    <w:qFormat/>
    <w:rsid w:val="00036039"/>
    <w:pPr>
      <w:numPr>
        <w:ilvl w:val="6"/>
        <w:numId w:val="3"/>
      </w:numPr>
      <w:tabs>
        <w:tab w:val="left" w:pos="5040"/>
      </w:tabs>
      <w:spacing w:after="120"/>
      <w:ind w:left="5040" w:hanging="720"/>
      <w:outlineLvl w:val="6"/>
    </w:pPr>
    <w:rPr>
      <w:b/>
    </w:rPr>
  </w:style>
  <w:style w:type="paragraph" w:styleId="Heading8">
    <w:name w:val="heading 8"/>
    <w:basedOn w:val="Normal"/>
    <w:next w:val="ParaNum"/>
    <w:qFormat/>
    <w:rsid w:val="001E01CA"/>
    <w:pPr>
      <w:numPr>
        <w:ilvl w:val="7"/>
        <w:numId w:val="3"/>
      </w:numPr>
      <w:tabs>
        <w:tab w:val="clear" w:pos="5400"/>
        <w:tab w:val="left" w:pos="5760"/>
      </w:tabs>
      <w:spacing w:after="120"/>
      <w:ind w:left="5760" w:hanging="720"/>
      <w:outlineLvl w:val="7"/>
    </w:pPr>
    <w:rPr>
      <w:b/>
    </w:rPr>
  </w:style>
  <w:style w:type="paragraph" w:styleId="Heading9">
    <w:name w:val="heading 9"/>
    <w:basedOn w:val="Normal"/>
    <w:next w:val="ParaNum"/>
    <w:qFormat/>
    <w:rsid w:val="001E01CA"/>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rsid w:val="00E07225"/>
    <w:pPr>
      <w:numPr>
        <w:numId w:val="2"/>
      </w:numPr>
      <w:tabs>
        <w:tab w:val="clear" w:pos="1080"/>
        <w:tab w:val="num" w:pos="1440"/>
      </w:tabs>
      <w:spacing w:after="1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aliases w:val="Footnote Text Char,Footnote Text Char Char Char2,Footnote Text Char Char Char2 Char Char,Footnote Text Char1 Char2 Char Char1,Footnote Text Char1 Char2 Char Char1 Char Char,Footnote Text Char2,Footnote Text Char2 Char1,Footnote Text Char3"/>
    <w:link w:val="FootnoteTextChar1"/>
    <w:rsid w:val="000E3D42"/>
    <w:pPr>
      <w:spacing w:after="120"/>
    </w:pPr>
  </w:style>
  <w:style w:type="character" w:styleId="FootnoteReference">
    <w:name w:val="footnote reference"/>
    <w:aliases w:val="(NECG) Footnote Reference,A,Appel note de bas de p,FR,Footnote Reference/,Footnote Reference1,Style 12,Style 124,Style 13,Style 17,Style 3,Style 34,Style 4,Style 6,Style 7,Style 9,fr,o"/>
    <w:rsid w:val="00A32C3B"/>
    <w:rPr>
      <w:rFonts w:ascii="Times New Roman" w:hAnsi="Times New Roman"/>
      <w:dstrike w:val="0"/>
      <w:color w:val="auto"/>
      <w:sz w:val="20"/>
      <w:vertAlign w:val="superscript"/>
    </w:rPr>
  </w:style>
  <w:style w:type="paragraph" w:styleId="TOC1">
    <w:name w:val="toc 1"/>
    <w:basedOn w:val="Normal"/>
    <w:next w:val="Normal"/>
    <w:semiHidden/>
    <w:pPr>
      <w:tabs>
        <w:tab w:val="left" w:pos="360"/>
        <w:tab w:val="right" w:leader="dot" w:pos="9360"/>
      </w:tabs>
      <w:suppressAutoHyphens/>
      <w:ind w:left="360" w:right="720" w:hanging="360"/>
    </w:pPr>
    <w:rPr>
      <w:caps/>
      <w:noProof/>
    </w:rPr>
  </w:style>
  <w:style w:type="paragraph" w:styleId="TOC2">
    <w:name w:val="toc 2"/>
    <w:basedOn w:val="Normal"/>
    <w:next w:val="Normal"/>
    <w:semiHidden/>
    <w:pPr>
      <w:tabs>
        <w:tab w:val="left" w:pos="720"/>
        <w:tab w:val="right" w:leader="dot" w:pos="9360"/>
      </w:tabs>
      <w:suppressAutoHyphens/>
      <w:ind w:left="720" w:right="720" w:hanging="360"/>
    </w:pPr>
    <w:rPr>
      <w:noProof/>
    </w:rPr>
  </w:style>
  <w:style w:type="paragraph" w:styleId="TOC3">
    <w:name w:val="toc 3"/>
    <w:basedOn w:val="Normal"/>
    <w:next w:val="Normal"/>
    <w:semiHidden/>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pPr>
      <w:tabs>
        <w:tab w:val="left" w:pos="2160"/>
        <w:tab w:val="right" w:leader="dot" w:pos="9360"/>
      </w:tabs>
      <w:suppressAutoHyphens/>
      <w:ind w:left="2160" w:hanging="360"/>
    </w:pPr>
    <w:rPr>
      <w:noProof/>
    </w:rPr>
  </w:style>
  <w:style w:type="paragraph" w:styleId="TOC7">
    <w:name w:val="toc 7"/>
    <w:basedOn w:val="Normal"/>
    <w:next w:val="Normal"/>
    <w:autoRedefine/>
    <w:semiHidden/>
    <w:pPr>
      <w:tabs>
        <w:tab w:val="left" w:pos="2520"/>
        <w:tab w:val="right" w:leader="dot" w:pos="9360"/>
      </w:tabs>
      <w:suppressAutoHyphens/>
      <w:ind w:left="2520" w:hanging="360"/>
    </w:pPr>
    <w:rPr>
      <w:noProof/>
    </w:rPr>
  </w:style>
  <w:style w:type="paragraph" w:styleId="TOC8">
    <w:name w:val="toc 8"/>
    <w:basedOn w:val="Normal"/>
    <w:next w:val="Normal"/>
    <w:autoRedefine/>
    <w:semiHidden/>
    <w:pPr>
      <w:tabs>
        <w:tab w:val="left" w:pos="2880"/>
        <w:tab w:val="right" w:leader="dot" w:pos="9360"/>
      </w:tabs>
      <w:suppressAutoHyphens/>
      <w:ind w:left="2880" w:hanging="360"/>
    </w:pPr>
    <w:rPr>
      <w:noProof/>
    </w:rPr>
  </w:style>
  <w:style w:type="paragraph" w:styleId="TOC9">
    <w:name w:val="toc 9"/>
    <w:basedOn w:val="Normal"/>
    <w:next w:val="Normal"/>
    <w:autoRedefine/>
    <w:semiHidden/>
    <w:pPr>
      <w:tabs>
        <w:tab w:val="left" w:pos="3240"/>
        <w:tab w:val="right" w:leader="dot" w:pos="9360"/>
      </w:tabs>
      <w:suppressAutoHyphens/>
      <w:ind w:left="3240" w:hanging="360"/>
    </w:pPr>
    <w:rPr>
      <w:noProof/>
    </w:rPr>
  </w:style>
  <w:style w:type="paragraph" w:styleId="TOAHeading">
    <w:name w:val="toa heading"/>
    <w:basedOn w:val="Normal"/>
    <w:next w:val="Normal"/>
    <w:semiHidden/>
    <w:pPr>
      <w:tabs>
        <w:tab w:val="right" w:pos="9360"/>
      </w:tabs>
      <w:suppressAutoHyphens/>
    </w:pPr>
  </w:style>
  <w:style w:type="character" w:customStyle="1" w:styleId="EquationCaption">
    <w:name w:val="_Equation Caption"/>
  </w:style>
  <w:style w:type="paragraph" w:styleId="Header">
    <w:name w:val="header"/>
    <w:basedOn w:val="Normal"/>
    <w:autoRedefine/>
    <w:rsid w:val="00621A08"/>
    <w:pPr>
      <w:tabs>
        <w:tab w:val="center" w:pos="4680"/>
        <w:tab w:val="right" w:pos="9360"/>
      </w:tabs>
    </w:pPr>
    <w:rPr>
      <w:b/>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240"/>
      <w:ind w:left="1440" w:right="1440"/>
    </w:pPr>
  </w:style>
  <w:style w:type="paragraph" w:customStyle="1" w:styleId="Paratitle">
    <w:name w:val="Para title"/>
    <w:basedOn w:val="Normal"/>
    <w:pPr>
      <w:tabs>
        <w:tab w:val="center" w:pos="9270"/>
      </w:tabs>
      <w:spacing w:after="240"/>
    </w:pPr>
    <w:rPr>
      <w:spacing w:val="-2"/>
    </w:rPr>
  </w:style>
  <w:style w:type="paragraph" w:customStyle="1" w:styleId="Bullet">
    <w:name w:val="Bullet"/>
    <w:basedOn w:val="Normal"/>
    <w:pPr>
      <w:tabs>
        <w:tab w:val="left" w:pos="2160"/>
      </w:tabs>
      <w:spacing w:after="220"/>
      <w:ind w:left="2160" w:hanging="720"/>
    </w:pPr>
  </w:style>
  <w:style w:type="paragraph" w:customStyle="1" w:styleId="TableFormat">
    <w:name w:val="TableFormat"/>
    <w:basedOn w:val="Bullet"/>
    <w:pPr>
      <w:tabs>
        <w:tab w:val="clear" w:pos="2160"/>
        <w:tab w:val="left" w:pos="5040"/>
      </w:tabs>
      <w:ind w:left="5040" w:hanging="3600"/>
    </w:pPr>
  </w:style>
  <w:style w:type="paragraph" w:customStyle="1" w:styleId="TOCTitle">
    <w:name w:val="TOC Title"/>
    <w:basedOn w:val="Normal"/>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096D8C"/>
    <w:pPr>
      <w:jc w:val="center"/>
    </w:pPr>
    <w:rPr>
      <w:rFonts w:ascii="Times New Roman Bold" w:hAnsi="Times New Roman Bold"/>
      <w:b/>
      <w:bCs/>
      <w:caps/>
      <w:szCs w:val="22"/>
    </w:rPr>
  </w:style>
  <w:style w:type="character" w:styleId="Hyperlink">
    <w:name w:val="Hyperlink"/>
    <w:rsid w:val="002A2D2E"/>
    <w:rPr>
      <w:color w:val="0000FF"/>
      <w:u w:val="single"/>
    </w:rPr>
  </w:style>
  <w:style w:type="character" w:customStyle="1" w:styleId="FooterChar">
    <w:name w:val="Footer Char"/>
    <w:link w:val="Footer"/>
    <w:uiPriority w:val="99"/>
    <w:rsid w:val="009D7308"/>
    <w:rPr>
      <w:snapToGrid w:val="0"/>
      <w:kern w:val="28"/>
      <w:sz w:val="22"/>
    </w:rPr>
  </w:style>
  <w:style w:type="character" w:customStyle="1" w:styleId="FootnoteTextChar1">
    <w:name w:val="Footnote Text Char1"/>
    <w:aliases w:val="Footnote Text Char Char,Footnote Text Char Char Char2 Char,Footnote Text Char Char Char2 Char Char Char,Footnote Text Char1 Char2 Char Char1 Char,Footnote Text Char1 Char2 Char Char1 Char Char Char,Footnote Text Char2 Char"/>
    <w:link w:val="FootnoteText"/>
    <w:locked/>
    <w:rsid w:val="0013719D"/>
  </w:style>
  <w:style w:type="character" w:styleId="CommentReference">
    <w:name w:val="annotation reference"/>
    <w:rsid w:val="0013719D"/>
    <w:rPr>
      <w:sz w:val="16"/>
      <w:szCs w:val="16"/>
    </w:rPr>
  </w:style>
  <w:style w:type="paragraph" w:styleId="CommentText">
    <w:name w:val="annotation text"/>
    <w:basedOn w:val="Normal"/>
    <w:link w:val="CommentTextChar"/>
    <w:rsid w:val="0013719D"/>
    <w:rPr>
      <w:sz w:val="20"/>
    </w:rPr>
  </w:style>
  <w:style w:type="character" w:customStyle="1" w:styleId="CommentTextChar">
    <w:name w:val="Comment Text Char"/>
    <w:basedOn w:val="DefaultParagraphFont"/>
    <w:link w:val="CommentText"/>
    <w:rsid w:val="0013719D"/>
    <w:rPr>
      <w:snapToGrid w:val="0"/>
      <w:kern w:val="28"/>
    </w:rPr>
  </w:style>
  <w:style w:type="paragraph" w:styleId="BalloonText">
    <w:name w:val="Balloon Text"/>
    <w:basedOn w:val="Normal"/>
    <w:link w:val="BalloonTextChar"/>
    <w:rsid w:val="0013719D"/>
    <w:rPr>
      <w:rFonts w:ascii="Segoe UI" w:hAnsi="Segoe UI" w:cs="Segoe UI"/>
      <w:sz w:val="18"/>
      <w:szCs w:val="18"/>
    </w:rPr>
  </w:style>
  <w:style w:type="character" w:customStyle="1" w:styleId="BalloonTextChar">
    <w:name w:val="Balloon Text Char"/>
    <w:basedOn w:val="DefaultParagraphFont"/>
    <w:link w:val="BalloonText"/>
    <w:rsid w:val="0013719D"/>
    <w:rPr>
      <w:rFonts w:ascii="Segoe UI" w:hAnsi="Segoe UI" w:cs="Segoe UI"/>
      <w:snapToGrid w:val="0"/>
      <w:kern w:val="28"/>
      <w:sz w:val="18"/>
      <w:szCs w:val="18"/>
    </w:rPr>
  </w:style>
  <w:style w:type="paragraph" w:styleId="CommentSubject">
    <w:name w:val="annotation subject"/>
    <w:basedOn w:val="CommentText"/>
    <w:next w:val="CommentText"/>
    <w:link w:val="CommentSubjectChar"/>
    <w:rsid w:val="00576513"/>
    <w:rPr>
      <w:b/>
      <w:bCs/>
    </w:rPr>
  </w:style>
  <w:style w:type="character" w:customStyle="1" w:styleId="CommentSubjectChar">
    <w:name w:val="Comment Subject Char"/>
    <w:basedOn w:val="CommentTextChar"/>
    <w:link w:val="CommentSubject"/>
    <w:rsid w:val="00576513"/>
    <w:rPr>
      <w:b/>
      <w:bCs/>
      <w:snapToGrid w:val="0"/>
      <w:kern w:val="28"/>
    </w:rPr>
  </w:style>
  <w:style w:type="paragraph" w:customStyle="1" w:styleId="Default">
    <w:name w:val="Default"/>
    <w:rsid w:val="00014FAC"/>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2.xml" /><Relationship Id="rId9" Type="http://schemas.openxmlformats.org/officeDocument/2006/relationships/footer" Target="footer3.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M:\forms\OS%20Process\Orders%20TOC%20by%20Paragraph.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Orders TOC by Paragraph</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