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10 -->
  <w:body>
    <w:p w:rsidR="00013A8B" w:rsidRPr="00DC492D" w:rsidP="00013A8B">
      <w:pPr>
        <w:jc w:val="right"/>
        <w:rPr>
          <w:b/>
          <w:szCs w:val="22"/>
        </w:rPr>
      </w:pPr>
      <w:r>
        <w:rPr>
          <w:b/>
          <w:szCs w:val="22"/>
        </w:rPr>
        <w:t>DA 19-</w:t>
      </w:r>
      <w:r w:rsidR="00DB28A6">
        <w:rPr>
          <w:b/>
          <w:szCs w:val="22"/>
        </w:rPr>
        <w:t>4</w:t>
      </w:r>
      <w:r w:rsidR="00495869">
        <w:rPr>
          <w:b/>
          <w:szCs w:val="22"/>
        </w:rPr>
        <w:t>07</w:t>
      </w:r>
    </w:p>
    <w:p w:rsidR="00013A8B" w:rsidRPr="00DC492D" w:rsidP="00013A8B">
      <w:pPr>
        <w:spacing w:before="60"/>
        <w:jc w:val="right"/>
        <w:rPr>
          <w:b/>
          <w:szCs w:val="22"/>
        </w:rPr>
      </w:pPr>
      <w:r w:rsidRPr="00DC492D">
        <w:rPr>
          <w:b/>
          <w:szCs w:val="22"/>
        </w:rPr>
        <w:t xml:space="preserve">Released:  </w:t>
      </w:r>
      <w:r w:rsidR="00DC492D">
        <w:rPr>
          <w:b/>
          <w:szCs w:val="22"/>
        </w:rPr>
        <w:t xml:space="preserve">May </w:t>
      </w:r>
      <w:r w:rsidRPr="00BA1278" w:rsidR="00BA1278">
        <w:rPr>
          <w:b/>
          <w:szCs w:val="22"/>
        </w:rPr>
        <w:t>13</w:t>
      </w:r>
      <w:r w:rsidR="00DC492D">
        <w:rPr>
          <w:b/>
          <w:szCs w:val="22"/>
        </w:rPr>
        <w:t>, 2019</w:t>
      </w:r>
    </w:p>
    <w:p w:rsidR="00013A8B" w:rsidRPr="00DC492D" w:rsidP="00013A8B">
      <w:pPr>
        <w:jc w:val="right"/>
        <w:rPr>
          <w:szCs w:val="22"/>
        </w:rPr>
      </w:pPr>
    </w:p>
    <w:p w:rsidR="00013A8B" w:rsidRPr="00DC492D" w:rsidP="00013A8B">
      <w:pPr>
        <w:spacing w:after="240"/>
        <w:jc w:val="center"/>
        <w:rPr>
          <w:b/>
          <w:caps/>
          <w:szCs w:val="22"/>
        </w:rPr>
      </w:pPr>
      <w:bookmarkStart w:id="0" w:name="_Hlk8591515"/>
      <w:r w:rsidRPr="00C05524">
        <w:rPr>
          <w:b/>
          <w:caps/>
          <w:szCs w:val="22"/>
        </w:rPr>
        <w:t>Rolka Loube Associates Submits Payment Formulas and Funding Requirement for the Interstate Telecommunications Relay Services Fund for the 201</w:t>
      </w:r>
      <w:r>
        <w:rPr>
          <w:b/>
          <w:caps/>
          <w:szCs w:val="22"/>
        </w:rPr>
        <w:t>9</w:t>
      </w:r>
      <w:r w:rsidRPr="00C05524">
        <w:rPr>
          <w:b/>
          <w:caps/>
          <w:szCs w:val="22"/>
        </w:rPr>
        <w:t>-20</w:t>
      </w:r>
      <w:r>
        <w:rPr>
          <w:b/>
          <w:caps/>
          <w:szCs w:val="22"/>
        </w:rPr>
        <w:t>20</w:t>
      </w:r>
      <w:r w:rsidRPr="00C05524">
        <w:rPr>
          <w:b/>
          <w:caps/>
          <w:szCs w:val="22"/>
        </w:rPr>
        <w:t xml:space="preserve"> Fund Year</w:t>
      </w:r>
    </w:p>
    <w:bookmarkEnd w:id="0"/>
    <w:p w:rsidR="00013A8B" w:rsidP="00013A8B">
      <w:pPr>
        <w:jc w:val="center"/>
        <w:rPr>
          <w:b/>
          <w:szCs w:val="22"/>
        </w:rPr>
      </w:pPr>
      <w:r>
        <w:rPr>
          <w:b/>
          <w:szCs w:val="22"/>
        </w:rPr>
        <w:t>CG Docket Nos. 10-51 and 03-123</w:t>
      </w:r>
    </w:p>
    <w:p w:rsidR="00DC492D" w:rsidP="00DC492D">
      <w:pPr>
        <w:rPr>
          <w:b/>
          <w:szCs w:val="22"/>
        </w:rPr>
      </w:pPr>
    </w:p>
    <w:p w:rsidR="00DC492D" w:rsidP="00DC492D">
      <w:pPr>
        <w:rPr>
          <w:b/>
          <w:szCs w:val="22"/>
        </w:rPr>
      </w:pPr>
      <w:r>
        <w:rPr>
          <w:b/>
          <w:szCs w:val="22"/>
        </w:rPr>
        <w:t>Comments:</w:t>
      </w:r>
      <w:r w:rsidR="00BC5214">
        <w:rPr>
          <w:b/>
          <w:szCs w:val="22"/>
        </w:rPr>
        <w:t xml:space="preserve">  May 28, 2019</w:t>
      </w:r>
    </w:p>
    <w:p w:rsidR="00DC492D" w:rsidP="00DC492D">
      <w:pPr>
        <w:rPr>
          <w:b/>
          <w:szCs w:val="22"/>
        </w:rPr>
      </w:pPr>
      <w:r>
        <w:rPr>
          <w:b/>
          <w:szCs w:val="22"/>
        </w:rPr>
        <w:t>Reply Comments:</w:t>
      </w:r>
      <w:r w:rsidR="00BC5214">
        <w:rPr>
          <w:b/>
          <w:szCs w:val="22"/>
        </w:rPr>
        <w:t xml:space="preserve">  June 7, 2019</w:t>
      </w:r>
    </w:p>
    <w:p w:rsidR="00DC492D" w:rsidP="00DC492D">
      <w:pPr>
        <w:rPr>
          <w:b/>
          <w:szCs w:val="22"/>
        </w:rPr>
      </w:pPr>
    </w:p>
    <w:p w:rsidR="00DC492D" w:rsidP="00492D4B">
      <w:pPr>
        <w:spacing w:after="120"/>
        <w:ind w:firstLine="720"/>
        <w:rPr>
          <w:szCs w:val="22"/>
        </w:rPr>
      </w:pPr>
      <w:r w:rsidRPr="00C05524">
        <w:rPr>
          <w:szCs w:val="22"/>
        </w:rPr>
        <w:t>By this Public Notice, the Consumer and Governmental Affairs Bureau (CGB</w:t>
      </w:r>
      <w:r>
        <w:rPr>
          <w:szCs w:val="22"/>
        </w:rPr>
        <w:t xml:space="preserve"> or Bureau</w:t>
      </w:r>
      <w:r w:rsidRPr="00C05524">
        <w:rPr>
          <w:szCs w:val="22"/>
        </w:rPr>
        <w:t>) seeks comment on the Interstate Telecommunications Relay Services (TRS) Fund administrator’s proposed provider compensation rates, funding requirement, and carrier contribution factor for the period from July 1, 201</w:t>
      </w:r>
      <w:r>
        <w:rPr>
          <w:szCs w:val="22"/>
        </w:rPr>
        <w:t>9</w:t>
      </w:r>
      <w:r w:rsidRPr="00C05524">
        <w:rPr>
          <w:szCs w:val="22"/>
        </w:rPr>
        <w:t>, through June 30, 20</w:t>
      </w:r>
      <w:r>
        <w:rPr>
          <w:szCs w:val="22"/>
        </w:rPr>
        <w:t>20</w:t>
      </w:r>
      <w:r w:rsidRPr="00C05524">
        <w:rPr>
          <w:szCs w:val="22"/>
        </w:rPr>
        <w:t xml:space="preserve"> (201</w:t>
      </w:r>
      <w:r>
        <w:rPr>
          <w:szCs w:val="22"/>
        </w:rPr>
        <w:t>9</w:t>
      </w:r>
      <w:r w:rsidRPr="00C05524">
        <w:rPr>
          <w:szCs w:val="22"/>
        </w:rPr>
        <w:t>-</w:t>
      </w:r>
      <w:r>
        <w:rPr>
          <w:szCs w:val="22"/>
        </w:rPr>
        <w:t>20</w:t>
      </w:r>
      <w:r w:rsidRPr="00C05524">
        <w:rPr>
          <w:szCs w:val="22"/>
        </w:rPr>
        <w:t xml:space="preserve"> Fund </w:t>
      </w:r>
      <w:r w:rsidR="00EB4851">
        <w:rPr>
          <w:szCs w:val="22"/>
        </w:rPr>
        <w:t>Y</w:t>
      </w:r>
      <w:r w:rsidRPr="00C05524">
        <w:rPr>
          <w:szCs w:val="22"/>
        </w:rPr>
        <w:t>ear), for TRS compensated by the Interstate TRS Fund (Fund).</w:t>
      </w:r>
      <w:r>
        <w:rPr>
          <w:rStyle w:val="FootnoteReference"/>
          <w:szCs w:val="22"/>
        </w:rPr>
        <w:footnoteReference w:id="3"/>
      </w:r>
    </w:p>
    <w:p w:rsidR="00DC492D" w:rsidRPr="00C05524" w:rsidP="00CE78F4">
      <w:pPr>
        <w:pStyle w:val="BodyText"/>
        <w:ind w:firstLine="0"/>
        <w:jc w:val="center"/>
        <w:rPr>
          <w:szCs w:val="22"/>
          <w:u w:val="single"/>
        </w:rPr>
      </w:pPr>
      <w:r w:rsidRPr="00C05524">
        <w:rPr>
          <w:szCs w:val="22"/>
          <w:u w:val="single"/>
        </w:rPr>
        <w:t>TRS Using MARS Plan Methodology</w:t>
      </w:r>
    </w:p>
    <w:p w:rsidR="00DC492D" w:rsidRPr="00DC492D" w:rsidP="00492D4B">
      <w:pPr>
        <w:spacing w:after="120"/>
        <w:ind w:firstLine="720"/>
        <w:rPr>
          <w:b/>
          <w:szCs w:val="22"/>
        </w:rPr>
      </w:pPr>
      <w:r w:rsidRPr="00C05524">
        <w:rPr>
          <w:szCs w:val="22"/>
        </w:rPr>
        <w:t xml:space="preserve">Rolka Loube Associates LLC (Rolka Loube), the </w:t>
      </w:r>
      <w:r>
        <w:rPr>
          <w:szCs w:val="22"/>
        </w:rPr>
        <w:t xml:space="preserve">Interstate </w:t>
      </w:r>
      <w:r w:rsidRPr="00C05524">
        <w:rPr>
          <w:szCs w:val="22"/>
        </w:rPr>
        <w:t>TRS Fund administrator</w:t>
      </w:r>
      <w:r>
        <w:rPr>
          <w:szCs w:val="22"/>
        </w:rPr>
        <w:t>,</w:t>
      </w:r>
      <w:r w:rsidRPr="00C05524">
        <w:rPr>
          <w:szCs w:val="22"/>
        </w:rPr>
        <w:t xml:space="preserve"> proposes per-minute compensation rates for certain forms of TRS that are subject to the Multistate Average Rate Structure (MARS) plan methodology,</w:t>
      </w:r>
      <w:r>
        <w:rPr>
          <w:rStyle w:val="FootnoteReference"/>
          <w:szCs w:val="22"/>
        </w:rPr>
        <w:footnoteReference w:id="4"/>
      </w:r>
      <w:r w:rsidRPr="00C05524">
        <w:rPr>
          <w:szCs w:val="22"/>
        </w:rPr>
        <w:t xml:space="preserve"> as follows:  $3.</w:t>
      </w:r>
      <w:r w:rsidR="00492D4B">
        <w:rPr>
          <w:szCs w:val="22"/>
        </w:rPr>
        <w:t>1107</w:t>
      </w:r>
      <w:r w:rsidRPr="00C05524">
        <w:rPr>
          <w:szCs w:val="22"/>
        </w:rPr>
        <w:t xml:space="preserve"> for interstate traditional TRS;</w:t>
      </w:r>
      <w:r>
        <w:rPr>
          <w:rStyle w:val="FootnoteReference"/>
          <w:szCs w:val="22"/>
        </w:rPr>
        <w:footnoteReference w:id="5"/>
      </w:r>
      <w:r w:rsidRPr="00C05524">
        <w:rPr>
          <w:szCs w:val="22"/>
        </w:rPr>
        <w:t xml:space="preserve"> $</w:t>
      </w:r>
      <w:r w:rsidRPr="00C05524">
        <w:rPr>
          <w:snapToGrid/>
          <w:kern w:val="0"/>
          <w:szCs w:val="22"/>
        </w:rPr>
        <w:t>4.</w:t>
      </w:r>
      <w:r w:rsidR="00492D4B">
        <w:rPr>
          <w:snapToGrid/>
          <w:kern w:val="0"/>
          <w:szCs w:val="22"/>
        </w:rPr>
        <w:t>2417</w:t>
      </w:r>
      <w:r w:rsidRPr="00C05524">
        <w:rPr>
          <w:snapToGrid/>
          <w:kern w:val="0"/>
          <w:szCs w:val="22"/>
        </w:rPr>
        <w:t xml:space="preserve"> </w:t>
      </w:r>
      <w:r w:rsidRPr="00C05524">
        <w:rPr>
          <w:szCs w:val="22"/>
        </w:rPr>
        <w:t>for interstate speech-to-speech relay service (STS);</w:t>
      </w:r>
      <w:r>
        <w:rPr>
          <w:rStyle w:val="FootnoteReference"/>
          <w:szCs w:val="22"/>
        </w:rPr>
        <w:footnoteReference w:id="6"/>
      </w:r>
      <w:r w:rsidRPr="00C05524">
        <w:rPr>
          <w:szCs w:val="22"/>
        </w:rPr>
        <w:t xml:space="preserve"> and $2.</w:t>
      </w:r>
      <w:r w:rsidR="004568D0">
        <w:rPr>
          <w:szCs w:val="22"/>
        </w:rPr>
        <w:t>2795</w:t>
      </w:r>
      <w:r w:rsidRPr="00C05524">
        <w:rPr>
          <w:szCs w:val="22"/>
        </w:rPr>
        <w:t xml:space="preserve"> for interstate captioned telephone service (CTS).</w:t>
      </w:r>
      <w:r>
        <w:rPr>
          <w:rStyle w:val="FootnoteReference"/>
          <w:szCs w:val="22"/>
        </w:rPr>
        <w:footnoteReference w:id="7"/>
      </w:r>
      <w:r w:rsidRPr="00C05524">
        <w:rPr>
          <w:szCs w:val="22"/>
        </w:rPr>
        <w:t xml:space="preserve">  We seek comment on whether these proposed rates correctly apply the MARS methodology.</w:t>
      </w:r>
    </w:p>
    <w:p w:rsidR="004568D0" w:rsidP="00CE78F4">
      <w:pPr>
        <w:pStyle w:val="BodyText"/>
        <w:ind w:firstLine="0"/>
        <w:jc w:val="center"/>
        <w:rPr>
          <w:szCs w:val="22"/>
          <w:u w:val="single"/>
          <w:lang w:val="en-US"/>
        </w:rPr>
      </w:pPr>
      <w:r>
        <w:rPr>
          <w:szCs w:val="22"/>
          <w:u w:val="single"/>
          <w:lang w:val="en-US"/>
        </w:rPr>
        <w:t>IP CTS</w:t>
      </w:r>
    </w:p>
    <w:p w:rsidR="00E932A4" w:rsidRPr="00C05524" w:rsidP="00302E37">
      <w:pPr>
        <w:spacing w:after="120"/>
        <w:ind w:firstLine="720"/>
        <w:rPr>
          <w:szCs w:val="22"/>
        </w:rPr>
      </w:pPr>
      <w:r>
        <w:rPr>
          <w:szCs w:val="22"/>
        </w:rPr>
        <w:t xml:space="preserve">In the </w:t>
      </w:r>
      <w:r w:rsidRPr="005A69DF">
        <w:rPr>
          <w:i/>
          <w:szCs w:val="22"/>
        </w:rPr>
        <w:t>2018 IP CTS</w:t>
      </w:r>
      <w:r>
        <w:rPr>
          <w:szCs w:val="22"/>
        </w:rPr>
        <w:t xml:space="preserve"> </w:t>
      </w:r>
      <w:r>
        <w:rPr>
          <w:i/>
          <w:szCs w:val="22"/>
        </w:rPr>
        <w:t>Reform Order</w:t>
      </w:r>
      <w:r>
        <w:rPr>
          <w:szCs w:val="22"/>
        </w:rPr>
        <w:t xml:space="preserve">, the Commission adopted </w:t>
      </w:r>
      <w:r>
        <w:rPr>
          <w:szCs w:val="22"/>
        </w:rPr>
        <w:t xml:space="preserve">interim compensation rates of $1.75 per minute for the 2018-19 Fund </w:t>
      </w:r>
      <w:r w:rsidR="0044367C">
        <w:rPr>
          <w:szCs w:val="22"/>
        </w:rPr>
        <w:t>Y</w:t>
      </w:r>
      <w:r>
        <w:rPr>
          <w:szCs w:val="22"/>
        </w:rPr>
        <w:t>ear and</w:t>
      </w:r>
      <w:r w:rsidR="00204A22">
        <w:rPr>
          <w:szCs w:val="22"/>
        </w:rPr>
        <w:t xml:space="preserve"> $1.58 per minute for</w:t>
      </w:r>
      <w:r>
        <w:rPr>
          <w:szCs w:val="22"/>
        </w:rPr>
        <w:t xml:space="preserve"> the 2019-20 Fund </w:t>
      </w:r>
      <w:r w:rsidR="0044367C">
        <w:rPr>
          <w:szCs w:val="22"/>
        </w:rPr>
        <w:t>Y</w:t>
      </w:r>
      <w:r>
        <w:rPr>
          <w:szCs w:val="22"/>
        </w:rPr>
        <w:t>ear</w:t>
      </w:r>
      <w:r w:rsidR="001A1B12">
        <w:rPr>
          <w:szCs w:val="22"/>
        </w:rPr>
        <w:t>,</w:t>
      </w:r>
      <w:r>
        <w:rPr>
          <w:szCs w:val="22"/>
        </w:rPr>
        <w:t xml:space="preserve"> while seeking </w:t>
      </w:r>
      <w:r>
        <w:rPr>
          <w:szCs w:val="22"/>
        </w:rPr>
        <w:t>additional data and comment on how to set compensation rates for subsequent years.</w:t>
      </w:r>
      <w:r>
        <w:rPr>
          <w:rStyle w:val="FootnoteReference"/>
          <w:szCs w:val="22"/>
        </w:rPr>
        <w:footnoteReference w:id="8"/>
      </w:r>
      <w:r>
        <w:rPr>
          <w:szCs w:val="22"/>
        </w:rPr>
        <w:t xml:space="preserve">  Therefore, we do not seek comment on </w:t>
      </w:r>
      <w:r w:rsidRPr="00C05524">
        <w:rPr>
          <w:szCs w:val="22"/>
        </w:rPr>
        <w:t xml:space="preserve">the </w:t>
      </w:r>
      <w:r>
        <w:rPr>
          <w:szCs w:val="22"/>
        </w:rPr>
        <w:t>IP CTS</w:t>
      </w:r>
      <w:r w:rsidRPr="00C05524">
        <w:rPr>
          <w:szCs w:val="22"/>
        </w:rPr>
        <w:t xml:space="preserve"> compensation rate</w:t>
      </w:r>
      <w:r>
        <w:rPr>
          <w:szCs w:val="22"/>
        </w:rPr>
        <w:t xml:space="preserve"> </w:t>
      </w:r>
      <w:r w:rsidRPr="00C05524">
        <w:rPr>
          <w:szCs w:val="22"/>
        </w:rPr>
        <w:t xml:space="preserve">for </w:t>
      </w:r>
      <w:r>
        <w:rPr>
          <w:szCs w:val="22"/>
        </w:rPr>
        <w:t xml:space="preserve">the </w:t>
      </w:r>
      <w:r w:rsidRPr="00C05524">
        <w:rPr>
          <w:szCs w:val="22"/>
        </w:rPr>
        <w:t>201</w:t>
      </w:r>
      <w:r>
        <w:rPr>
          <w:szCs w:val="22"/>
        </w:rPr>
        <w:t>9</w:t>
      </w:r>
      <w:r w:rsidRPr="00C05524">
        <w:rPr>
          <w:szCs w:val="22"/>
        </w:rPr>
        <w:t>-</w:t>
      </w:r>
      <w:r>
        <w:rPr>
          <w:szCs w:val="22"/>
        </w:rPr>
        <w:t>20</w:t>
      </w:r>
      <w:r w:rsidRPr="00CB6C2F">
        <w:rPr>
          <w:szCs w:val="22"/>
        </w:rPr>
        <w:t xml:space="preserve"> </w:t>
      </w:r>
      <w:r w:rsidRPr="00C05524">
        <w:rPr>
          <w:szCs w:val="22"/>
        </w:rPr>
        <w:t xml:space="preserve">Fund </w:t>
      </w:r>
      <w:r w:rsidR="0044367C">
        <w:rPr>
          <w:szCs w:val="22"/>
        </w:rPr>
        <w:t>Y</w:t>
      </w:r>
      <w:r w:rsidRPr="00C05524">
        <w:rPr>
          <w:szCs w:val="22"/>
        </w:rPr>
        <w:t xml:space="preserve">ear.  </w:t>
      </w:r>
    </w:p>
    <w:p w:rsidR="004568D0" w:rsidRPr="00C05524" w:rsidP="00CE78F4">
      <w:pPr>
        <w:pStyle w:val="BodyText"/>
        <w:ind w:firstLine="0"/>
        <w:jc w:val="center"/>
        <w:rPr>
          <w:szCs w:val="22"/>
          <w:u w:val="single"/>
        </w:rPr>
      </w:pPr>
      <w:r w:rsidRPr="00C05524">
        <w:rPr>
          <w:szCs w:val="22"/>
          <w:u w:val="single"/>
        </w:rPr>
        <w:t>IP Relay</w:t>
      </w:r>
    </w:p>
    <w:p w:rsidR="00AE70FB" w:rsidP="00AE70FB">
      <w:pPr>
        <w:widowControl/>
        <w:autoSpaceDE w:val="0"/>
        <w:autoSpaceDN w:val="0"/>
        <w:adjustRightInd w:val="0"/>
        <w:spacing w:after="120"/>
        <w:ind w:firstLine="720"/>
        <w:rPr>
          <w:szCs w:val="22"/>
        </w:rPr>
      </w:pPr>
      <w:r w:rsidRPr="007653C3">
        <w:rPr>
          <w:szCs w:val="22"/>
        </w:rPr>
        <w:t>The IP Relay compensation rate is subject to a price cap methodology.</w:t>
      </w:r>
      <w:r>
        <w:rPr>
          <w:rStyle w:val="FootnoteReference"/>
          <w:szCs w:val="22"/>
        </w:rPr>
        <w:footnoteReference w:id="9"/>
      </w:r>
      <w:r w:rsidRPr="007653C3">
        <w:rPr>
          <w:szCs w:val="22"/>
        </w:rPr>
        <w:t xml:space="preserve">  This formula takes a base rate</w:t>
      </w:r>
      <w:r w:rsidR="00951810">
        <w:rPr>
          <w:szCs w:val="22"/>
        </w:rPr>
        <w:t>, which is reset every three years,</w:t>
      </w:r>
      <w:r w:rsidRPr="007653C3">
        <w:rPr>
          <w:szCs w:val="22"/>
        </w:rPr>
        <w:t xml:space="preserve"> and multiplies it by a factor that reflects an increase due to inflation, offset by a decrease due to efficiencies, and adds exogenous costs.</w:t>
      </w:r>
      <w:r>
        <w:rPr>
          <w:rStyle w:val="FootnoteReference"/>
          <w:szCs w:val="22"/>
        </w:rPr>
        <w:footnoteReference w:id="10"/>
      </w:r>
      <w:r w:rsidRPr="007653C3" w:rsidR="007653C3">
        <w:rPr>
          <w:szCs w:val="22"/>
        </w:rPr>
        <w:t xml:space="preserve">  </w:t>
      </w:r>
      <w:r>
        <w:rPr>
          <w:szCs w:val="22"/>
        </w:rPr>
        <w:t>The current three-year cycle ends on June 30, 2019.</w:t>
      </w:r>
      <w:r>
        <w:rPr>
          <w:rStyle w:val="FootnoteReference"/>
          <w:szCs w:val="22"/>
        </w:rPr>
        <w:footnoteReference w:id="11"/>
      </w:r>
      <w:r w:rsidR="00D152C0">
        <w:rPr>
          <w:szCs w:val="22"/>
        </w:rPr>
        <w:t xml:space="preserve">  </w:t>
      </w:r>
      <w:r w:rsidR="004568D0">
        <w:rPr>
          <w:szCs w:val="22"/>
        </w:rPr>
        <w:t xml:space="preserve">The </w:t>
      </w:r>
      <w:r w:rsidR="004B20D2">
        <w:rPr>
          <w:szCs w:val="22"/>
        </w:rPr>
        <w:t xml:space="preserve">current </w:t>
      </w:r>
      <w:r w:rsidR="004568D0">
        <w:rPr>
          <w:szCs w:val="22"/>
        </w:rPr>
        <w:t xml:space="preserve">compensation rate for IP Relay </w:t>
      </w:r>
      <w:r w:rsidR="0044367C">
        <w:rPr>
          <w:szCs w:val="22"/>
        </w:rPr>
        <w:t xml:space="preserve">is </w:t>
      </w:r>
      <w:r w:rsidR="004568D0">
        <w:rPr>
          <w:szCs w:val="22"/>
        </w:rPr>
        <w:t>$1.</w:t>
      </w:r>
      <w:r w:rsidR="006B172E">
        <w:rPr>
          <w:szCs w:val="22"/>
        </w:rPr>
        <w:t>40</w:t>
      </w:r>
      <w:r w:rsidR="004568D0">
        <w:rPr>
          <w:szCs w:val="22"/>
        </w:rPr>
        <w:t xml:space="preserve">.  This </w:t>
      </w:r>
      <w:r w:rsidR="00972264">
        <w:rPr>
          <w:szCs w:val="22"/>
        </w:rPr>
        <w:t>rate include</w:t>
      </w:r>
      <w:r w:rsidR="00D152C0">
        <w:rPr>
          <w:szCs w:val="22"/>
        </w:rPr>
        <w:t>s</w:t>
      </w:r>
      <w:r w:rsidR="004568D0">
        <w:rPr>
          <w:szCs w:val="22"/>
        </w:rPr>
        <w:t xml:space="preserve"> an allowance for the recovery of certain costs incurred for outreach to the deaf-blind community.</w:t>
      </w:r>
      <w:r>
        <w:rPr>
          <w:rStyle w:val="FootnoteReference"/>
          <w:szCs w:val="22"/>
        </w:rPr>
        <w:footnoteReference w:id="12"/>
      </w:r>
      <w:r w:rsidR="004568D0">
        <w:rPr>
          <w:szCs w:val="22"/>
        </w:rPr>
        <w:t xml:space="preserve">  </w:t>
      </w:r>
      <w:r w:rsidR="004B20D2">
        <w:t>I</w:t>
      </w:r>
      <w:r w:rsidR="004568D0">
        <w:t xml:space="preserve">n 2013, </w:t>
      </w:r>
      <w:r w:rsidR="004B20D2">
        <w:t>the</w:t>
      </w:r>
      <w:r w:rsidR="004568D0">
        <w:t xml:space="preserve"> Commission </w:t>
      </w:r>
      <w:r w:rsidR="001A1B12">
        <w:t xml:space="preserve">disallowed </w:t>
      </w:r>
      <w:r w:rsidR="004568D0">
        <w:t xml:space="preserve">compensation for </w:t>
      </w:r>
      <w:r w:rsidR="004B20D2">
        <w:t xml:space="preserve">VRS and </w:t>
      </w:r>
      <w:r w:rsidR="004568D0">
        <w:t>IP Relay outreach</w:t>
      </w:r>
      <w:r w:rsidR="004B20D2">
        <w:t>.</w:t>
      </w:r>
      <w:r>
        <w:rPr>
          <w:rStyle w:val="FootnoteReference"/>
        </w:rPr>
        <w:footnoteReference w:id="13"/>
      </w:r>
      <w:r w:rsidR="004568D0">
        <w:t xml:space="preserve"> </w:t>
      </w:r>
      <w:r w:rsidR="00576B88">
        <w:t xml:space="preserve"> </w:t>
      </w:r>
      <w:r w:rsidR="004B20D2">
        <w:t xml:space="preserve">In 2016, the Bureau granted </w:t>
      </w:r>
      <w:r w:rsidR="004568D0">
        <w:rPr>
          <w:szCs w:val="22"/>
        </w:rPr>
        <w:t>a limited waiver of this ruling</w:t>
      </w:r>
      <w:r w:rsidR="004B20D2">
        <w:rPr>
          <w:szCs w:val="22"/>
        </w:rPr>
        <w:t xml:space="preserve"> to permit </w:t>
      </w:r>
      <w:r w:rsidR="001A1B12">
        <w:rPr>
          <w:szCs w:val="22"/>
        </w:rPr>
        <w:t xml:space="preserve">compensation for </w:t>
      </w:r>
      <w:r w:rsidR="004B20D2">
        <w:rPr>
          <w:szCs w:val="22"/>
        </w:rPr>
        <w:t>IP Relay outreach to the deaf-blind community.  Initially applicable to</w:t>
      </w:r>
      <w:r w:rsidR="004568D0">
        <w:rPr>
          <w:szCs w:val="22"/>
        </w:rPr>
        <w:t xml:space="preserve"> </w:t>
      </w:r>
      <w:r w:rsidR="006B172E">
        <w:rPr>
          <w:szCs w:val="22"/>
        </w:rPr>
        <w:t>the</w:t>
      </w:r>
      <w:r w:rsidR="004568D0">
        <w:rPr>
          <w:szCs w:val="22"/>
        </w:rPr>
        <w:t xml:space="preserve"> </w:t>
      </w:r>
      <w:r w:rsidR="006B172E">
        <w:rPr>
          <w:szCs w:val="22"/>
        </w:rPr>
        <w:t>2016-17</w:t>
      </w:r>
      <w:r w:rsidR="004B20D2">
        <w:rPr>
          <w:szCs w:val="22"/>
        </w:rPr>
        <w:t xml:space="preserve"> Fund Year, this waiver was extended for the</w:t>
      </w:r>
      <w:r w:rsidR="006B172E">
        <w:rPr>
          <w:szCs w:val="22"/>
        </w:rPr>
        <w:t xml:space="preserve"> 2017-18 and 2018-19 </w:t>
      </w:r>
      <w:r w:rsidR="004568D0">
        <w:rPr>
          <w:szCs w:val="22"/>
        </w:rPr>
        <w:t xml:space="preserve">Fund </w:t>
      </w:r>
      <w:r w:rsidR="0044367C">
        <w:rPr>
          <w:szCs w:val="22"/>
        </w:rPr>
        <w:t>Y</w:t>
      </w:r>
      <w:r w:rsidR="004568D0">
        <w:rPr>
          <w:szCs w:val="22"/>
        </w:rPr>
        <w:t>ears.</w:t>
      </w:r>
      <w:r>
        <w:rPr>
          <w:rStyle w:val="FootnoteReference"/>
        </w:rPr>
        <w:footnoteReference w:id="14"/>
      </w:r>
      <w:r w:rsidR="004568D0">
        <w:rPr>
          <w:szCs w:val="22"/>
        </w:rPr>
        <w:t xml:space="preserve">  </w:t>
      </w:r>
    </w:p>
    <w:p w:rsidR="00122FC1" w:rsidP="00DD5461">
      <w:pPr>
        <w:widowControl/>
        <w:autoSpaceDE w:val="0"/>
        <w:autoSpaceDN w:val="0"/>
        <w:adjustRightInd w:val="0"/>
        <w:spacing w:after="120"/>
        <w:ind w:firstLine="720"/>
        <w:rPr>
          <w:szCs w:val="22"/>
        </w:rPr>
      </w:pPr>
      <w:r>
        <w:rPr>
          <w:szCs w:val="22"/>
        </w:rPr>
        <w:t>F</w:t>
      </w:r>
      <w:r w:rsidRPr="007653C3">
        <w:rPr>
          <w:szCs w:val="22"/>
        </w:rPr>
        <w:t xml:space="preserve">or the 2019-20 Fund </w:t>
      </w:r>
      <w:r>
        <w:rPr>
          <w:szCs w:val="22"/>
        </w:rPr>
        <w:t>Y</w:t>
      </w:r>
      <w:r w:rsidRPr="007653C3">
        <w:rPr>
          <w:szCs w:val="22"/>
        </w:rPr>
        <w:t>ear</w:t>
      </w:r>
      <w:r>
        <w:rPr>
          <w:szCs w:val="22"/>
        </w:rPr>
        <w:t>,</w:t>
      </w:r>
      <w:r w:rsidRPr="007653C3">
        <w:rPr>
          <w:szCs w:val="22"/>
        </w:rPr>
        <w:t xml:space="preserve"> </w:t>
      </w:r>
      <w:r w:rsidRPr="007653C3" w:rsidR="00AE70FB">
        <w:rPr>
          <w:szCs w:val="22"/>
        </w:rPr>
        <w:t>Rolka Loube recommends a</w:t>
      </w:r>
      <w:r>
        <w:rPr>
          <w:szCs w:val="22"/>
        </w:rPr>
        <w:t>n IP Relay</w:t>
      </w:r>
      <w:r w:rsidR="00AE70FB">
        <w:rPr>
          <w:szCs w:val="22"/>
        </w:rPr>
        <w:t xml:space="preserve"> </w:t>
      </w:r>
      <w:r w:rsidRPr="007653C3" w:rsidR="00AE70FB">
        <w:rPr>
          <w:szCs w:val="22"/>
        </w:rPr>
        <w:t>compensation rate of $1.6334 per minute</w:t>
      </w:r>
      <w:r w:rsidR="00C315A7">
        <w:rPr>
          <w:szCs w:val="22"/>
        </w:rPr>
        <w:t>, which includes an allowance for the recovery of certain costs incurred for outreach to the deaf-blind community</w:t>
      </w:r>
      <w:r w:rsidRPr="007653C3" w:rsidR="00AE70FB">
        <w:rPr>
          <w:szCs w:val="22"/>
        </w:rPr>
        <w:t xml:space="preserve">. </w:t>
      </w:r>
      <w:r w:rsidR="00AE70FB">
        <w:rPr>
          <w:szCs w:val="22"/>
        </w:rPr>
        <w:t xml:space="preserve"> </w:t>
      </w:r>
      <w:r>
        <w:rPr>
          <w:szCs w:val="22"/>
        </w:rPr>
        <w:t xml:space="preserve">This would also serve as the new base rate for the next three-year price cap cycle.  </w:t>
      </w:r>
      <w:r w:rsidR="00AE70FB">
        <w:rPr>
          <w:szCs w:val="22"/>
        </w:rPr>
        <w:t>Because inflation is projected to remain at a relatively low level for the next several years, and because of the difficulties related to projecting the efficiency factor,</w:t>
      </w:r>
      <w:r w:rsidRPr="007653C3" w:rsidR="00AE70FB">
        <w:rPr>
          <w:szCs w:val="22"/>
        </w:rPr>
        <w:t xml:space="preserve"> </w:t>
      </w:r>
      <w:r w:rsidRPr="007653C3" w:rsidR="00AE70FB">
        <w:rPr>
          <w:snapToGrid/>
          <w:kern w:val="0"/>
          <w:szCs w:val="22"/>
        </w:rPr>
        <w:t xml:space="preserve">Rolka Loube recommends </w:t>
      </w:r>
      <w:r w:rsidR="00AE70FB">
        <w:rPr>
          <w:snapToGrid/>
          <w:kern w:val="0"/>
          <w:szCs w:val="22"/>
        </w:rPr>
        <w:t xml:space="preserve">that the Commission continue its practice of setting the efficiency factor equal to </w:t>
      </w:r>
      <w:r w:rsidR="001F40FE">
        <w:rPr>
          <w:snapToGrid/>
          <w:kern w:val="0"/>
          <w:szCs w:val="22"/>
        </w:rPr>
        <w:t xml:space="preserve">the </w:t>
      </w:r>
      <w:r w:rsidR="00AE70FB">
        <w:rPr>
          <w:snapToGrid/>
          <w:kern w:val="0"/>
          <w:szCs w:val="22"/>
        </w:rPr>
        <w:t>inflation</w:t>
      </w:r>
      <w:r w:rsidR="001F40FE">
        <w:rPr>
          <w:snapToGrid/>
          <w:kern w:val="0"/>
          <w:szCs w:val="22"/>
        </w:rPr>
        <w:t xml:space="preserve"> factor (resulting in a combined adjustment factor of zero)</w:t>
      </w:r>
      <w:r w:rsidR="00AE70FB">
        <w:rPr>
          <w:snapToGrid/>
          <w:kern w:val="0"/>
          <w:szCs w:val="22"/>
        </w:rPr>
        <w:t>.</w:t>
      </w:r>
      <w:r>
        <w:rPr>
          <w:rStyle w:val="FootnoteReference"/>
        </w:rPr>
        <w:footnoteReference w:id="15"/>
      </w:r>
      <w:r w:rsidR="00AE70FB">
        <w:rPr>
          <w:snapToGrid/>
          <w:kern w:val="0"/>
          <w:szCs w:val="22"/>
        </w:rPr>
        <w:t xml:space="preserve">  Rolka Loube also recommends</w:t>
      </w:r>
      <w:r w:rsidRPr="007653C3" w:rsidR="00AE70FB">
        <w:rPr>
          <w:snapToGrid/>
          <w:kern w:val="0"/>
          <w:szCs w:val="22"/>
        </w:rPr>
        <w:t xml:space="preserve"> </w:t>
      </w:r>
      <w:r w:rsidR="001F40FE">
        <w:rPr>
          <w:snapToGrid/>
          <w:kern w:val="0"/>
          <w:szCs w:val="22"/>
        </w:rPr>
        <w:t xml:space="preserve">providing </w:t>
      </w:r>
      <w:r w:rsidRPr="007653C3" w:rsidR="00AE70FB">
        <w:rPr>
          <w:snapToGrid/>
          <w:kern w:val="0"/>
          <w:szCs w:val="22"/>
        </w:rPr>
        <w:t xml:space="preserve">an allowance for </w:t>
      </w:r>
      <w:r w:rsidRPr="007653C3" w:rsidR="00AE70FB">
        <w:rPr>
          <w:szCs w:val="22"/>
        </w:rPr>
        <w:t xml:space="preserve">the recovery of certain costs incurred for outreach to the deaf-blind community, and </w:t>
      </w:r>
      <w:r w:rsidR="001F40FE">
        <w:rPr>
          <w:szCs w:val="22"/>
        </w:rPr>
        <w:t>recommends allowing Sprint</w:t>
      </w:r>
      <w:r w:rsidRPr="007653C3" w:rsidR="001F40FE">
        <w:rPr>
          <w:szCs w:val="22"/>
        </w:rPr>
        <w:t xml:space="preserve"> </w:t>
      </w:r>
      <w:r w:rsidRPr="007653C3" w:rsidR="00AE70FB">
        <w:rPr>
          <w:szCs w:val="22"/>
        </w:rPr>
        <w:t>a 10% operating margin</w:t>
      </w:r>
      <w:r w:rsidR="001F40FE">
        <w:rPr>
          <w:szCs w:val="22"/>
        </w:rPr>
        <w:t>,</w:t>
      </w:r>
      <w:r w:rsidRPr="007653C3" w:rsidR="00AE70FB">
        <w:rPr>
          <w:szCs w:val="22"/>
        </w:rPr>
        <w:t xml:space="preserve"> </w:t>
      </w:r>
      <w:r w:rsidR="001F40FE">
        <w:rPr>
          <w:szCs w:val="22"/>
        </w:rPr>
        <w:t xml:space="preserve">in lieu of the 13.25% </w:t>
      </w:r>
      <w:r w:rsidRPr="007653C3" w:rsidR="00AE70FB">
        <w:rPr>
          <w:szCs w:val="22"/>
        </w:rPr>
        <w:t>return on investment</w:t>
      </w:r>
      <w:r w:rsidR="001F40FE">
        <w:rPr>
          <w:szCs w:val="22"/>
        </w:rPr>
        <w:t xml:space="preserve"> previously allowed</w:t>
      </w:r>
      <w:r w:rsidRPr="007653C3" w:rsidR="00AE70FB">
        <w:rPr>
          <w:szCs w:val="22"/>
        </w:rPr>
        <w:t>.</w:t>
      </w:r>
      <w:r>
        <w:rPr>
          <w:rStyle w:val="FootnoteReference"/>
          <w:szCs w:val="22"/>
        </w:rPr>
        <w:footnoteReference w:id="16"/>
      </w:r>
      <w:r w:rsidRPr="00C05524">
        <w:rPr>
          <w:szCs w:val="22"/>
        </w:rPr>
        <w:t xml:space="preserve">  </w:t>
      </w:r>
      <w:r>
        <w:rPr>
          <w:szCs w:val="22"/>
        </w:rPr>
        <w:t>We seek comment on Rolka Loube’s recommendation.</w:t>
      </w:r>
    </w:p>
    <w:p w:rsidR="00F96F63" w:rsidP="00E04CD0">
      <w:pPr>
        <w:widowControl/>
        <w:autoSpaceDE w:val="0"/>
        <w:autoSpaceDN w:val="0"/>
        <w:adjustRightInd w:val="0"/>
        <w:spacing w:after="120"/>
        <w:ind w:firstLine="720"/>
        <w:rPr>
          <w:sz w:val="24"/>
        </w:rPr>
      </w:pPr>
      <w:r>
        <w:rPr>
          <w:szCs w:val="22"/>
        </w:rPr>
        <w:t xml:space="preserve">Sprint has separately petitioned the Commission </w:t>
      </w:r>
      <w:r w:rsidRPr="007653C3">
        <w:rPr>
          <w:snapToGrid/>
          <w:kern w:val="0"/>
          <w:szCs w:val="22"/>
        </w:rPr>
        <w:t>for</w:t>
      </w:r>
      <w:r w:rsidR="00DD5461">
        <w:rPr>
          <w:snapToGrid/>
          <w:kern w:val="0"/>
          <w:szCs w:val="22"/>
        </w:rPr>
        <w:t xml:space="preserve"> </w:t>
      </w:r>
      <w:r w:rsidR="00E04CD0">
        <w:rPr>
          <w:snapToGrid/>
          <w:kern w:val="0"/>
          <w:szCs w:val="22"/>
        </w:rPr>
        <w:t xml:space="preserve">interim </w:t>
      </w:r>
      <w:r w:rsidR="00DD5461">
        <w:rPr>
          <w:snapToGrid/>
          <w:kern w:val="0"/>
          <w:szCs w:val="22"/>
        </w:rPr>
        <w:t>waiver</w:t>
      </w:r>
      <w:r w:rsidR="00E04CD0">
        <w:rPr>
          <w:snapToGrid/>
          <w:kern w:val="0"/>
          <w:szCs w:val="22"/>
        </w:rPr>
        <w:t>s</w:t>
      </w:r>
      <w:r w:rsidR="00DD5461">
        <w:rPr>
          <w:snapToGrid/>
          <w:kern w:val="0"/>
          <w:szCs w:val="22"/>
        </w:rPr>
        <w:t xml:space="preserve"> of the Commission’s rules</w:t>
      </w:r>
      <w:r w:rsidRPr="00E04CD0" w:rsidR="00E04CD0">
        <w:rPr>
          <w:rFonts w:ascii="TimesNewRomanPSMT" w:hAnsi="TimesNewRomanPSMT" w:cs="TimesNewRomanPSMT"/>
          <w:snapToGrid/>
          <w:kern w:val="0"/>
          <w:szCs w:val="22"/>
        </w:rPr>
        <w:t xml:space="preserve"> </w:t>
      </w:r>
      <w:r w:rsidR="00E04CD0">
        <w:rPr>
          <w:rFonts w:ascii="TimesNewRomanPSMT" w:hAnsi="TimesNewRomanPSMT" w:cs="TimesNewRomanPSMT"/>
          <w:snapToGrid/>
          <w:kern w:val="0"/>
          <w:szCs w:val="22"/>
        </w:rPr>
        <w:t>to the extent necessary to permit Sprint to (1) be compensated for specified costs incurred for outreach</w:t>
      </w:r>
      <w:r w:rsidR="001F40FE">
        <w:rPr>
          <w:rFonts w:ascii="TimesNewRomanPSMT" w:hAnsi="TimesNewRomanPSMT" w:cs="TimesNewRomanPSMT"/>
          <w:snapToGrid/>
          <w:kern w:val="0"/>
          <w:szCs w:val="22"/>
        </w:rPr>
        <w:t xml:space="preserve">— </w:t>
      </w:r>
      <w:r w:rsidR="001F40FE">
        <w:rPr>
          <w:szCs w:val="22"/>
        </w:rPr>
        <w:t xml:space="preserve">both </w:t>
      </w:r>
      <w:r w:rsidRPr="007653C3">
        <w:rPr>
          <w:szCs w:val="22"/>
        </w:rPr>
        <w:t>to the deaf-blind community</w:t>
      </w:r>
      <w:r w:rsidR="001F40FE">
        <w:rPr>
          <w:szCs w:val="22"/>
        </w:rPr>
        <w:t xml:space="preserve"> and to others—</w:t>
      </w:r>
      <w:r w:rsidR="00E04CD0">
        <w:rPr>
          <w:rFonts w:ascii="TimesNewRomanPSMT" w:hAnsi="TimesNewRomanPSMT" w:cs="TimesNewRomanPSMT"/>
          <w:snapToGrid/>
          <w:kern w:val="0"/>
          <w:szCs w:val="22"/>
        </w:rPr>
        <w:t>indirect overhead, and research and development, and (2) receive a reasonable operating margin</w:t>
      </w:r>
      <w:r w:rsidRPr="00C05524">
        <w:rPr>
          <w:szCs w:val="22"/>
        </w:rPr>
        <w:t>.</w:t>
      </w:r>
      <w:r>
        <w:rPr>
          <w:rStyle w:val="FootnoteReference"/>
          <w:szCs w:val="22"/>
        </w:rPr>
        <w:footnoteReference w:id="17"/>
      </w:r>
      <w:r w:rsidR="00122FC1">
        <w:rPr>
          <w:szCs w:val="22"/>
        </w:rPr>
        <w:t xml:space="preserve">  </w:t>
      </w:r>
      <w:r w:rsidR="00576B88">
        <w:rPr>
          <w:szCs w:val="22"/>
        </w:rPr>
        <w:t xml:space="preserve">CGB </w:t>
      </w:r>
      <w:r w:rsidR="00E04CD0">
        <w:rPr>
          <w:szCs w:val="22"/>
        </w:rPr>
        <w:t>released</w:t>
      </w:r>
      <w:r w:rsidR="00122FC1">
        <w:rPr>
          <w:szCs w:val="22"/>
        </w:rPr>
        <w:t xml:space="preserve"> a Public Notice seeking comment on this petition on March 28, 2019.</w:t>
      </w:r>
      <w:r>
        <w:rPr>
          <w:rStyle w:val="FootnoteReference"/>
          <w:szCs w:val="22"/>
        </w:rPr>
        <w:footnoteReference w:id="18"/>
      </w:r>
    </w:p>
    <w:p w:rsidR="004568D0" w:rsidRPr="00C05524" w:rsidP="00CE78F4">
      <w:pPr>
        <w:pStyle w:val="BodyText"/>
        <w:ind w:firstLine="0"/>
        <w:jc w:val="center"/>
        <w:rPr>
          <w:szCs w:val="22"/>
          <w:u w:val="single"/>
        </w:rPr>
      </w:pPr>
      <w:r w:rsidRPr="00C05524">
        <w:rPr>
          <w:szCs w:val="22"/>
          <w:u w:val="single"/>
        </w:rPr>
        <w:t>VRS</w:t>
      </w:r>
    </w:p>
    <w:p w:rsidR="004568D0" w:rsidRPr="00302E37" w:rsidP="00302E37">
      <w:pPr>
        <w:spacing w:after="120"/>
        <w:ind w:firstLine="720"/>
        <w:rPr>
          <w:szCs w:val="22"/>
        </w:rPr>
      </w:pPr>
      <w:r w:rsidRPr="00C05524">
        <w:rPr>
          <w:szCs w:val="22"/>
        </w:rPr>
        <w:t xml:space="preserve">In the </w:t>
      </w:r>
      <w:r w:rsidRPr="00C05524">
        <w:rPr>
          <w:i/>
          <w:szCs w:val="22"/>
        </w:rPr>
        <w:t xml:space="preserve">2017 VRS </w:t>
      </w:r>
      <w:r>
        <w:rPr>
          <w:i/>
          <w:szCs w:val="22"/>
        </w:rPr>
        <w:t>Compensation</w:t>
      </w:r>
      <w:r w:rsidRPr="00C05524">
        <w:rPr>
          <w:i/>
          <w:szCs w:val="22"/>
        </w:rPr>
        <w:t xml:space="preserve"> Order</w:t>
      </w:r>
      <w:r w:rsidRPr="00C05524">
        <w:rPr>
          <w:szCs w:val="22"/>
        </w:rPr>
        <w:t>, the Commission adopted a tiered rate structure and set the VRS compensation rate</w:t>
      </w:r>
      <w:r>
        <w:rPr>
          <w:szCs w:val="22"/>
        </w:rPr>
        <w:t>s</w:t>
      </w:r>
      <w:r w:rsidRPr="00C05524">
        <w:rPr>
          <w:szCs w:val="22"/>
        </w:rPr>
        <w:t xml:space="preserve"> for </w:t>
      </w:r>
      <w:r>
        <w:rPr>
          <w:szCs w:val="22"/>
        </w:rPr>
        <w:t xml:space="preserve">a four-year period, </w:t>
      </w:r>
      <w:r w:rsidRPr="00C05524">
        <w:rPr>
          <w:szCs w:val="22"/>
        </w:rPr>
        <w:t>through</w:t>
      </w:r>
      <w:r w:rsidR="00CB6C2F">
        <w:rPr>
          <w:szCs w:val="22"/>
        </w:rPr>
        <w:t xml:space="preserve"> the</w:t>
      </w:r>
      <w:r w:rsidRPr="00C05524">
        <w:rPr>
          <w:szCs w:val="22"/>
        </w:rPr>
        <w:t xml:space="preserve"> 2020-21</w:t>
      </w:r>
      <w:r w:rsidRPr="00CB6C2F" w:rsidR="00CB6C2F">
        <w:rPr>
          <w:szCs w:val="22"/>
        </w:rPr>
        <w:t xml:space="preserve"> </w:t>
      </w:r>
      <w:r w:rsidRPr="00C05524" w:rsidR="00CB6C2F">
        <w:rPr>
          <w:szCs w:val="22"/>
        </w:rPr>
        <w:t xml:space="preserve">Fund </w:t>
      </w:r>
      <w:r w:rsidR="00576B88">
        <w:rPr>
          <w:szCs w:val="22"/>
        </w:rPr>
        <w:t>Y</w:t>
      </w:r>
      <w:r w:rsidRPr="00C05524" w:rsidR="006B172E">
        <w:rPr>
          <w:szCs w:val="22"/>
        </w:rPr>
        <w:t>ear</w:t>
      </w:r>
      <w:r w:rsidRPr="00C05524">
        <w:rPr>
          <w:szCs w:val="22"/>
        </w:rPr>
        <w:t>.</w:t>
      </w:r>
      <w:r>
        <w:rPr>
          <w:rStyle w:val="FootnoteReference"/>
          <w:szCs w:val="22"/>
        </w:rPr>
        <w:footnoteReference w:id="19"/>
      </w:r>
      <w:r w:rsidRPr="00C05524">
        <w:rPr>
          <w:szCs w:val="22"/>
        </w:rPr>
        <w:t xml:space="preserve">  </w:t>
      </w:r>
      <w:r w:rsidRPr="00576B88" w:rsidR="00576B88">
        <w:rPr>
          <w:szCs w:val="22"/>
        </w:rPr>
        <w:t xml:space="preserve">Therefore, we do not seek comment on the VRS compensation rate levels for the 2019-20 Fund Year.  </w:t>
      </w:r>
      <w:r w:rsidRPr="00C05524">
        <w:rPr>
          <w:szCs w:val="22"/>
        </w:rPr>
        <w:t xml:space="preserve">The rates established </w:t>
      </w:r>
      <w:r>
        <w:rPr>
          <w:szCs w:val="22"/>
        </w:rPr>
        <w:t xml:space="preserve">by </w:t>
      </w:r>
      <w:r w:rsidRPr="00302E37">
        <w:rPr>
          <w:szCs w:val="22"/>
        </w:rPr>
        <w:t>the Commission for the 201</w:t>
      </w:r>
      <w:r w:rsidRPr="00302E37" w:rsidR="00CB6C2F">
        <w:rPr>
          <w:szCs w:val="22"/>
        </w:rPr>
        <w:t>9</w:t>
      </w:r>
      <w:r w:rsidRPr="00302E37">
        <w:rPr>
          <w:szCs w:val="22"/>
        </w:rPr>
        <w:t>-</w:t>
      </w:r>
      <w:r w:rsidRPr="00302E37" w:rsidR="00CB6C2F">
        <w:rPr>
          <w:szCs w:val="22"/>
        </w:rPr>
        <w:t>20</w:t>
      </w:r>
      <w:r w:rsidRPr="00302E37">
        <w:rPr>
          <w:szCs w:val="22"/>
        </w:rPr>
        <w:t xml:space="preserve"> Fund </w:t>
      </w:r>
      <w:r w:rsidRPr="00302E37" w:rsidR="00576B88">
        <w:rPr>
          <w:szCs w:val="22"/>
        </w:rPr>
        <w:t>Y</w:t>
      </w:r>
      <w:r w:rsidRPr="00302E37">
        <w:rPr>
          <w:szCs w:val="22"/>
        </w:rPr>
        <w:t>ear for each rate tier are as follows:</w:t>
      </w:r>
      <w:r w:rsidRPr="00302E37">
        <w:rPr>
          <w:rStyle w:val="FootnoteReference"/>
          <w:sz w:val="22"/>
          <w:szCs w:val="22"/>
        </w:rPr>
        <w:t xml:space="preserve"> </w:t>
      </w:r>
      <w:r>
        <w:rPr>
          <w:rStyle w:val="FootnoteReference"/>
        </w:rPr>
        <w:footnoteReference w:id="20"/>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86"/>
        <w:gridCol w:w="1355"/>
      </w:tblGrid>
      <w:tr w:rsidTr="00A01D5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32"/>
          <w:jc w:val="center"/>
        </w:trPr>
        <w:tc>
          <w:tcPr>
            <w:tcW w:w="5986" w:type="dxa"/>
            <w:vAlign w:val="bottom"/>
          </w:tcPr>
          <w:p w:rsidR="004568D0" w:rsidRPr="00DC3D36" w:rsidP="004568D0">
            <w:pPr>
              <w:pStyle w:val="ParaNum"/>
              <w:keepNext/>
              <w:keepLines/>
              <w:numPr>
                <w:ilvl w:val="0"/>
                <w:numId w:val="0"/>
              </w:numPr>
              <w:spacing w:line="360" w:lineRule="auto"/>
              <w:jc w:val="center"/>
              <w:rPr>
                <w:szCs w:val="22"/>
              </w:rPr>
            </w:pPr>
            <w:r w:rsidRPr="00DC3D36">
              <w:rPr>
                <w:szCs w:val="22"/>
              </w:rPr>
              <w:t>Tier (by Minutes of Use</w:t>
            </w:r>
            <w:r>
              <w:rPr>
                <w:szCs w:val="22"/>
              </w:rPr>
              <w:t>)</w:t>
            </w:r>
          </w:p>
        </w:tc>
        <w:tc>
          <w:tcPr>
            <w:tcW w:w="1355" w:type="dxa"/>
            <w:vAlign w:val="bottom"/>
          </w:tcPr>
          <w:p w:rsidR="004568D0" w:rsidRPr="00DC3D36" w:rsidP="004568D0">
            <w:pPr>
              <w:pStyle w:val="ParaNum"/>
              <w:keepNext/>
              <w:keepLines/>
              <w:numPr>
                <w:ilvl w:val="0"/>
                <w:numId w:val="0"/>
              </w:numPr>
              <w:spacing w:line="360" w:lineRule="auto"/>
              <w:jc w:val="center"/>
              <w:rPr>
                <w:szCs w:val="22"/>
              </w:rPr>
            </w:pPr>
            <w:r w:rsidRPr="00DC3D36">
              <w:rPr>
                <w:szCs w:val="22"/>
              </w:rPr>
              <w:t>Rate</w:t>
            </w:r>
          </w:p>
        </w:tc>
      </w:tr>
      <w:tr w:rsidTr="00A01D57">
        <w:tblPrEx>
          <w:tblW w:w="0" w:type="auto"/>
          <w:jc w:val="center"/>
          <w:tblLook w:val="04A0"/>
        </w:tblPrEx>
        <w:trPr>
          <w:trHeight w:val="576"/>
          <w:jc w:val="center"/>
        </w:trPr>
        <w:tc>
          <w:tcPr>
            <w:tcW w:w="5986" w:type="dxa"/>
            <w:vAlign w:val="center"/>
          </w:tcPr>
          <w:p w:rsidR="004568D0" w:rsidRPr="00DC3D36" w:rsidP="004568D0">
            <w:pPr>
              <w:pStyle w:val="ParaNum"/>
              <w:keepNext/>
              <w:keepLines/>
              <w:numPr>
                <w:ilvl w:val="0"/>
                <w:numId w:val="0"/>
              </w:numPr>
              <w:rPr>
                <w:szCs w:val="22"/>
              </w:rPr>
            </w:pPr>
            <w:r w:rsidRPr="00DC3D36">
              <w:rPr>
                <w:szCs w:val="22"/>
              </w:rPr>
              <w:t xml:space="preserve">Emergent </w:t>
            </w:r>
            <w:r w:rsidRPr="00DC3D36">
              <w:rPr>
                <w:rFonts w:eastAsia="Calibri"/>
                <w:szCs w:val="22"/>
              </w:rPr>
              <w:t>(1</w:t>
            </w:r>
            <w:r w:rsidRPr="00DC3D36">
              <w:rPr>
                <w:rFonts w:eastAsia="Calibri"/>
                <w:szCs w:val="22"/>
                <w:vertAlign w:val="superscript"/>
              </w:rPr>
              <w:t>st</w:t>
            </w:r>
            <w:r w:rsidRPr="00DC3D36">
              <w:rPr>
                <w:rFonts w:eastAsia="Calibri"/>
                <w:szCs w:val="22"/>
              </w:rPr>
              <w:t xml:space="preserve"> 500,000 monthly minutes) for VRS providers with 500,000 or fewer minutes in a month</w:t>
            </w:r>
          </w:p>
        </w:tc>
        <w:tc>
          <w:tcPr>
            <w:tcW w:w="1355" w:type="dxa"/>
            <w:vAlign w:val="center"/>
          </w:tcPr>
          <w:p w:rsidR="004568D0" w:rsidRPr="00DC3D36" w:rsidP="004568D0">
            <w:pPr>
              <w:pStyle w:val="ParaNum"/>
              <w:keepNext/>
              <w:keepLines/>
              <w:numPr>
                <w:ilvl w:val="0"/>
                <w:numId w:val="0"/>
              </w:numPr>
              <w:spacing w:line="360" w:lineRule="auto"/>
              <w:jc w:val="center"/>
              <w:rPr>
                <w:szCs w:val="22"/>
              </w:rPr>
            </w:pPr>
            <w:r w:rsidRPr="00DC3D36">
              <w:rPr>
                <w:szCs w:val="22"/>
              </w:rPr>
              <w:t>$5.29</w:t>
            </w:r>
          </w:p>
        </w:tc>
      </w:tr>
      <w:tr w:rsidTr="00A01D57">
        <w:tblPrEx>
          <w:tblW w:w="0" w:type="auto"/>
          <w:jc w:val="center"/>
          <w:tblLook w:val="04A0"/>
        </w:tblPrEx>
        <w:trPr>
          <w:trHeight w:val="576"/>
          <w:jc w:val="center"/>
        </w:trPr>
        <w:tc>
          <w:tcPr>
            <w:tcW w:w="5986" w:type="dxa"/>
            <w:vAlign w:val="center"/>
          </w:tcPr>
          <w:p w:rsidR="004568D0" w:rsidRPr="00DC3D36" w:rsidP="004568D0">
            <w:pPr>
              <w:pStyle w:val="ParaNum"/>
              <w:keepNext/>
              <w:keepLines/>
              <w:numPr>
                <w:ilvl w:val="0"/>
                <w:numId w:val="0"/>
              </w:numPr>
              <w:rPr>
                <w:szCs w:val="22"/>
              </w:rPr>
            </w:pPr>
            <w:r w:rsidRPr="00DC3D36">
              <w:rPr>
                <w:szCs w:val="22"/>
              </w:rPr>
              <w:t>Tier I (1</w:t>
            </w:r>
            <w:r w:rsidRPr="00DC3D36">
              <w:rPr>
                <w:szCs w:val="22"/>
                <w:vertAlign w:val="superscript"/>
              </w:rPr>
              <w:t>st</w:t>
            </w:r>
            <w:r w:rsidRPr="00DC3D36">
              <w:rPr>
                <w:szCs w:val="22"/>
              </w:rPr>
              <w:t xml:space="preserve"> 1,000,000 monthly minutes) for VRS providers with more than 500,000 minutes in a month</w:t>
            </w:r>
          </w:p>
        </w:tc>
        <w:tc>
          <w:tcPr>
            <w:tcW w:w="1355" w:type="dxa"/>
            <w:vAlign w:val="center"/>
          </w:tcPr>
          <w:p w:rsidR="004568D0" w:rsidRPr="00DC3D36" w:rsidP="004568D0">
            <w:pPr>
              <w:pStyle w:val="ParaNum"/>
              <w:keepNext/>
              <w:keepLines/>
              <w:numPr>
                <w:ilvl w:val="0"/>
                <w:numId w:val="0"/>
              </w:numPr>
              <w:spacing w:line="360" w:lineRule="auto"/>
              <w:jc w:val="center"/>
              <w:rPr>
                <w:szCs w:val="22"/>
              </w:rPr>
            </w:pPr>
            <w:r w:rsidRPr="00DC3D36">
              <w:rPr>
                <w:szCs w:val="22"/>
              </w:rPr>
              <w:t>$4.82</w:t>
            </w:r>
          </w:p>
        </w:tc>
      </w:tr>
      <w:tr w:rsidTr="00A01D57">
        <w:tblPrEx>
          <w:tblW w:w="0" w:type="auto"/>
          <w:jc w:val="center"/>
          <w:tblLook w:val="04A0"/>
        </w:tblPrEx>
        <w:trPr>
          <w:trHeight w:val="576"/>
          <w:jc w:val="center"/>
        </w:trPr>
        <w:tc>
          <w:tcPr>
            <w:tcW w:w="5986" w:type="dxa"/>
            <w:vAlign w:val="center"/>
          </w:tcPr>
          <w:p w:rsidR="004568D0" w:rsidRPr="00DC3D36" w:rsidP="004568D0">
            <w:pPr>
              <w:pStyle w:val="ParaNum"/>
              <w:keepNext/>
              <w:keepLines/>
              <w:numPr>
                <w:ilvl w:val="0"/>
                <w:numId w:val="0"/>
              </w:numPr>
              <w:rPr>
                <w:szCs w:val="22"/>
              </w:rPr>
            </w:pPr>
            <w:r w:rsidRPr="00DC3D36">
              <w:rPr>
                <w:szCs w:val="22"/>
              </w:rPr>
              <w:t xml:space="preserve">Tier II (1,000,001 to 2,500,000 monthly minutes) </w:t>
            </w:r>
          </w:p>
        </w:tc>
        <w:tc>
          <w:tcPr>
            <w:tcW w:w="1355" w:type="dxa"/>
            <w:vAlign w:val="center"/>
          </w:tcPr>
          <w:p w:rsidR="004568D0" w:rsidRPr="00DC3D36" w:rsidP="004568D0">
            <w:pPr>
              <w:pStyle w:val="ParaNum"/>
              <w:keepNext/>
              <w:keepLines/>
              <w:numPr>
                <w:ilvl w:val="0"/>
                <w:numId w:val="0"/>
              </w:numPr>
              <w:spacing w:line="360" w:lineRule="auto"/>
              <w:jc w:val="center"/>
              <w:rPr>
                <w:szCs w:val="22"/>
              </w:rPr>
            </w:pPr>
            <w:r w:rsidRPr="00DC3D36">
              <w:rPr>
                <w:szCs w:val="22"/>
              </w:rPr>
              <w:t>$3.97</w:t>
            </w:r>
          </w:p>
        </w:tc>
      </w:tr>
      <w:tr w:rsidTr="00A01D57">
        <w:tblPrEx>
          <w:tblW w:w="0" w:type="auto"/>
          <w:jc w:val="center"/>
          <w:tblLook w:val="04A0"/>
        </w:tblPrEx>
        <w:trPr>
          <w:trHeight w:val="576"/>
          <w:jc w:val="center"/>
        </w:trPr>
        <w:tc>
          <w:tcPr>
            <w:tcW w:w="5986" w:type="dxa"/>
            <w:vAlign w:val="center"/>
          </w:tcPr>
          <w:p w:rsidR="004568D0" w:rsidRPr="00DC3D36" w:rsidP="004568D0">
            <w:pPr>
              <w:pStyle w:val="ParaNum"/>
              <w:numPr>
                <w:ilvl w:val="0"/>
                <w:numId w:val="0"/>
              </w:numPr>
              <w:rPr>
                <w:szCs w:val="22"/>
              </w:rPr>
            </w:pPr>
            <w:r w:rsidRPr="00DC3D36">
              <w:rPr>
                <w:szCs w:val="22"/>
              </w:rPr>
              <w:t>Tier III (monthly minutes exceeding 2,500,000)</w:t>
            </w:r>
          </w:p>
        </w:tc>
        <w:tc>
          <w:tcPr>
            <w:tcW w:w="0" w:type="auto"/>
            <w:vAlign w:val="center"/>
          </w:tcPr>
          <w:p w:rsidR="004568D0" w:rsidRPr="00DC3D36" w:rsidP="004568D0">
            <w:pPr>
              <w:pStyle w:val="ParaNum"/>
              <w:numPr>
                <w:ilvl w:val="0"/>
                <w:numId w:val="0"/>
              </w:numPr>
              <w:spacing w:line="360" w:lineRule="auto"/>
              <w:jc w:val="center"/>
              <w:rPr>
                <w:szCs w:val="22"/>
              </w:rPr>
            </w:pPr>
            <w:r w:rsidRPr="00DC3D36">
              <w:rPr>
                <w:szCs w:val="22"/>
              </w:rPr>
              <w:t>$2.</w:t>
            </w:r>
            <w:r w:rsidR="00CB6C2F">
              <w:rPr>
                <w:szCs w:val="22"/>
              </w:rPr>
              <w:t>6</w:t>
            </w:r>
            <w:r w:rsidRPr="00DC3D36">
              <w:rPr>
                <w:szCs w:val="22"/>
              </w:rPr>
              <w:t>3</w:t>
            </w:r>
          </w:p>
        </w:tc>
      </w:tr>
    </w:tbl>
    <w:p w:rsidR="004568D0" w:rsidRPr="00C05524" w:rsidP="00302E37">
      <w:pPr>
        <w:spacing w:after="120"/>
        <w:ind w:firstLine="720"/>
        <w:rPr>
          <w:szCs w:val="22"/>
        </w:rPr>
      </w:pPr>
    </w:p>
    <w:p w:rsidR="004568D0" w:rsidRPr="00C05524" w:rsidP="00CE78F4">
      <w:pPr>
        <w:pStyle w:val="BodyText"/>
        <w:ind w:firstLine="0"/>
        <w:jc w:val="center"/>
        <w:rPr>
          <w:szCs w:val="22"/>
          <w:u w:val="single"/>
        </w:rPr>
      </w:pPr>
      <w:r w:rsidRPr="00C05524">
        <w:rPr>
          <w:szCs w:val="22"/>
          <w:u w:val="single"/>
        </w:rPr>
        <w:t>Funding Requirement and Contribution Factor</w:t>
      </w:r>
    </w:p>
    <w:p w:rsidR="004568D0" w:rsidRPr="00C05524" w:rsidP="00302E37">
      <w:pPr>
        <w:spacing w:after="120"/>
        <w:ind w:firstLine="720"/>
        <w:rPr>
          <w:szCs w:val="22"/>
        </w:rPr>
      </w:pPr>
      <w:r w:rsidRPr="00C05524">
        <w:rPr>
          <w:szCs w:val="22"/>
        </w:rPr>
        <w:t xml:space="preserve">Based on </w:t>
      </w:r>
      <w:r>
        <w:rPr>
          <w:szCs w:val="22"/>
        </w:rPr>
        <w:t xml:space="preserve">the compensation rates established by the Commission </w:t>
      </w:r>
      <w:r w:rsidR="00A418F9">
        <w:rPr>
          <w:szCs w:val="22"/>
        </w:rPr>
        <w:t xml:space="preserve">for </w:t>
      </w:r>
      <w:r w:rsidRPr="00A418F9" w:rsidR="00A418F9">
        <w:rPr>
          <w:szCs w:val="22"/>
        </w:rPr>
        <w:t>VRS and IP CTS</w:t>
      </w:r>
      <w:r w:rsidR="00A418F9">
        <w:rPr>
          <w:szCs w:val="22"/>
        </w:rPr>
        <w:t>,</w:t>
      </w:r>
      <w:r w:rsidRPr="00A418F9" w:rsidR="00A418F9">
        <w:rPr>
          <w:szCs w:val="22"/>
        </w:rPr>
        <w:t xml:space="preserve"> </w:t>
      </w:r>
      <w:r w:rsidR="00A418F9">
        <w:rPr>
          <w:szCs w:val="22"/>
        </w:rPr>
        <w:t xml:space="preserve">the </w:t>
      </w:r>
      <w:r w:rsidRPr="00576B88" w:rsidR="00576B88">
        <w:rPr>
          <w:szCs w:val="22"/>
        </w:rPr>
        <w:t xml:space="preserve">recommended </w:t>
      </w:r>
      <w:r w:rsidRPr="00C05524">
        <w:rPr>
          <w:szCs w:val="22"/>
        </w:rPr>
        <w:t>compensation rates</w:t>
      </w:r>
      <w:r w:rsidR="00576B88">
        <w:rPr>
          <w:szCs w:val="22"/>
        </w:rPr>
        <w:t xml:space="preserve"> for other services</w:t>
      </w:r>
      <w:r w:rsidRPr="00C05524">
        <w:rPr>
          <w:szCs w:val="22"/>
        </w:rPr>
        <w:t>, the projected Fund administration expenses, and the recommended reserve, the 201</w:t>
      </w:r>
      <w:r w:rsidR="00CB6C2F">
        <w:rPr>
          <w:szCs w:val="22"/>
        </w:rPr>
        <w:t>9</w:t>
      </w:r>
      <w:r w:rsidRPr="00C05524">
        <w:rPr>
          <w:szCs w:val="22"/>
        </w:rPr>
        <w:t xml:space="preserve"> </w:t>
      </w:r>
      <w:r>
        <w:rPr>
          <w:szCs w:val="22"/>
        </w:rPr>
        <w:t xml:space="preserve">TRS </w:t>
      </w:r>
      <w:r w:rsidRPr="00C05524">
        <w:rPr>
          <w:szCs w:val="22"/>
        </w:rPr>
        <w:t xml:space="preserve">Rate </w:t>
      </w:r>
      <w:r>
        <w:rPr>
          <w:szCs w:val="22"/>
        </w:rPr>
        <w:t>Filing</w:t>
      </w:r>
      <w:r w:rsidRPr="00C05524">
        <w:rPr>
          <w:szCs w:val="22"/>
        </w:rPr>
        <w:t xml:space="preserve"> proposes a Fund revenue requirement of $1,</w:t>
      </w:r>
      <w:r w:rsidR="00CB6C2F">
        <w:rPr>
          <w:szCs w:val="22"/>
        </w:rPr>
        <w:t>413,754,532</w:t>
      </w:r>
      <w:r w:rsidRPr="00C05524">
        <w:rPr>
          <w:szCs w:val="22"/>
        </w:rPr>
        <w:t xml:space="preserve"> and a carrier contribution factor of 0.0</w:t>
      </w:r>
      <w:r w:rsidR="00CB6C2F">
        <w:rPr>
          <w:szCs w:val="22"/>
        </w:rPr>
        <w:t>2779</w:t>
      </w:r>
      <w:r w:rsidRPr="00C05524">
        <w:rPr>
          <w:szCs w:val="22"/>
        </w:rPr>
        <w:t xml:space="preserve"> </w:t>
      </w:r>
      <w:r>
        <w:rPr>
          <w:szCs w:val="22"/>
        </w:rPr>
        <w:t>for the period from July 1, 201</w:t>
      </w:r>
      <w:r w:rsidR="00CB6C2F">
        <w:rPr>
          <w:szCs w:val="22"/>
        </w:rPr>
        <w:t>9</w:t>
      </w:r>
      <w:r>
        <w:rPr>
          <w:szCs w:val="22"/>
        </w:rPr>
        <w:t>, through June 30, 20</w:t>
      </w:r>
      <w:r w:rsidR="00CB6C2F">
        <w:rPr>
          <w:szCs w:val="22"/>
        </w:rPr>
        <w:t>20</w:t>
      </w:r>
      <w:r w:rsidRPr="00C05524">
        <w:rPr>
          <w:szCs w:val="22"/>
        </w:rPr>
        <w:t>.</w:t>
      </w:r>
      <w:r>
        <w:rPr>
          <w:rStyle w:val="FootnoteReference"/>
          <w:szCs w:val="22"/>
        </w:rPr>
        <w:footnoteReference w:id="21"/>
      </w:r>
      <w:r w:rsidRPr="00C05524">
        <w:rPr>
          <w:szCs w:val="22"/>
        </w:rPr>
        <w:t xml:space="preserve">  CGB seeks comment on the proposed funding requirement and carrier contribution factor. </w:t>
      </w:r>
      <w:r>
        <w:rPr>
          <w:szCs w:val="22"/>
        </w:rPr>
        <w:t xml:space="preserve"> Commenters should be aware that the recommendation in the 201</w:t>
      </w:r>
      <w:r w:rsidR="00CB6C2F">
        <w:rPr>
          <w:szCs w:val="22"/>
        </w:rPr>
        <w:t>9</w:t>
      </w:r>
      <w:r>
        <w:rPr>
          <w:szCs w:val="22"/>
        </w:rPr>
        <w:t xml:space="preserve"> TRS Rate Filing is based on the information currently available, and that Rolka Loube</w:t>
      </w:r>
      <w:r w:rsidRPr="00C17B76">
        <w:rPr>
          <w:szCs w:val="22"/>
        </w:rPr>
        <w:t xml:space="preserve"> anticipates</w:t>
      </w:r>
      <w:r>
        <w:rPr>
          <w:szCs w:val="22"/>
        </w:rPr>
        <w:t xml:space="preserve"> </w:t>
      </w:r>
      <w:r w:rsidRPr="00C17B76">
        <w:rPr>
          <w:szCs w:val="22"/>
        </w:rPr>
        <w:t>submitting an updated contribution factor recommendation</w:t>
      </w:r>
      <w:r>
        <w:rPr>
          <w:szCs w:val="22"/>
        </w:rPr>
        <w:t xml:space="preserve"> after the issuance of this Public Notice.</w:t>
      </w:r>
      <w:r>
        <w:rPr>
          <w:rStyle w:val="FootnoteReference"/>
          <w:szCs w:val="22"/>
        </w:rPr>
        <w:footnoteReference w:id="22"/>
      </w:r>
      <w:r>
        <w:rPr>
          <w:szCs w:val="22"/>
        </w:rPr>
        <w:t xml:space="preserve">   </w:t>
      </w:r>
    </w:p>
    <w:p w:rsidR="004568D0" w:rsidRPr="00C05524" w:rsidP="00302E37">
      <w:pPr>
        <w:spacing w:after="120"/>
        <w:ind w:firstLine="720"/>
        <w:rPr>
          <w:szCs w:val="22"/>
        </w:rPr>
      </w:pPr>
      <w:r>
        <w:rPr>
          <w:szCs w:val="22"/>
        </w:rPr>
        <w:t>C</w:t>
      </w:r>
      <w:r w:rsidRPr="00C05524">
        <w:rPr>
          <w:szCs w:val="22"/>
        </w:rPr>
        <w:t xml:space="preserve">omment is also invited on Rolka Loube’s </w:t>
      </w:r>
      <w:r w:rsidR="001A1B12">
        <w:rPr>
          <w:szCs w:val="22"/>
        </w:rPr>
        <w:t xml:space="preserve">specific </w:t>
      </w:r>
      <w:r w:rsidRPr="00C05524">
        <w:rPr>
          <w:szCs w:val="22"/>
        </w:rPr>
        <w:t>demand projections and funding requirements for the various relay services supported by the Fund, and for VRS and IP CTS in particular</w:t>
      </w:r>
      <w:r w:rsidR="001A1B12">
        <w:rPr>
          <w:szCs w:val="22"/>
        </w:rPr>
        <w:t>, for the 2019-</w:t>
      </w:r>
      <w:r w:rsidR="001A1B12">
        <w:rPr>
          <w:szCs w:val="22"/>
        </w:rPr>
        <w:t>20 Fund Year</w:t>
      </w:r>
      <w:r w:rsidRPr="00C05524">
        <w:rPr>
          <w:szCs w:val="22"/>
        </w:rPr>
        <w:t xml:space="preserve">. </w:t>
      </w:r>
      <w:r>
        <w:rPr>
          <w:szCs w:val="22"/>
        </w:rPr>
        <w:t xml:space="preserve"> </w:t>
      </w:r>
      <w:r w:rsidRPr="00C05524">
        <w:rPr>
          <w:szCs w:val="22"/>
        </w:rPr>
        <w:t>For VRS,</w:t>
      </w:r>
      <w:r w:rsidRPr="00C05524">
        <w:rPr>
          <w:color w:val="010101"/>
          <w:szCs w:val="22"/>
        </w:rPr>
        <w:t xml:space="preserve"> </w:t>
      </w:r>
      <w:r w:rsidRPr="00C05524">
        <w:rPr>
          <w:szCs w:val="22"/>
        </w:rPr>
        <w:t>the proposed funding requirement is approximately $4</w:t>
      </w:r>
      <w:r w:rsidR="009C424C">
        <w:rPr>
          <w:szCs w:val="22"/>
        </w:rPr>
        <w:t>82</w:t>
      </w:r>
      <w:r w:rsidRPr="00C05524">
        <w:rPr>
          <w:szCs w:val="22"/>
        </w:rPr>
        <w:t xml:space="preserve"> million</w:t>
      </w:r>
      <w:r w:rsidR="00576B88">
        <w:rPr>
          <w:szCs w:val="22"/>
        </w:rPr>
        <w:t>,</w:t>
      </w:r>
      <w:r>
        <w:rPr>
          <w:rStyle w:val="FootnoteReference"/>
          <w:szCs w:val="22"/>
        </w:rPr>
        <w:footnoteReference w:id="23"/>
      </w:r>
      <w:r w:rsidRPr="00C05524">
        <w:rPr>
          <w:szCs w:val="22"/>
        </w:rPr>
        <w:t xml:space="preserve"> </w:t>
      </w:r>
      <w:r w:rsidR="00A418F9">
        <w:rPr>
          <w:szCs w:val="22"/>
        </w:rPr>
        <w:t xml:space="preserve">based on </w:t>
      </w:r>
      <w:r w:rsidR="001A1B12">
        <w:rPr>
          <w:szCs w:val="22"/>
        </w:rPr>
        <w:t>projected demand of</w:t>
      </w:r>
      <w:r w:rsidR="00A418F9">
        <w:rPr>
          <w:szCs w:val="22"/>
        </w:rPr>
        <w:t xml:space="preserve"> </w:t>
      </w:r>
      <w:r w:rsidR="001A1B12">
        <w:rPr>
          <w:szCs w:val="22"/>
        </w:rPr>
        <w:t>1</w:t>
      </w:r>
      <w:r w:rsidRPr="001A1B12" w:rsidR="001A1B12">
        <w:rPr>
          <w:szCs w:val="22"/>
        </w:rPr>
        <w:t xml:space="preserve">36,453,475 </w:t>
      </w:r>
      <w:r w:rsidR="001A1B12">
        <w:rPr>
          <w:szCs w:val="22"/>
        </w:rPr>
        <w:t xml:space="preserve">minutes.  </w:t>
      </w:r>
      <w:r w:rsidRPr="00C05524">
        <w:rPr>
          <w:szCs w:val="22"/>
        </w:rPr>
        <w:t>For IP CTS, the proposed funding requirement is approximately $</w:t>
      </w:r>
      <w:r w:rsidR="009C424C">
        <w:rPr>
          <w:szCs w:val="22"/>
        </w:rPr>
        <w:t>913</w:t>
      </w:r>
      <w:r w:rsidRPr="00C05524">
        <w:rPr>
          <w:szCs w:val="22"/>
        </w:rPr>
        <w:t xml:space="preserve"> million</w:t>
      </w:r>
      <w:r w:rsidR="001A1B12">
        <w:rPr>
          <w:szCs w:val="22"/>
        </w:rPr>
        <w:t>,</w:t>
      </w:r>
      <w:r>
        <w:rPr>
          <w:rStyle w:val="FootnoteReference"/>
          <w:szCs w:val="22"/>
        </w:rPr>
        <w:footnoteReference w:id="24"/>
      </w:r>
      <w:r w:rsidRPr="00C05524">
        <w:rPr>
          <w:szCs w:val="22"/>
        </w:rPr>
        <w:t xml:space="preserve"> </w:t>
      </w:r>
      <w:r w:rsidR="001A1B12">
        <w:rPr>
          <w:szCs w:val="22"/>
        </w:rPr>
        <w:t xml:space="preserve">based on projected demand of </w:t>
      </w:r>
      <w:r w:rsidR="004C4CD1">
        <w:rPr>
          <w:szCs w:val="22"/>
        </w:rPr>
        <w:t xml:space="preserve">568,474,075 </w:t>
      </w:r>
      <w:r w:rsidRPr="00C05524">
        <w:rPr>
          <w:szCs w:val="22"/>
        </w:rPr>
        <w:t>minutes.</w:t>
      </w:r>
      <w:r>
        <w:rPr>
          <w:rStyle w:val="FootnoteReference"/>
          <w:szCs w:val="22"/>
        </w:rPr>
        <w:footnoteReference w:id="25"/>
      </w:r>
      <w:r w:rsidRPr="00C05524">
        <w:rPr>
          <w:szCs w:val="22"/>
        </w:rPr>
        <w:t xml:space="preserve">   </w:t>
      </w:r>
    </w:p>
    <w:p w:rsidR="004568D0" w:rsidRPr="00C05524" w:rsidP="00302E37">
      <w:pPr>
        <w:spacing w:after="120"/>
        <w:ind w:firstLine="720"/>
        <w:rPr>
          <w:szCs w:val="22"/>
        </w:rPr>
      </w:pPr>
      <w:r w:rsidRPr="00C05524">
        <w:rPr>
          <w:szCs w:val="22"/>
        </w:rPr>
        <w:t>We also seek comment on Rolka Loube’s estimates and recommendations for additional funding to cover the costs of VRS reform implementation, numbering database administration, the National Deaf-Blind Equipment Distribution Program, Fund administrator compensation, the revenue data collection agent, the Interstate TRS Fund Advisory Council, management of Fund investments, service provider audits, implementation of Office of Management and Budget Circular A-123, bankruptcy representation, and an administrator-recommended independent audit of the Fund.</w:t>
      </w:r>
      <w:r>
        <w:rPr>
          <w:rStyle w:val="FootnoteReference"/>
          <w:szCs w:val="22"/>
        </w:rPr>
        <w:footnoteReference w:id="26"/>
      </w:r>
      <w:r w:rsidRPr="00C05524">
        <w:rPr>
          <w:szCs w:val="22"/>
        </w:rPr>
        <w:t xml:space="preserve">  Finally, we seek comment on Rolka Loube’s recommendation, consistent with the practice in the past few years, to continue including a two- month payment reserve, totaling $</w:t>
      </w:r>
      <w:r w:rsidR="005A69DF">
        <w:rPr>
          <w:szCs w:val="22"/>
        </w:rPr>
        <w:t>245,855,450</w:t>
      </w:r>
      <w:r w:rsidRPr="00C05524">
        <w:rPr>
          <w:szCs w:val="22"/>
        </w:rPr>
        <w:t>, in the funding requirement for the coming year.</w:t>
      </w:r>
      <w:r>
        <w:rPr>
          <w:rStyle w:val="FootnoteReference"/>
          <w:szCs w:val="22"/>
        </w:rPr>
        <w:footnoteReference w:id="27"/>
      </w:r>
    </w:p>
    <w:p w:rsidR="00155DDD" w:rsidRPr="000D7702" w:rsidP="00155DDD">
      <w:pPr>
        <w:widowControl/>
        <w:spacing w:after="120"/>
        <w:ind w:firstLine="720"/>
        <w:rPr>
          <w:szCs w:val="22"/>
        </w:rPr>
      </w:pPr>
      <w:r w:rsidRPr="000D7702">
        <w:rPr>
          <w:szCs w:val="22"/>
        </w:rPr>
        <w:t xml:space="preserve">Interested parties may file comments on or before the date indicated on the first page of this document.  </w:t>
      </w:r>
      <w:r w:rsidRPr="000D7702">
        <w:rPr>
          <w:iCs/>
          <w:szCs w:val="22"/>
        </w:rPr>
        <w:t>All filings must reference CG Docket No</w:t>
      </w:r>
      <w:r>
        <w:rPr>
          <w:iCs/>
          <w:szCs w:val="22"/>
        </w:rPr>
        <w:t>s</w:t>
      </w:r>
      <w:r w:rsidRPr="000D7702">
        <w:rPr>
          <w:iCs/>
          <w:szCs w:val="22"/>
        </w:rPr>
        <w:t>.</w:t>
      </w:r>
      <w:r>
        <w:rPr>
          <w:iCs/>
          <w:szCs w:val="22"/>
        </w:rPr>
        <w:t xml:space="preserve"> 10-51 and</w:t>
      </w:r>
      <w:r w:rsidRPr="000D7702">
        <w:rPr>
          <w:iCs/>
          <w:szCs w:val="22"/>
        </w:rPr>
        <w:t xml:space="preserve"> 03-123.  </w:t>
      </w:r>
      <w:r w:rsidRPr="000D7702">
        <w:rPr>
          <w:szCs w:val="22"/>
        </w:rPr>
        <w:t>Comments may be filed using the Commission’s Electronic Comment Filing System (ECFS).</w:t>
      </w:r>
      <w:r>
        <w:rPr>
          <w:rStyle w:val="FootnoteReference"/>
        </w:rPr>
        <w:footnoteReference w:id="28"/>
      </w:r>
      <w:r w:rsidRPr="000D7702">
        <w:rPr>
          <w:szCs w:val="22"/>
        </w:rPr>
        <w:t xml:space="preserve">  </w:t>
      </w:r>
    </w:p>
    <w:p w:rsidR="00155DDD" w:rsidRPr="000D7702" w:rsidP="00155DDD">
      <w:pPr>
        <w:numPr>
          <w:ilvl w:val="0"/>
          <w:numId w:val="8"/>
        </w:numPr>
        <w:spacing w:after="120"/>
        <w:rPr>
          <w:szCs w:val="22"/>
        </w:rPr>
      </w:pPr>
      <w:r w:rsidRPr="000D7702">
        <w:rPr>
          <w:szCs w:val="22"/>
        </w:rPr>
        <w:t xml:space="preserve">Electronic Filers:  Comments may be filed electronically using the Internet by accessing ECFS:  </w:t>
      </w:r>
      <w:hyperlink r:id="rId5" w:history="1">
        <w:r w:rsidRPr="000D7702">
          <w:rPr>
            <w:color w:val="0000FF"/>
            <w:szCs w:val="22"/>
            <w:u w:val="single"/>
          </w:rPr>
          <w:t>https://www.fcc.gov/ecfs/</w:t>
        </w:r>
      </w:hyperlink>
      <w:r w:rsidRPr="000D7702">
        <w:rPr>
          <w:szCs w:val="22"/>
        </w:rPr>
        <w:t xml:space="preserve">.  </w:t>
      </w:r>
    </w:p>
    <w:p w:rsidR="00155DDD" w:rsidRPr="000D7702" w:rsidP="00155DDD">
      <w:pPr>
        <w:numPr>
          <w:ilvl w:val="0"/>
          <w:numId w:val="8"/>
        </w:numPr>
        <w:spacing w:after="120"/>
        <w:rPr>
          <w:szCs w:val="22"/>
        </w:rPr>
      </w:pPr>
      <w:r w:rsidRPr="000D7702">
        <w:rPr>
          <w:szCs w:val="22"/>
        </w:rPr>
        <w:t>Paper Filers:  Parties who choose to file by paper must file an original and one copy of each filing.</w:t>
      </w:r>
    </w:p>
    <w:p w:rsidR="00155DDD" w:rsidRPr="000D7702" w:rsidP="00155DDD">
      <w:pPr>
        <w:widowControl/>
        <w:numPr>
          <w:ilvl w:val="0"/>
          <w:numId w:val="8"/>
        </w:numPr>
        <w:spacing w:after="120"/>
        <w:rPr>
          <w:szCs w:val="22"/>
        </w:rPr>
      </w:pPr>
      <w:r w:rsidRPr="000D7702">
        <w:rPr>
          <w:szCs w:val="22"/>
        </w:rPr>
        <w:t>Filings can be sent by hand or messenger delivery, by commercial overnight courier, or by first-class or overnight U.S. Postal Service mail.  All filings must be addressed to the Commission’s Secretary, Office of the Secretary, Federal Communications Commission.</w:t>
      </w:r>
    </w:p>
    <w:p w:rsidR="00155DDD" w:rsidRPr="000D7702" w:rsidP="00155DDD">
      <w:pPr>
        <w:numPr>
          <w:ilvl w:val="1"/>
          <w:numId w:val="8"/>
        </w:numPr>
        <w:spacing w:after="120"/>
        <w:rPr>
          <w:szCs w:val="22"/>
        </w:rPr>
      </w:pPr>
      <w:r w:rsidRPr="000D7702">
        <w:rPr>
          <w:szCs w:val="22"/>
        </w:rPr>
        <w:t>All hand-delivered or messenger-delivered paper filings for the Commission’s Secretary must be delivered to FCC Headquarters at 445 12th Street, SW, Room TW-A325, Washington, DC 20554.  The filing hours are 8:00 a.m. to 7:00 p.m.  All hand deliveries must be held together with rubber bands or fasteners.  Any envelopes and boxes must be disposed of before entering the building.</w:t>
      </w:r>
    </w:p>
    <w:p w:rsidR="00155DDD" w:rsidRPr="000D7702" w:rsidP="00155DDD">
      <w:pPr>
        <w:numPr>
          <w:ilvl w:val="1"/>
          <w:numId w:val="8"/>
        </w:numPr>
        <w:spacing w:after="120"/>
        <w:rPr>
          <w:szCs w:val="22"/>
        </w:rPr>
      </w:pPr>
      <w:r w:rsidRPr="000D7702">
        <w:rPr>
          <w:szCs w:val="22"/>
        </w:rPr>
        <w:t>Commercial overnight mail (other than U.S. Postal Service Express Mail and Priority Mail) must be sent to 9050 Junction Drive, Annapolis Junction, MD 20701.</w:t>
      </w:r>
    </w:p>
    <w:p w:rsidR="00155DDD" w:rsidRPr="000D7702" w:rsidP="00155DDD">
      <w:pPr>
        <w:numPr>
          <w:ilvl w:val="1"/>
          <w:numId w:val="8"/>
        </w:numPr>
        <w:spacing w:after="120"/>
        <w:rPr>
          <w:szCs w:val="22"/>
        </w:rPr>
      </w:pPr>
      <w:r w:rsidRPr="000D7702">
        <w:rPr>
          <w:szCs w:val="22"/>
        </w:rPr>
        <w:t>U.S. Postal Service first-class, Express, and Priority mail must be addressed to 445 12th Street, SW, Washington DC  20554.</w:t>
      </w:r>
    </w:p>
    <w:p w:rsidR="00155DDD" w:rsidRPr="000D7702" w:rsidP="00155DDD">
      <w:pPr>
        <w:spacing w:after="120"/>
        <w:ind w:firstLine="720"/>
        <w:rPr>
          <w:szCs w:val="22"/>
        </w:rPr>
      </w:pPr>
      <w:r w:rsidRPr="000D7702">
        <w:rPr>
          <w:szCs w:val="22"/>
        </w:rPr>
        <w:t xml:space="preserve">The proceeding this Notice initiates shall be treated as a “permit-but-disclose” proceeding in accordance with the Commission’s </w:t>
      </w:r>
      <w:r w:rsidRPr="000D7702">
        <w:rPr>
          <w:i/>
          <w:iCs/>
          <w:szCs w:val="22"/>
        </w:rPr>
        <w:t xml:space="preserve">ex parte </w:t>
      </w:r>
      <w:r w:rsidRPr="000D7702">
        <w:rPr>
          <w:szCs w:val="22"/>
        </w:rPr>
        <w:t>rules.</w:t>
      </w:r>
      <w:r>
        <w:rPr>
          <w:rStyle w:val="FootnoteReference"/>
        </w:rPr>
        <w:footnoteReference w:id="29"/>
      </w:r>
      <w:r w:rsidRPr="000D7702">
        <w:rPr>
          <w:szCs w:val="22"/>
        </w:rPr>
        <w:t xml:space="preserve">  Persons making </w:t>
      </w:r>
      <w:r w:rsidRPr="000D7702">
        <w:rPr>
          <w:i/>
          <w:szCs w:val="22"/>
        </w:rPr>
        <w:t xml:space="preserve">ex parte </w:t>
      </w:r>
      <w:r w:rsidRPr="000D7702">
        <w:rPr>
          <w:szCs w:val="22"/>
        </w:rPr>
        <w:t xml:space="preserve">presentations must file a copy of any written presentation or a memorandum summarizing any oral presentation within two business days after the presentation (unless a different deadline applicable to the Sunshine period applies).  Persons making oral </w:t>
      </w:r>
      <w:r w:rsidRPr="000D7702">
        <w:rPr>
          <w:i/>
          <w:iCs/>
          <w:szCs w:val="22"/>
        </w:rPr>
        <w:t xml:space="preserve">ex parte </w:t>
      </w:r>
      <w:r w:rsidRPr="000D7702">
        <w:rPr>
          <w:szCs w:val="22"/>
        </w:rPr>
        <w:t xml:space="preserve">presentations are reminded that memoranda summarizing the presentation must (1) list all persons attending or otherwise participating in the meeting at which the </w:t>
      </w:r>
      <w:r w:rsidRPr="000D7702">
        <w:rPr>
          <w:i/>
          <w:iCs/>
          <w:szCs w:val="22"/>
        </w:rPr>
        <w:t xml:space="preserve">ex parte </w:t>
      </w:r>
      <w:r w:rsidRPr="000D7702">
        <w:rPr>
          <w:szCs w:val="22"/>
        </w:rPr>
        <w:t>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w:t>
      </w:r>
      <w:bookmarkStart w:id="1" w:name="_GoBack"/>
      <w:bookmarkEnd w:id="1"/>
      <w:r w:rsidRPr="000D7702">
        <w:rPr>
          <w:szCs w:val="22"/>
        </w:rPr>
        <w:t xml:space="preserve">anda, or other filings (specifying the relevant page and/or paragraph numbers where such data or arguments can be found) in lieu of summarizing them in the memorandum.  Documents shown or given to Commission staff during </w:t>
      </w:r>
      <w:r w:rsidRPr="000D7702">
        <w:rPr>
          <w:i/>
          <w:iCs/>
          <w:szCs w:val="22"/>
        </w:rPr>
        <w:t xml:space="preserve">ex parte </w:t>
      </w:r>
      <w:r w:rsidRPr="000D7702">
        <w:rPr>
          <w:szCs w:val="22"/>
        </w:rPr>
        <w:t xml:space="preserve">meetings are deemed to be written </w:t>
      </w:r>
      <w:r w:rsidRPr="000D7702">
        <w:rPr>
          <w:i/>
          <w:iCs/>
          <w:szCs w:val="22"/>
        </w:rPr>
        <w:t>ex parte</w:t>
      </w:r>
      <w:r w:rsidRPr="000D7702">
        <w:rPr>
          <w:szCs w:val="22"/>
        </w:rPr>
        <w:t xml:space="preserve"> presentations and must be filed consistent with rule 1.1206(b).  In proceedings governed by rule 1.49(f) or for which the Commission has made available a method of electronic filing, written </w:t>
      </w:r>
      <w:r w:rsidRPr="000D7702">
        <w:rPr>
          <w:i/>
          <w:iCs/>
          <w:szCs w:val="22"/>
        </w:rPr>
        <w:t xml:space="preserve">ex parte </w:t>
      </w:r>
      <w:r w:rsidRPr="000D7702">
        <w:rPr>
          <w:szCs w:val="22"/>
        </w:rPr>
        <w:t xml:space="preserve">presentations and memoranda summarizing oral </w:t>
      </w:r>
      <w:r w:rsidRPr="000D7702">
        <w:rPr>
          <w:i/>
          <w:iCs/>
          <w:szCs w:val="22"/>
        </w:rPr>
        <w:t xml:space="preserve">ex parte </w:t>
      </w:r>
      <w:r w:rsidRPr="000D7702">
        <w:rPr>
          <w:szCs w:val="22"/>
        </w:rPr>
        <w:t>presentations, and all attachments thereto, must be filed through the electronic comment filing system available for that proceeding, and must be filed in their native format (</w:t>
      </w:r>
      <w:r w:rsidRPr="000D7702">
        <w:rPr>
          <w:i/>
          <w:iCs/>
          <w:szCs w:val="22"/>
        </w:rPr>
        <w:t>e.g.</w:t>
      </w:r>
      <w:r w:rsidRPr="000D7702">
        <w:rPr>
          <w:szCs w:val="22"/>
        </w:rPr>
        <w:t xml:space="preserve">, .doc, .xml, .ppt, searchable .pdf).  Participants in this proceeding should familiarize themselves with the Commission’s </w:t>
      </w:r>
      <w:r w:rsidRPr="000D7702">
        <w:rPr>
          <w:i/>
          <w:iCs/>
          <w:szCs w:val="22"/>
        </w:rPr>
        <w:t xml:space="preserve">ex parte </w:t>
      </w:r>
      <w:r w:rsidRPr="000D7702">
        <w:rPr>
          <w:szCs w:val="22"/>
        </w:rPr>
        <w:t>rules.</w:t>
      </w:r>
    </w:p>
    <w:p w:rsidR="004568D0" w:rsidRPr="00C05524" w:rsidP="00302E37">
      <w:pPr>
        <w:spacing w:after="120"/>
        <w:ind w:firstLine="720"/>
        <w:rPr>
          <w:szCs w:val="22"/>
        </w:rPr>
      </w:pPr>
      <w:r w:rsidRPr="00C05524">
        <w:rPr>
          <w:szCs w:val="22"/>
        </w:rPr>
        <w:t xml:space="preserve">To request materials in accessible formats for people with disabilities (Braille, large print, electronic files, audio format), send an e-mail to fcc504@fcc.gov or call the Consumer and Governmental Affairs Bureau at (202) 418-0530 (voice) or (202) 418-0432 (TTY).     </w:t>
      </w:r>
    </w:p>
    <w:p w:rsidR="004568D0" w:rsidRPr="00C05524" w:rsidP="00302E37">
      <w:pPr>
        <w:spacing w:after="120"/>
        <w:ind w:firstLine="720"/>
        <w:rPr>
          <w:b/>
          <w:szCs w:val="22"/>
        </w:rPr>
      </w:pPr>
      <w:r w:rsidRPr="00C05524">
        <w:rPr>
          <w:szCs w:val="22"/>
        </w:rPr>
        <w:t xml:space="preserve">For further information, please contact Michael Scott at (202) 418-1264 or by e-mail at </w:t>
      </w:r>
      <w:hyperlink r:id="rId6" w:history="1">
        <w:r w:rsidRPr="00C05524">
          <w:rPr>
            <w:rStyle w:val="Hyperlink"/>
            <w:szCs w:val="22"/>
          </w:rPr>
          <w:t>Michael.Scott@fcc.gov</w:t>
        </w:r>
      </w:hyperlink>
      <w:r w:rsidRPr="00C05524">
        <w:rPr>
          <w:rStyle w:val="Hyperlink"/>
          <w:szCs w:val="22"/>
        </w:rPr>
        <w:t xml:space="preserve"> </w:t>
      </w:r>
      <w:r w:rsidRPr="00C05524">
        <w:rPr>
          <w:szCs w:val="22"/>
        </w:rPr>
        <w:t xml:space="preserve">or Eliot Greenwald at (202) 418-2235 or by e-mail at </w:t>
      </w:r>
      <w:hyperlink r:id="rId7" w:history="1">
        <w:r w:rsidRPr="00C05524">
          <w:rPr>
            <w:rStyle w:val="Hyperlink"/>
            <w:szCs w:val="22"/>
          </w:rPr>
          <w:t>Eliot.Greenwald@fcc.gov</w:t>
        </w:r>
      </w:hyperlink>
      <w:r w:rsidRPr="00C05524">
        <w:rPr>
          <w:szCs w:val="22"/>
        </w:rPr>
        <w:t xml:space="preserve">. </w:t>
      </w:r>
    </w:p>
    <w:p w:rsidR="004568D0" w:rsidRPr="00C05524" w:rsidP="004568D0">
      <w:pPr>
        <w:spacing w:after="120"/>
        <w:jc w:val="center"/>
        <w:rPr>
          <w:szCs w:val="22"/>
        </w:rPr>
      </w:pPr>
      <w:r w:rsidRPr="00C05524">
        <w:rPr>
          <w:b/>
          <w:szCs w:val="22"/>
        </w:rPr>
        <w:t>-FCC-</w:t>
      </w:r>
    </w:p>
    <w:sectPr w:rsidSect="000E5884">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720" w:left="1440" w:header="63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393" w:rsidP="0055614C">
    <w:pPr>
      <w:pStyle w:val="Footer"/>
      <w:framePr w:wrap="around" w:vAnchor="text" w:hAnchor="margin" w:xAlign="center" w:y="1"/>
    </w:pPr>
    <w:r>
      <w:fldChar w:fldCharType="begin"/>
    </w:r>
    <w:r>
      <w:instrText xml:space="preserve">PAGE  </w:instrText>
    </w:r>
    <w:r>
      <w:fldChar w:fldCharType="separate"/>
    </w:r>
    <w:r>
      <w:fldChar w:fldCharType="end"/>
    </w:r>
  </w:p>
  <w:p w:rsidR="006F7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393" w:rsidP="00910F12">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393">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276DA">
      <w:r>
        <w:separator/>
      </w:r>
    </w:p>
  </w:footnote>
  <w:footnote w:type="continuationSeparator" w:id="1">
    <w:p w:rsidR="00C276DA">
      <w:pPr>
        <w:rPr>
          <w:sz w:val="20"/>
        </w:rPr>
      </w:pPr>
      <w:r>
        <w:rPr>
          <w:sz w:val="20"/>
        </w:rPr>
        <w:t xml:space="preserve">(Continued from previous page)  </w:t>
      </w:r>
      <w:r>
        <w:rPr>
          <w:sz w:val="20"/>
        </w:rPr>
        <w:separator/>
      </w:r>
    </w:p>
  </w:footnote>
  <w:footnote w:type="continuationNotice" w:id="2">
    <w:p w:rsidR="00C276DA" w:rsidP="00910F12">
      <w:pPr>
        <w:jc w:val="right"/>
        <w:rPr>
          <w:sz w:val="20"/>
        </w:rPr>
      </w:pPr>
      <w:r>
        <w:rPr>
          <w:sz w:val="20"/>
        </w:rPr>
        <w:t>(continued….)</w:t>
      </w:r>
    </w:p>
  </w:footnote>
  <w:footnote w:id="3">
    <w:p w:rsidR="00DC492D" w:rsidRPr="0090682B" w:rsidP="00DC492D">
      <w:pPr>
        <w:pStyle w:val="FootnoteText"/>
      </w:pPr>
      <w:r w:rsidRPr="0090682B">
        <w:rPr>
          <w:rStyle w:val="FootnoteReference"/>
        </w:rPr>
        <w:footnoteRef/>
      </w:r>
      <w:r w:rsidRPr="0090682B">
        <w:t xml:space="preserve"> </w:t>
      </w:r>
      <w:r w:rsidRPr="0090682B">
        <w:rPr>
          <w:i/>
        </w:rPr>
        <w:t>See</w:t>
      </w:r>
      <w:r w:rsidRPr="0090682B">
        <w:t xml:space="preserve"> Rolka Loube Associates LLC, Interstate Telecommunications Relay Services Fund Payment Formula and Fund Size Estimate, CG Docket Nos. 10-51 and 03-123 (filed May 1, 2019) (201</w:t>
      </w:r>
      <w:r w:rsidRPr="0090682B" w:rsidR="00492D4B">
        <w:t>9</w:t>
      </w:r>
      <w:r w:rsidRPr="0090682B">
        <w:t xml:space="preserve"> TRS Rate Filing).  </w:t>
      </w:r>
      <w:r w:rsidRPr="0090682B">
        <w:rPr>
          <w:i/>
        </w:rPr>
        <w:t>See</w:t>
      </w:r>
      <w:r w:rsidRPr="0090682B">
        <w:t xml:space="preserve"> 47 CFR § 64.604(c)(5)(iii)(H).  As noted below, we do not seek comment on the proposed compensation rates for video relay services (VRS)</w:t>
      </w:r>
      <w:r w:rsidR="00CD3EBB">
        <w:t xml:space="preserve"> or Internet Protocol Captioned Telephone Service (IP CTS)</w:t>
      </w:r>
      <w:r w:rsidRPr="0090682B">
        <w:t>.</w:t>
      </w:r>
    </w:p>
  </w:footnote>
  <w:footnote w:id="4">
    <w:p w:rsidR="00DC492D" w:rsidRPr="0090682B" w:rsidP="00DC492D">
      <w:pPr>
        <w:pStyle w:val="FootnoteText"/>
      </w:pPr>
      <w:r w:rsidRPr="0090682B">
        <w:rPr>
          <w:rStyle w:val="FootnoteReference"/>
        </w:rPr>
        <w:footnoteRef/>
      </w:r>
      <w:r w:rsidRPr="0090682B">
        <w:t xml:space="preserve"> Under the MARS Plan methodology, certain interstate TRS compensation rates are calculated based on a weighted average of the </w:t>
      </w:r>
      <w:r w:rsidRPr="0090682B">
        <w:rPr>
          <w:iCs/>
        </w:rPr>
        <w:t>intrastate</w:t>
      </w:r>
      <w:r w:rsidRPr="0090682B">
        <w:rPr>
          <w:i/>
          <w:iCs/>
        </w:rPr>
        <w:t xml:space="preserve"> </w:t>
      </w:r>
      <w:r w:rsidRPr="0090682B">
        <w:t xml:space="preserve">compensation rates paid by state TRS programs for the same or a similar relay service.  </w:t>
      </w:r>
      <w:r w:rsidRPr="0090682B">
        <w:rPr>
          <w:i/>
        </w:rPr>
        <w:t>See</w:t>
      </w:r>
      <w:r w:rsidRPr="0090682B">
        <w:t xml:space="preserve"> </w:t>
      </w:r>
      <w:r w:rsidRPr="0090682B">
        <w:rPr>
          <w:i/>
        </w:rPr>
        <w:t>Telecommunications Relay Services and Speech-to-Speech Services for Individuals with Hearing and Speech Disabilities</w:t>
      </w:r>
      <w:r w:rsidRPr="0090682B">
        <w:t>, Report and Order and Declaratory Ruling, 22 FCC Rcd 20140, 20151-</w:t>
      </w:r>
      <w:r w:rsidR="00CD3EBB">
        <w:t>58</w:t>
      </w:r>
      <w:r w:rsidRPr="0090682B">
        <w:t>, paras. 16-3</w:t>
      </w:r>
      <w:r w:rsidR="00CD3EBB">
        <w:t>7</w:t>
      </w:r>
      <w:r w:rsidRPr="0090682B">
        <w:t xml:space="preserve"> (2007) (</w:t>
      </w:r>
      <w:r w:rsidRPr="0090682B">
        <w:rPr>
          <w:i/>
        </w:rPr>
        <w:t>2007 TRS Rate Methodology Order</w:t>
      </w:r>
      <w:r w:rsidRPr="0090682B">
        <w:t xml:space="preserve">).  </w:t>
      </w:r>
    </w:p>
  </w:footnote>
  <w:footnote w:id="5">
    <w:p w:rsidR="00DC492D" w:rsidRPr="0090682B" w:rsidP="00DC492D">
      <w:pPr>
        <w:pStyle w:val="FootnoteText"/>
      </w:pPr>
      <w:r w:rsidRPr="0090682B">
        <w:rPr>
          <w:rStyle w:val="FootnoteReference"/>
        </w:rPr>
        <w:footnoteRef/>
      </w:r>
      <w:r w:rsidRPr="0090682B">
        <w:t xml:space="preserve"> 201</w:t>
      </w:r>
      <w:r w:rsidRPr="0090682B" w:rsidR="00492D4B">
        <w:t>9</w:t>
      </w:r>
      <w:r w:rsidRPr="0090682B">
        <w:t xml:space="preserve"> TRS Rate Filing at 17.  The </w:t>
      </w:r>
      <w:r w:rsidR="004B20D2">
        <w:t xml:space="preserve">current </w:t>
      </w:r>
      <w:r w:rsidRPr="0090682B">
        <w:t xml:space="preserve">compensation rate for interstate traditional TRS </w:t>
      </w:r>
      <w:r w:rsidR="00EB4851">
        <w:t>is</w:t>
      </w:r>
      <w:r w:rsidRPr="0090682B">
        <w:t xml:space="preserve"> </w:t>
      </w:r>
      <w:r w:rsidRPr="0090682B" w:rsidR="00492D4B">
        <w:t xml:space="preserve">$3.2592 </w:t>
      </w:r>
      <w:r w:rsidRPr="0090682B">
        <w:t xml:space="preserve">per minute. </w:t>
      </w:r>
    </w:p>
  </w:footnote>
  <w:footnote w:id="6">
    <w:p w:rsidR="00DC492D" w:rsidRPr="0090682B" w:rsidP="00DC492D">
      <w:pPr>
        <w:pStyle w:val="FootnoteText"/>
        <w:rPr>
          <w:b/>
        </w:rPr>
      </w:pPr>
      <w:r w:rsidRPr="0090682B">
        <w:rPr>
          <w:rStyle w:val="FootnoteReference"/>
        </w:rPr>
        <w:footnoteRef/>
      </w:r>
      <w:r w:rsidRPr="0090682B">
        <w:t xml:space="preserve"> </w:t>
      </w:r>
      <w:r w:rsidR="003431D3">
        <w:rPr>
          <w:i/>
        </w:rPr>
        <w:t>Id</w:t>
      </w:r>
      <w:r w:rsidRPr="0090682B">
        <w:t xml:space="preserve">.  Consistent with the </w:t>
      </w:r>
      <w:r w:rsidRPr="0090682B">
        <w:rPr>
          <w:i/>
        </w:rPr>
        <w:t>2007 TRS Rate Methodology Order</w:t>
      </w:r>
      <w:r w:rsidRPr="0090682B">
        <w:t>, Rolka Loube’s proposed interstate STS rate consists of the interstate traditional TRS rate of $</w:t>
      </w:r>
      <w:r w:rsidRPr="0090682B" w:rsidR="00492D4B">
        <w:t>3.1107</w:t>
      </w:r>
      <w:r w:rsidRPr="0090682B">
        <w:t xml:space="preserve"> per minute plus an additional per-minute amount of $1.131 to be used for STS outreach.  </w:t>
      </w:r>
      <w:r w:rsidRPr="0090682B">
        <w:rPr>
          <w:i/>
        </w:rPr>
        <w:t>See 2007 TRS Rate Methodology Order</w:t>
      </w:r>
      <w:r w:rsidRPr="0090682B">
        <w:t>, 22 FCC Rcd at 2015</w:t>
      </w:r>
      <w:r w:rsidR="00CD3EBB">
        <w:t>6</w:t>
      </w:r>
      <w:r w:rsidRPr="0090682B">
        <w:t>, 201</w:t>
      </w:r>
      <w:r w:rsidR="007E5C43">
        <w:t>65</w:t>
      </w:r>
      <w:r w:rsidRPr="0090682B">
        <w:t xml:space="preserve">, paras. 34, 57.  The </w:t>
      </w:r>
      <w:r w:rsidR="004B20D2">
        <w:t xml:space="preserve">current </w:t>
      </w:r>
      <w:r w:rsidRPr="0090682B">
        <w:t xml:space="preserve">STS compensation rate </w:t>
      </w:r>
      <w:r w:rsidR="00EB4851">
        <w:t>is</w:t>
      </w:r>
      <w:r w:rsidRPr="0090682B">
        <w:t xml:space="preserve"> $4.</w:t>
      </w:r>
      <w:r w:rsidRPr="0090682B" w:rsidR="00492D4B">
        <w:t>3902</w:t>
      </w:r>
      <w:r w:rsidRPr="0090682B">
        <w:t xml:space="preserve"> per minute.  </w:t>
      </w:r>
    </w:p>
  </w:footnote>
  <w:footnote w:id="7">
    <w:p w:rsidR="00DC492D" w:rsidRPr="0090682B" w:rsidP="00DC492D">
      <w:pPr>
        <w:pStyle w:val="FootnoteText"/>
      </w:pPr>
      <w:r w:rsidRPr="0090682B">
        <w:rPr>
          <w:rStyle w:val="FootnoteReference"/>
        </w:rPr>
        <w:footnoteRef/>
      </w:r>
      <w:r w:rsidRPr="0090682B">
        <w:t xml:space="preserve"> 201</w:t>
      </w:r>
      <w:r w:rsidRPr="0090682B" w:rsidR="00492D4B">
        <w:t>9</w:t>
      </w:r>
      <w:r w:rsidRPr="0090682B">
        <w:t xml:space="preserve"> TRS Rate Filing at 18.  The </w:t>
      </w:r>
      <w:r w:rsidR="004B20D2">
        <w:t xml:space="preserve">current </w:t>
      </w:r>
      <w:r w:rsidRPr="0090682B">
        <w:t xml:space="preserve">compensation rate for interstate CTS </w:t>
      </w:r>
      <w:r w:rsidR="00EB4851">
        <w:t xml:space="preserve">is </w:t>
      </w:r>
      <w:r w:rsidRPr="0090682B">
        <w:t>$</w:t>
      </w:r>
      <w:r w:rsidRPr="0090682B" w:rsidR="00492D4B">
        <w:t>2.0007</w:t>
      </w:r>
      <w:r w:rsidRPr="0090682B">
        <w:t xml:space="preserve"> per minute. </w:t>
      </w:r>
    </w:p>
  </w:footnote>
  <w:footnote w:id="8">
    <w:p w:rsidR="005A69DF" w:rsidRPr="0090682B">
      <w:pPr>
        <w:pStyle w:val="FootnoteText"/>
      </w:pPr>
      <w:r w:rsidRPr="0090682B">
        <w:rPr>
          <w:rStyle w:val="FootnoteReference"/>
        </w:rPr>
        <w:footnoteRef/>
      </w:r>
      <w:r w:rsidRPr="0090682B">
        <w:t xml:space="preserve"> </w:t>
      </w:r>
      <w:r w:rsidRPr="0090682B">
        <w:rPr>
          <w:i/>
        </w:rPr>
        <w:t>Misuse of Internet Protocol (IP) Captioned Telephone Service</w:t>
      </w:r>
      <w:r w:rsidRPr="0090682B">
        <w:t>;</w:t>
      </w:r>
      <w:r w:rsidRPr="0090682B">
        <w:rPr>
          <w:i/>
        </w:rPr>
        <w:t xml:space="preserve"> Telecommunications Relay Services and Speech-to-Speech Services for Individuals with Hearing and Speech Disabilities</w:t>
      </w:r>
      <w:r w:rsidRPr="0090682B">
        <w:t>, CG Docket Nos. 13-24 and 03-123, Report and Order, Declaratory Ruling, Further Notice of Proposed Rulemaking, and Notice of Inquiry, 33 FCC Rcd 5800</w:t>
      </w:r>
      <w:r w:rsidRPr="0090682B" w:rsidR="00E932A4">
        <w:t>, 5808-09, para. 16</w:t>
      </w:r>
      <w:r w:rsidRPr="0090682B">
        <w:t xml:space="preserve"> (2018) (</w:t>
      </w:r>
      <w:r w:rsidRPr="0090682B">
        <w:rPr>
          <w:i/>
        </w:rPr>
        <w:t>2018 IP CTS Reform Order</w:t>
      </w:r>
      <w:r w:rsidRPr="0090682B">
        <w:t>)</w:t>
      </w:r>
      <w:r w:rsidR="00576B88">
        <w:t xml:space="preserve">, </w:t>
      </w:r>
      <w:r w:rsidRPr="00576B88" w:rsidR="00576B88">
        <w:rPr>
          <w:i/>
        </w:rPr>
        <w:t>petitions for reconsideration pending</w:t>
      </w:r>
      <w:r w:rsidRPr="0090682B">
        <w:t xml:space="preserve">. </w:t>
      </w:r>
    </w:p>
  </w:footnote>
  <w:footnote w:id="9">
    <w:p w:rsidR="005B2B1A" w:rsidRPr="0090682B" w:rsidP="005B2B1A">
      <w:pPr>
        <w:pStyle w:val="FootnoteText"/>
      </w:pPr>
      <w:r w:rsidRPr="0090682B">
        <w:rPr>
          <w:rStyle w:val="FootnoteReference"/>
        </w:rPr>
        <w:footnoteRef/>
      </w:r>
      <w:r w:rsidRPr="0090682B">
        <w:t xml:space="preserve"> 2019 TRS Rate Filing at 25; </w:t>
      </w:r>
      <w:r w:rsidRPr="0090682B">
        <w:rPr>
          <w:i/>
        </w:rPr>
        <w:t>see also</w:t>
      </w:r>
      <w:r w:rsidRPr="0090682B">
        <w:t xml:space="preserve"> </w:t>
      </w:r>
      <w:r w:rsidRPr="0090682B">
        <w:rPr>
          <w:i/>
        </w:rPr>
        <w:t xml:space="preserve">2007 TRS Rate Methodology Order, </w:t>
      </w:r>
      <w:r w:rsidRPr="0090682B">
        <w:t>22 FCC Rcd at 20159-60, paras. 43-46</w:t>
      </w:r>
      <w:r w:rsidRPr="0090682B" w:rsidR="007653C3">
        <w:t>.</w:t>
      </w:r>
    </w:p>
  </w:footnote>
  <w:footnote w:id="10">
    <w:p w:rsidR="005B2B1A" w:rsidRPr="0090682B" w:rsidP="005B2B1A">
      <w:pPr>
        <w:pStyle w:val="FootnoteText"/>
      </w:pPr>
      <w:r w:rsidRPr="0090682B">
        <w:rPr>
          <w:rStyle w:val="FootnoteReference"/>
        </w:rPr>
        <w:footnoteRef/>
      </w:r>
      <w:r w:rsidRPr="0090682B">
        <w:t xml:space="preserve"> </w:t>
      </w:r>
      <w:r w:rsidRPr="0090682B">
        <w:rPr>
          <w:i/>
        </w:rPr>
        <w:t>2007 TRS Rate Methodology Order</w:t>
      </w:r>
      <w:r w:rsidRPr="0090682B">
        <w:t>, 22 FCC Rcd at 2016</w:t>
      </w:r>
      <w:r w:rsidR="007E5C43">
        <w:t>0-61</w:t>
      </w:r>
      <w:r w:rsidRPr="0090682B">
        <w:t>, paras. 43-44.</w:t>
      </w:r>
    </w:p>
  </w:footnote>
  <w:footnote w:id="11">
    <w:p w:rsidR="00AE70FB" w:rsidRPr="0090682B" w:rsidP="00AE70FB">
      <w:pPr>
        <w:pStyle w:val="FootnoteText"/>
      </w:pPr>
      <w:r w:rsidRPr="0090682B">
        <w:rPr>
          <w:rStyle w:val="FootnoteReference"/>
        </w:rPr>
        <w:footnoteRef/>
      </w:r>
      <w:r w:rsidRPr="0090682B">
        <w:t xml:space="preserve"> </w:t>
      </w:r>
      <w:r w:rsidRPr="0090682B">
        <w:rPr>
          <w:i/>
        </w:rPr>
        <w:t>Structure and Practices of the Video Relay Service Program</w:t>
      </w:r>
      <w:r w:rsidRPr="0090682B">
        <w:t>;</w:t>
      </w:r>
      <w:r w:rsidRPr="0090682B">
        <w:rPr>
          <w:i/>
        </w:rPr>
        <w:t xml:space="preserve"> Telecommunications Relay Services and Speech-to-Speech Services for Individuals with Hearing and Speech Disabilities</w:t>
      </w:r>
      <w:r w:rsidRPr="0090682B">
        <w:t>, CG Docket Nos. 10-51 and 03-123, Order, 31 FCC Rcd 7246, 7252, para. 20 (CGB 2016) (</w:t>
      </w:r>
      <w:r w:rsidRPr="0090682B">
        <w:rPr>
          <w:i/>
        </w:rPr>
        <w:t>2016 TRS Rate Order</w:t>
      </w:r>
      <w:r w:rsidRPr="0090682B">
        <w:t>).</w:t>
      </w:r>
    </w:p>
  </w:footnote>
  <w:footnote w:id="12">
    <w:p w:rsidR="002A3A76" w:rsidRPr="0090682B">
      <w:pPr>
        <w:pStyle w:val="FootnoteText"/>
      </w:pPr>
      <w:r w:rsidRPr="0090682B">
        <w:rPr>
          <w:rStyle w:val="FootnoteReference"/>
        </w:rPr>
        <w:footnoteRef/>
      </w:r>
      <w:r w:rsidRPr="0090682B">
        <w:t xml:space="preserve"> </w:t>
      </w:r>
      <w:r w:rsidRPr="0090682B">
        <w:rPr>
          <w:i/>
        </w:rPr>
        <w:t>Structure and Practices of the Video Relay Service Program</w:t>
      </w:r>
      <w:r w:rsidRPr="0090682B">
        <w:t>;</w:t>
      </w:r>
      <w:r w:rsidRPr="0090682B">
        <w:rPr>
          <w:i/>
        </w:rPr>
        <w:t xml:space="preserve"> Telecommunications Relay Services and Speech-to-Speech Services for Individuals with Hearing and Speech Disabilities</w:t>
      </w:r>
      <w:r w:rsidRPr="0090682B">
        <w:t>, CG Docket Nos. 10-51 and 03-123, Order, 33 FCC Rcd 6300, 6305, para. 13 (CGB 2018) (</w:t>
      </w:r>
      <w:r w:rsidRPr="0090682B">
        <w:rPr>
          <w:i/>
        </w:rPr>
        <w:t>2018 TRS Rate Order</w:t>
      </w:r>
      <w:r w:rsidRPr="0090682B">
        <w:t>).</w:t>
      </w:r>
    </w:p>
  </w:footnote>
  <w:footnote w:id="13">
    <w:p w:rsidR="004568D0" w:rsidRPr="0090682B" w:rsidP="004568D0">
      <w:pPr>
        <w:pStyle w:val="FootnoteText"/>
      </w:pPr>
      <w:r w:rsidRPr="0090682B">
        <w:rPr>
          <w:rStyle w:val="FootnoteReference"/>
        </w:rPr>
        <w:footnoteRef/>
      </w:r>
      <w:r w:rsidRPr="0090682B">
        <w:t xml:space="preserve"> In the 2013 order, the Commission expected that the development of a national outreach program would replace the handling of IP Relay outreach by providers.</w:t>
      </w:r>
      <w:r w:rsidRPr="0090682B">
        <w:rPr>
          <w:i/>
        </w:rPr>
        <w:t xml:space="preserve"> Structure and Practices of the Video Relay Service Program; Telecommunications Relay Services and Speech-to-Speech Services for Individuals with Hearing and Speech Disabilities</w:t>
      </w:r>
      <w:r w:rsidRPr="0090682B">
        <w:t xml:space="preserve">, </w:t>
      </w:r>
      <w:r w:rsidR="007E5C43">
        <w:t xml:space="preserve">CG Docket Nos. 10-51 and 03-123, </w:t>
      </w:r>
      <w:r w:rsidRPr="0090682B">
        <w:t xml:space="preserve">Report and Order and Further Notice of Proposed Rulemaking, 28 FCC Rcd 8618, </w:t>
      </w:r>
      <w:r w:rsidRPr="0090682B">
        <w:rPr>
          <w:iCs/>
        </w:rPr>
        <w:t>8634-39, 8696, paras. 31-39, 192</w:t>
      </w:r>
      <w:r w:rsidRPr="0090682B">
        <w:t xml:space="preserve"> (2013).</w:t>
      </w:r>
    </w:p>
  </w:footnote>
  <w:footnote w:id="14">
    <w:p w:rsidR="004568D0" w:rsidRPr="0090682B" w:rsidP="004568D0">
      <w:pPr>
        <w:pStyle w:val="FootnoteText"/>
      </w:pPr>
      <w:r w:rsidRPr="0090682B">
        <w:rPr>
          <w:rStyle w:val="FootnoteReference"/>
        </w:rPr>
        <w:footnoteRef/>
      </w:r>
      <w:r w:rsidRPr="0090682B">
        <w:t xml:space="preserve"> </w:t>
      </w:r>
      <w:r w:rsidRPr="0090682B" w:rsidR="002A3A76">
        <w:rPr>
          <w:i/>
        </w:rPr>
        <w:t>2016 TRS Rate Order</w:t>
      </w:r>
      <w:r w:rsidRPr="0090682B" w:rsidR="002A3A76">
        <w:t>, 31 FCC Rcd at 725</w:t>
      </w:r>
      <w:r w:rsidR="007E5C43">
        <w:t>1</w:t>
      </w:r>
      <w:r w:rsidRPr="0090682B" w:rsidR="002A3A76">
        <w:t>, para. 1</w:t>
      </w:r>
      <w:r w:rsidR="007E5C43">
        <w:t>8</w:t>
      </w:r>
      <w:r w:rsidRPr="0090682B" w:rsidR="002A3A76">
        <w:t xml:space="preserve">; </w:t>
      </w:r>
      <w:r w:rsidRPr="0090682B">
        <w:rPr>
          <w:i/>
        </w:rPr>
        <w:t>Telecommunications Relay Services and Speech-to-Speech Services for Individuals with Hearing and Speech Disabilities; Structure and Practices of the Video Relay Service Program</w:t>
      </w:r>
      <w:r w:rsidRPr="0090682B">
        <w:t>, Order, 32 FCC Rcd 5142, 5146</w:t>
      </w:r>
      <w:r w:rsidRPr="0090682B" w:rsidR="002A3A76">
        <w:t>, para. 13</w:t>
      </w:r>
      <w:r w:rsidRPr="0090682B">
        <w:t xml:space="preserve"> (CGB 2017)</w:t>
      </w:r>
      <w:r w:rsidRPr="0090682B">
        <w:rPr>
          <w:i/>
        </w:rPr>
        <w:t xml:space="preserve"> </w:t>
      </w:r>
      <w:r w:rsidRPr="0090682B">
        <w:t>(</w:t>
      </w:r>
      <w:r w:rsidRPr="0090682B">
        <w:rPr>
          <w:i/>
        </w:rPr>
        <w:t>2017 TRS Rate Order</w:t>
      </w:r>
      <w:r w:rsidRPr="0090682B">
        <w:t>)</w:t>
      </w:r>
      <w:r w:rsidRPr="0090682B" w:rsidR="002A3A76">
        <w:t xml:space="preserve">; </w:t>
      </w:r>
      <w:r w:rsidRPr="0090682B" w:rsidR="002A3A76">
        <w:rPr>
          <w:i/>
        </w:rPr>
        <w:t>2018 TRS Rate Order</w:t>
      </w:r>
      <w:r w:rsidRPr="0090682B" w:rsidR="002A3A76">
        <w:t xml:space="preserve"> 33 FCC Rcd at 6304, para. 11</w:t>
      </w:r>
      <w:r w:rsidRPr="0090682B">
        <w:t>.</w:t>
      </w:r>
    </w:p>
  </w:footnote>
  <w:footnote w:id="15">
    <w:p w:rsidR="00AE70FB" w:rsidP="00AE70FB">
      <w:pPr>
        <w:pStyle w:val="FootnoteText"/>
      </w:pPr>
      <w:r>
        <w:rPr>
          <w:rStyle w:val="FootnoteReference"/>
        </w:rPr>
        <w:footnoteRef/>
      </w:r>
      <w:r>
        <w:t xml:space="preserve"> 2019 TRS Rate Filing at 25.</w:t>
      </w:r>
    </w:p>
  </w:footnote>
  <w:footnote w:id="16">
    <w:p w:rsidR="00AE70FB" w:rsidRPr="0090682B" w:rsidP="00AE70FB">
      <w:pPr>
        <w:pStyle w:val="FootnoteText"/>
      </w:pPr>
      <w:r w:rsidRPr="0090682B">
        <w:rPr>
          <w:rStyle w:val="FootnoteReference"/>
        </w:rPr>
        <w:footnoteRef/>
      </w:r>
      <w:r w:rsidRPr="0090682B">
        <w:t xml:space="preserve"> </w:t>
      </w:r>
      <w:r w:rsidR="002A7090">
        <w:rPr>
          <w:i/>
        </w:rPr>
        <w:t>Id</w:t>
      </w:r>
      <w:r w:rsidRPr="0090682B">
        <w:t>.</w:t>
      </w:r>
    </w:p>
  </w:footnote>
  <w:footnote w:id="17">
    <w:p w:rsidR="004568D0" w:rsidRPr="0090682B" w:rsidP="004568D0">
      <w:pPr>
        <w:pStyle w:val="FootnoteText"/>
      </w:pPr>
      <w:r w:rsidRPr="0090682B">
        <w:rPr>
          <w:rStyle w:val="FootnoteReference"/>
        </w:rPr>
        <w:footnoteRef/>
      </w:r>
      <w:r w:rsidRPr="0090682B">
        <w:t xml:space="preserve"> </w:t>
      </w:r>
      <w:r w:rsidRPr="0090682B" w:rsidR="0048798F">
        <w:rPr>
          <w:i/>
        </w:rPr>
        <w:t>See</w:t>
      </w:r>
      <w:r w:rsidRPr="0090682B" w:rsidR="0090682B">
        <w:t xml:space="preserve"> Request for Interim Waivers, CG Docket Nos. 10-51 and 03-123 (filed Mar. 21, 2019), </w:t>
      </w:r>
      <w:hyperlink r:id="rId1" w:history="1">
        <w:r w:rsidRPr="0090682B" w:rsidR="0090682B">
          <w:rPr>
            <w:snapToGrid w:val="0"/>
            <w:color w:val="0000FF"/>
            <w:kern w:val="28"/>
            <w:u w:val="single"/>
          </w:rPr>
          <w:t>https://ecfsapi.fcc.gov/file/10321798025208/Request%20for%20Waiver%20-%20REDACTED%20plus%20attachment.pdf</w:t>
        </w:r>
      </w:hyperlink>
      <w:r w:rsidRPr="0090682B" w:rsidR="0090682B">
        <w:rPr>
          <w:snapToGrid w:val="0"/>
          <w:kern w:val="28"/>
        </w:rPr>
        <w:t>; Supplement to Request for Interim Waivers</w:t>
      </w:r>
      <w:r w:rsidR="0090682B">
        <w:rPr>
          <w:snapToGrid w:val="0"/>
          <w:kern w:val="28"/>
        </w:rPr>
        <w:t>, CG Docket Nos. 10-51 and 03-123</w:t>
      </w:r>
      <w:r w:rsidR="00143CD4">
        <w:rPr>
          <w:snapToGrid w:val="0"/>
          <w:kern w:val="28"/>
        </w:rPr>
        <w:t xml:space="preserve"> </w:t>
      </w:r>
      <w:r w:rsidR="0090682B">
        <w:rPr>
          <w:snapToGrid w:val="0"/>
          <w:kern w:val="28"/>
        </w:rPr>
        <w:t>(filed Apr. 9, 2019)</w:t>
      </w:r>
      <w:r w:rsidR="00143CD4">
        <w:rPr>
          <w:snapToGrid w:val="0"/>
          <w:kern w:val="28"/>
        </w:rPr>
        <w:t>,</w:t>
      </w:r>
      <w:r w:rsidR="0090682B">
        <w:rPr>
          <w:snapToGrid w:val="0"/>
          <w:kern w:val="28"/>
        </w:rPr>
        <w:t xml:space="preserve"> </w:t>
      </w:r>
      <w:hyperlink r:id="rId2" w:history="1">
        <w:r w:rsidRPr="0090682B" w:rsidR="0090682B">
          <w:rPr>
            <w:rStyle w:val="Hyperlink"/>
            <w:snapToGrid w:val="0"/>
            <w:kern w:val="28"/>
          </w:rPr>
          <w:t>https://ecfsapi.fcc.gov/file/10409989730840/Sprint%20IP%20Relay%20Waiver%20Supplement%20-%20REDACTED%20-%2004.09.2019%20AS-FILED.pdf</w:t>
        </w:r>
      </w:hyperlink>
      <w:r w:rsidR="0090682B">
        <w:rPr>
          <w:snapToGrid w:val="0"/>
          <w:kern w:val="28"/>
        </w:rPr>
        <w:t xml:space="preserve">. </w:t>
      </w:r>
    </w:p>
  </w:footnote>
  <w:footnote w:id="18">
    <w:p w:rsidR="00122FC1" w:rsidRPr="00122FC1" w:rsidP="00122FC1">
      <w:pPr>
        <w:pStyle w:val="Convertcase"/>
        <w:spacing w:after="120"/>
      </w:pPr>
      <w:r>
        <w:rPr>
          <w:rStyle w:val="FootnoteReference"/>
        </w:rPr>
        <w:footnoteRef/>
      </w:r>
      <w:r>
        <w:t xml:space="preserve"> </w:t>
      </w:r>
      <w:r w:rsidRPr="00122FC1">
        <w:rPr>
          <w:i/>
        </w:rPr>
        <w:t xml:space="preserve">Consumer and Governmental Affairs Bureau Seeks Comment on Request by Sprint Corporation </w:t>
      </w:r>
      <w:r w:rsidR="00E04CD0">
        <w:rPr>
          <w:i/>
        </w:rPr>
        <w:t>f</w:t>
      </w:r>
      <w:r w:rsidRPr="00122FC1">
        <w:rPr>
          <w:i/>
        </w:rPr>
        <w:t>or Interim Waivers Regarding the Compensation Rate for Internet Protocol Relay Service</w:t>
      </w:r>
      <w:r>
        <w:t xml:space="preserve">, Public Notice, DA 19-223, </w:t>
      </w:r>
      <w:r w:rsidR="00143CD4">
        <w:t>(CGB</w:t>
      </w:r>
      <w:r>
        <w:t xml:space="preserve"> </w:t>
      </w:r>
      <w:r w:rsidR="00E04CD0">
        <w:t>Mar. 28, 2019</w:t>
      </w:r>
      <w:r w:rsidR="00143CD4">
        <w:t>)</w:t>
      </w:r>
      <w:r w:rsidR="00E04CD0">
        <w:t>.</w:t>
      </w:r>
    </w:p>
  </w:footnote>
  <w:footnote w:id="19">
    <w:p w:rsidR="004568D0" w:rsidRPr="0090682B" w:rsidP="004568D0">
      <w:pPr>
        <w:pStyle w:val="FootnoteText"/>
      </w:pPr>
      <w:r w:rsidRPr="0090682B">
        <w:rPr>
          <w:rStyle w:val="FootnoteReference"/>
        </w:rPr>
        <w:footnoteRef/>
      </w:r>
      <w:r w:rsidRPr="0090682B">
        <w:t xml:space="preserve"> </w:t>
      </w:r>
      <w:r w:rsidRPr="0090682B">
        <w:rPr>
          <w:i/>
        </w:rPr>
        <w:t>Telecommunications Relay Services and Speech-to-Speech Services for Individuals with Hearing and Speech Disabilities; Structure and Practices of the Video Relay Service Program</w:t>
      </w:r>
      <w:r w:rsidRPr="0090682B">
        <w:t>, Report and Order and Order, 32 FCC Rcd 5891, 5916-24, paras. 49-64 (2017) (</w:t>
      </w:r>
      <w:r w:rsidRPr="0090682B">
        <w:rPr>
          <w:i/>
        </w:rPr>
        <w:t>2017 VRS Compensation Order</w:t>
      </w:r>
      <w:r w:rsidRPr="0090682B">
        <w:t>).</w:t>
      </w:r>
    </w:p>
  </w:footnote>
  <w:footnote w:id="20">
    <w:p w:rsidR="004568D0" w:rsidRPr="0090682B" w:rsidP="004568D0">
      <w:pPr>
        <w:pStyle w:val="FootnoteText"/>
      </w:pPr>
      <w:r w:rsidRPr="0090682B">
        <w:rPr>
          <w:rStyle w:val="FootnoteReference"/>
        </w:rPr>
        <w:footnoteRef/>
      </w:r>
      <w:r w:rsidRPr="0090682B">
        <w:t xml:space="preserve"> </w:t>
      </w:r>
      <w:r w:rsidR="002A7090">
        <w:rPr>
          <w:i/>
          <w:iCs/>
        </w:rPr>
        <w:t>Id.</w:t>
      </w:r>
      <w:r w:rsidRPr="0090682B">
        <w:rPr>
          <w:iCs/>
        </w:rPr>
        <w:t xml:space="preserve"> at 5922-23, paras. 60-63.</w:t>
      </w:r>
    </w:p>
  </w:footnote>
  <w:footnote w:id="21">
    <w:p w:rsidR="004568D0" w:rsidRPr="0090682B" w:rsidP="004568D0">
      <w:pPr>
        <w:pStyle w:val="FootnoteText"/>
      </w:pPr>
      <w:r w:rsidRPr="0090682B">
        <w:rPr>
          <w:rStyle w:val="FootnoteReference"/>
        </w:rPr>
        <w:footnoteRef/>
      </w:r>
      <w:r w:rsidRPr="0090682B">
        <w:t xml:space="preserve"> 201</w:t>
      </w:r>
      <w:r w:rsidRPr="0090682B" w:rsidR="00CB6C2F">
        <w:t>9</w:t>
      </w:r>
      <w:r w:rsidRPr="0090682B">
        <w:t xml:space="preserve"> TRS Rate Filing at </w:t>
      </w:r>
      <w:r w:rsidRPr="0090682B" w:rsidR="00CB6C2F">
        <w:t>6-7</w:t>
      </w:r>
      <w:r w:rsidRPr="0090682B" w:rsidR="005A69DF">
        <w:t>,</w:t>
      </w:r>
      <w:r w:rsidRPr="0090682B">
        <w:t xml:space="preserve"> Exh. 2.</w:t>
      </w:r>
    </w:p>
  </w:footnote>
  <w:footnote w:id="22">
    <w:p w:rsidR="004568D0" w:rsidRPr="0090682B" w:rsidP="004568D0">
      <w:pPr>
        <w:pStyle w:val="FootnoteText"/>
      </w:pPr>
      <w:r w:rsidRPr="0090682B">
        <w:rPr>
          <w:rStyle w:val="FootnoteReference"/>
        </w:rPr>
        <w:footnoteRef/>
      </w:r>
      <w:r w:rsidRPr="0090682B">
        <w:t xml:space="preserve"> </w:t>
      </w:r>
      <w:r w:rsidR="008B459F">
        <w:rPr>
          <w:i/>
        </w:rPr>
        <w:t>Id.</w:t>
      </w:r>
      <w:r w:rsidR="008B459F">
        <w:t xml:space="preserve"> </w:t>
      </w:r>
      <w:r w:rsidRPr="0090682B">
        <w:t>at 12.</w:t>
      </w:r>
    </w:p>
  </w:footnote>
  <w:footnote w:id="23">
    <w:p w:rsidR="004568D0" w:rsidRPr="0090682B" w:rsidP="004568D0">
      <w:pPr>
        <w:pStyle w:val="FootnoteText"/>
      </w:pPr>
      <w:r w:rsidRPr="0090682B">
        <w:rPr>
          <w:rStyle w:val="FootnoteReference"/>
        </w:rPr>
        <w:footnoteRef/>
      </w:r>
      <w:r w:rsidRPr="0090682B">
        <w:t xml:space="preserve"> </w:t>
      </w:r>
      <w:r w:rsidR="00226173">
        <w:rPr>
          <w:i/>
        </w:rPr>
        <w:t>Id</w:t>
      </w:r>
      <w:r w:rsidR="00226173">
        <w:t xml:space="preserve">. </w:t>
      </w:r>
      <w:r w:rsidRPr="0090682B">
        <w:t>at Exh. 2.</w:t>
      </w:r>
    </w:p>
  </w:footnote>
  <w:footnote w:id="24">
    <w:p w:rsidR="004568D0" w:rsidRPr="0090682B" w:rsidP="004568D0">
      <w:pPr>
        <w:pStyle w:val="FootnoteText"/>
      </w:pPr>
      <w:r w:rsidRPr="0090682B">
        <w:rPr>
          <w:rStyle w:val="FootnoteReference"/>
        </w:rPr>
        <w:footnoteRef/>
      </w:r>
      <w:r w:rsidR="005E3806">
        <w:rPr>
          <w:i/>
        </w:rPr>
        <w:t>Id</w:t>
      </w:r>
      <w:r w:rsidRPr="0090682B">
        <w:t>.</w:t>
      </w:r>
    </w:p>
  </w:footnote>
  <w:footnote w:id="25">
    <w:p w:rsidR="004568D0" w:rsidRPr="0090682B" w:rsidP="004568D0">
      <w:pPr>
        <w:pStyle w:val="FootnoteText"/>
      </w:pPr>
      <w:r w:rsidRPr="0090682B">
        <w:rPr>
          <w:rStyle w:val="FootnoteReference"/>
        </w:rPr>
        <w:footnoteRef/>
      </w:r>
      <w:r w:rsidRPr="0090682B">
        <w:t xml:space="preserve"> </w:t>
      </w:r>
      <w:r w:rsidR="005E3806">
        <w:rPr>
          <w:i/>
        </w:rPr>
        <w:t>Id.</w:t>
      </w:r>
      <w:r w:rsidR="005E3806">
        <w:t xml:space="preserve"> </w:t>
      </w:r>
      <w:r w:rsidRPr="0090682B">
        <w:t>at 3</w:t>
      </w:r>
      <w:r w:rsidRPr="0090682B" w:rsidR="004C4CD1">
        <w:t>2</w:t>
      </w:r>
      <w:r w:rsidRPr="0090682B">
        <w:t>.</w:t>
      </w:r>
    </w:p>
  </w:footnote>
  <w:footnote w:id="26">
    <w:p w:rsidR="004568D0" w:rsidRPr="0090682B" w:rsidP="004568D0">
      <w:pPr>
        <w:pStyle w:val="FootnoteText"/>
      </w:pPr>
      <w:r w:rsidRPr="0090682B">
        <w:rPr>
          <w:rStyle w:val="FootnoteReference"/>
        </w:rPr>
        <w:footnoteRef/>
      </w:r>
      <w:r w:rsidRPr="0090682B">
        <w:t xml:space="preserve"> </w:t>
      </w:r>
      <w:r w:rsidR="00635B61">
        <w:rPr>
          <w:i/>
        </w:rPr>
        <w:t>Id.</w:t>
      </w:r>
      <w:r w:rsidR="00635B61">
        <w:t xml:space="preserve"> </w:t>
      </w:r>
      <w:r w:rsidRPr="0090682B">
        <w:t>at 3</w:t>
      </w:r>
      <w:r w:rsidRPr="0090682B" w:rsidR="004C4CD1">
        <w:t>3-</w:t>
      </w:r>
      <w:r w:rsidRPr="0090682B">
        <w:t>3</w:t>
      </w:r>
      <w:r w:rsidRPr="0090682B" w:rsidR="004C4CD1">
        <w:t>6</w:t>
      </w:r>
      <w:r w:rsidRPr="0090682B">
        <w:t>.</w:t>
      </w:r>
    </w:p>
  </w:footnote>
  <w:footnote w:id="27">
    <w:p w:rsidR="004568D0" w:rsidRPr="0090682B" w:rsidP="004568D0">
      <w:pPr>
        <w:pStyle w:val="FootnoteText"/>
      </w:pPr>
      <w:r w:rsidRPr="0090682B">
        <w:rPr>
          <w:rStyle w:val="FootnoteReference"/>
        </w:rPr>
        <w:footnoteRef/>
      </w:r>
      <w:r w:rsidRPr="0090682B">
        <w:t xml:space="preserve"> </w:t>
      </w:r>
      <w:r w:rsidR="007203C6">
        <w:rPr>
          <w:i/>
        </w:rPr>
        <w:t>Id.</w:t>
      </w:r>
      <w:r w:rsidR="007203C6">
        <w:t xml:space="preserve"> </w:t>
      </w:r>
      <w:r w:rsidRPr="0090682B">
        <w:t xml:space="preserve">at </w:t>
      </w:r>
      <w:r w:rsidRPr="0090682B" w:rsidR="005A69DF">
        <w:t>37-38, Exh. 2</w:t>
      </w:r>
      <w:r w:rsidRPr="0090682B">
        <w:t>.</w:t>
      </w:r>
    </w:p>
  </w:footnote>
  <w:footnote w:id="28">
    <w:p w:rsidR="00155DDD" w:rsidRPr="0033400D" w:rsidP="00155DDD">
      <w:pPr>
        <w:pStyle w:val="FootnoteText"/>
      </w:pPr>
      <w:r w:rsidRPr="00801F23">
        <w:rPr>
          <w:rStyle w:val="FootnoteReference"/>
        </w:rPr>
        <w:footnoteRef/>
      </w:r>
      <w:r w:rsidRPr="00801F23">
        <w:t xml:space="preserve"> </w:t>
      </w:r>
      <w:r>
        <w:rPr>
          <w:i/>
        </w:rPr>
        <w:t>Electronic Filing of Documents in Rulemaking Proceedings</w:t>
      </w:r>
      <w:r>
        <w:t>, GC Docket No. 97-113, Report and Order, 13 FCC Rcd 11322 (1998).</w:t>
      </w:r>
      <w:r>
        <w:rPr>
          <w:i/>
        </w:rPr>
        <w:t xml:space="preserve">  </w:t>
      </w:r>
    </w:p>
  </w:footnote>
  <w:footnote w:id="29">
    <w:p w:rsidR="00155DDD" w:rsidRPr="00801F23" w:rsidP="00155DDD">
      <w:pPr>
        <w:pStyle w:val="FootnoteText"/>
        <w:rPr>
          <w:i/>
          <w:iCs/>
        </w:rPr>
      </w:pPr>
      <w:r w:rsidRPr="00801F23">
        <w:rPr>
          <w:rStyle w:val="FootnoteReference"/>
        </w:rPr>
        <w:footnoteRef/>
      </w:r>
      <w:r w:rsidRPr="00801F23">
        <w:t xml:space="preserve"> 47 CFR §</w:t>
      </w:r>
      <w:r>
        <w:t>§ </w:t>
      </w:r>
      <w:r w:rsidRPr="00801F23">
        <w:t xml:space="preserve">1.1200 </w:t>
      </w:r>
      <w:r w:rsidRPr="00801F23">
        <w:rPr>
          <w:i/>
          <w:iCs/>
        </w:rPr>
        <w:t>et seq.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8BC" w:rsidRPr="009838BC" w:rsidP="009838BC">
    <w:pPr>
      <w:tabs>
        <w:tab w:val="center" w:pos="4680"/>
        <w:tab w:val="right" w:pos="9360"/>
      </w:tabs>
    </w:pPr>
    <w:r w:rsidRPr="009838BC">
      <w:rPr>
        <w:b/>
      </w:rPr>
      <w:tab/>
      <w:t>Federal Communications Commission</w:t>
    </w:r>
    <w:r w:rsidRPr="009838BC">
      <w:rPr>
        <w:b/>
      </w:rPr>
      <w:tab/>
    </w:r>
    <w:r w:rsidR="00495869">
      <w:rPr>
        <w:b/>
      </w:rPr>
      <w:t>DA 19-407</w:t>
    </w:r>
  </w:p>
  <w:p w:rsidR="009838BC" w:rsidRPr="009838BC" w:rsidP="009838BC">
    <w:pPr>
      <w:tabs>
        <w:tab w:val="left" w:pos="-720"/>
      </w:tabs>
      <w:suppressAutoHyphens/>
      <w:spacing w:line="19" w:lineRule="exact"/>
      <w:rPr>
        <w:spacing w:val="-2"/>
      </w:rPr>
    </w:pPr>
    <w:r>
      <w:rPr>
        <w:noProof/>
      </w:rPr>
      <w:pict>
        <v:rect id="Rectangle 15" o:spid="_x0000_s2049" style="width:468pt;height:0.95pt;margin-top:0;margin-left:0;mso-position-horizontal-relative:margin;position:absolute;visibility:visible;z-index:-251654144" o:allowincell="f" fillcolor="black" stroked="f" strokeweight="0.05pt">
          <w10:wrap anchorx="margin"/>
        </v:rect>
      </w:pict>
    </w:r>
  </w:p>
  <w:p w:rsidR="009838BC" w:rsidRPr="009838BC" w:rsidP="009838BC">
    <w:pPr>
      <w:spacing w:before="40"/>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8BC" w:rsidRPr="00A866AC" w:rsidP="009838BC">
    <w:pPr>
      <w:spacing w:before="40"/>
      <w:rPr>
        <w:rFonts w:ascii="Arial" w:hAnsi="Arial" w:cs="Arial"/>
        <w:b/>
        <w:sz w:val="96"/>
      </w:rPr>
    </w:pPr>
    <w:r>
      <w:rPr>
        <w:noProof/>
      </w:rPr>
      <w:pict>
        <v:shapetype id="_x0000_t202" coordsize="21600,21600" o:spt="202" path="m,l,21600r21600,l21600,xe">
          <v:stroke joinstyle="miter"/>
          <v:path gradientshapeok="t" o:connecttype="rect"/>
        </v:shapetype>
        <v:shape id="Text Box 12" o:spid="_x0000_s2050" type="#_x0000_t202" style="width:244.8pt;height:50.4pt;margin-top:58.35pt;margin-left:-4.5pt;mso-position-horizontal-relative:margin;position:absolute;visibility:visible;z-index:251658240" o:allowincell="f" stroked="f">
          <v:textbox>
            <w:txbxContent>
              <w:p w:rsidR="009838BC" w:rsidP="009838BC">
                <w:pPr>
                  <w:rPr>
                    <w:rFonts w:ascii="Arial" w:hAnsi="Arial"/>
                    <w:b/>
                  </w:rPr>
                </w:pPr>
                <w:r>
                  <w:rPr>
                    <w:rFonts w:ascii="Arial" w:hAnsi="Arial"/>
                    <w:b/>
                  </w:rPr>
                  <w:t>Federal Communications Commission</w:t>
                </w:r>
              </w:p>
              <w:p w:rsidR="009838BC" w:rsidP="009838BC">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9838BC" w:rsidP="009838BC">
                <w:pPr>
                  <w:rPr>
                    <w:rFonts w:ascii="Arial" w:hAnsi="Arial"/>
                    <w:sz w:val="24"/>
                  </w:rPr>
                </w:pPr>
                <w:r>
                  <w:rPr>
                    <w:rFonts w:ascii="Arial" w:hAnsi="Arial"/>
                    <w:b/>
                  </w:rPr>
                  <w:t>Washington, D.C. 20554</w:t>
                </w:r>
              </w:p>
            </w:txbxContent>
          </v:textbox>
          <w10:wrap anchorx="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2051" type="#_x0000_t75" alt="fcc_logo" style="width:41.75pt;height:41.75pt;margin-top:10.75pt;margin-left:-51.25pt;position:absolute;visibility:visible;z-index:251659264" o:allowincell="f">
          <v:imagedata r:id="rId1" o:title="fcc_logo"/>
          <w10:wrap type="topAndBottom"/>
        </v:shape>
      </w:pict>
    </w:r>
    <w:r w:rsidRPr="00A866AC">
      <w:rPr>
        <w:rFonts w:ascii="Arial" w:hAnsi="Arial" w:cs="Arial"/>
        <w:b/>
        <w:sz w:val="96"/>
      </w:rPr>
      <w:t>PUBLIC NOTICE</w:t>
    </w:r>
  </w:p>
  <w:p w:rsidR="009838BC" w:rsidRPr="00357D50" w:rsidP="009838BC">
    <w:pPr>
      <w:spacing w:before="40"/>
      <w:rPr>
        <w:rFonts w:ascii="Arial" w:hAnsi="Arial" w:cs="Arial"/>
        <w:b/>
        <w:sz w:val="96"/>
      </w:rPr>
    </w:pPr>
    <w:r>
      <w:rPr>
        <w:noProof/>
      </w:rPr>
      <w:pict>
        <v:line id="Straight Connector 10" o:spid="_x0000_s2052" style="mso-position-horizontal:right;mso-position-horizontal-relative:margin;mso-wrap-distance-bottom:0pt;mso-wrap-distance-top:0pt;position:absolute;visibility:visible;z-index:251660288" from="5429.6pt,56.7pt" to="5897.6pt,56.7pt" o:allowincell="f">
          <w10:wrap anchorx="margin"/>
        </v:line>
      </w:pict>
    </w:r>
    <w:r>
      <w:rPr>
        <w:noProof/>
      </w:rPr>
      <w:pict>
        <v:shape id="Text Box 9" o:spid="_x0000_s2053" type="#_x0000_t202" style="width:207.95pt;height:35.25pt;margin-top:14.05pt;margin-left:263.25pt;position:absolute;visibility:visible;z-index:251661312" o:allowincell="f" stroked="f">
          <v:textbox inset=",0,,0">
            <w:txbxContent>
              <w:p w:rsidR="009838BC" w:rsidP="009838BC">
                <w:pPr>
                  <w:spacing w:before="40"/>
                  <w:jc w:val="right"/>
                  <w:rPr>
                    <w:rFonts w:ascii="Arial" w:hAnsi="Arial"/>
                    <w:b/>
                    <w:sz w:val="16"/>
                  </w:rPr>
                </w:pPr>
                <w:r>
                  <w:rPr>
                    <w:rFonts w:ascii="Arial" w:hAnsi="Arial"/>
                    <w:b/>
                    <w:sz w:val="16"/>
                  </w:rPr>
                  <w:t>News Media Information 202 / 418-0500</w:t>
                </w:r>
              </w:p>
              <w:p w:rsidR="009838BC" w:rsidP="009838BC">
                <w:pPr>
                  <w:jc w:val="right"/>
                  <w:rPr>
                    <w:rFonts w:ascii="Arial" w:hAnsi="Arial"/>
                    <w:b/>
                    <w:sz w:val="16"/>
                  </w:rPr>
                </w:pPr>
                <w:r>
                  <w:rPr>
                    <w:rFonts w:ascii="Arial" w:hAnsi="Arial"/>
                    <w:b/>
                    <w:sz w:val="16"/>
                  </w:rPr>
                  <w:t xml:space="preserve">Internet: </w:t>
                </w:r>
                <w:bookmarkStart w:id="2" w:name="_Hlt233824"/>
                <w:hyperlink r:id="rId2" w:history="1">
                  <w:r w:rsidRPr="00D216CD">
                    <w:rPr>
                      <w:rStyle w:val="Hyperlink"/>
                      <w:rFonts w:ascii="Arial" w:hAnsi="Arial"/>
                      <w:b/>
                      <w:sz w:val="16"/>
                    </w:rPr>
                    <w:t>h</w:t>
                  </w:r>
                  <w:bookmarkEnd w:id="2"/>
                  <w:r w:rsidRPr="00D216CD">
                    <w:rPr>
                      <w:rStyle w:val="Hyperlink"/>
                      <w:rFonts w:ascii="Arial" w:hAnsi="Arial"/>
                      <w:b/>
                      <w:sz w:val="16"/>
                    </w:rPr>
                    <w:t>ttps://www.fcc.gov</w:t>
                  </w:r>
                </w:hyperlink>
              </w:p>
              <w:p w:rsidR="009838BC" w:rsidP="009838BC">
                <w:pPr>
                  <w:jc w:val="right"/>
                </w:pPr>
                <w:r>
                  <w:rPr>
                    <w:rFonts w:ascii="Arial" w:hAnsi="Arial"/>
                    <w:b/>
                    <w:sz w:val="16"/>
                  </w:rPr>
                  <w:t>TTY: 1-888-835-5322</w:t>
                </w:r>
              </w:p>
            </w:txbxContent>
          </v:textbox>
        </v:shape>
      </w:pict>
    </w:r>
  </w:p>
  <w:p w:rsidR="006F7393" w:rsidRPr="009838BC" w:rsidP="009838BC">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3AAB79B7"/>
    <w:multiLevelType w:val="hybridMultilevel"/>
    <w:tmpl w:val="E6A28F9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Symbol"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Symbol" w:hint="default"/>
      </w:rPr>
    </w:lvl>
    <w:lvl w:ilvl="8">
      <w:start w:val="1"/>
      <w:numFmt w:val="bullet"/>
      <w:lvlText w:val=""/>
      <w:lvlJc w:val="left"/>
      <w:pPr>
        <w:ind w:left="7200" w:hanging="360"/>
      </w:pPr>
      <w:rPr>
        <w:rFonts w:ascii="Wingdings" w:hAnsi="Wingdings" w:hint="default"/>
      </w:rPr>
    </w:lvl>
  </w:abstractNum>
  <w:abstractNum w:abstractNumId="5">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7">
    <w:nsid w:val="79114800"/>
    <w:multiLevelType w:val="hybridMultilevel"/>
    <w:tmpl w:val="C016BA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92D"/>
    <w:rsid w:val="000072CE"/>
    <w:rsid w:val="00013A8B"/>
    <w:rsid w:val="00021445"/>
    <w:rsid w:val="00036039"/>
    <w:rsid w:val="00037F90"/>
    <w:rsid w:val="000875BF"/>
    <w:rsid w:val="00096D8C"/>
    <w:rsid w:val="000C0B65"/>
    <w:rsid w:val="000D7702"/>
    <w:rsid w:val="000E3D42"/>
    <w:rsid w:val="000E5884"/>
    <w:rsid w:val="00122BD5"/>
    <w:rsid w:val="00122FC1"/>
    <w:rsid w:val="00143CD4"/>
    <w:rsid w:val="00146127"/>
    <w:rsid w:val="00155DDD"/>
    <w:rsid w:val="00196AB9"/>
    <w:rsid w:val="001979D9"/>
    <w:rsid w:val="001A1B12"/>
    <w:rsid w:val="001D6BCF"/>
    <w:rsid w:val="001E01CA"/>
    <w:rsid w:val="001F40FE"/>
    <w:rsid w:val="00204A22"/>
    <w:rsid w:val="002060D9"/>
    <w:rsid w:val="00226173"/>
    <w:rsid w:val="00226822"/>
    <w:rsid w:val="00260594"/>
    <w:rsid w:val="00267378"/>
    <w:rsid w:val="00285017"/>
    <w:rsid w:val="002A2D2E"/>
    <w:rsid w:val="002A3A76"/>
    <w:rsid w:val="002A7090"/>
    <w:rsid w:val="00302E37"/>
    <w:rsid w:val="00320847"/>
    <w:rsid w:val="0033400D"/>
    <w:rsid w:val="003431D3"/>
    <w:rsid w:val="00343749"/>
    <w:rsid w:val="00357D50"/>
    <w:rsid w:val="003813E7"/>
    <w:rsid w:val="003925DC"/>
    <w:rsid w:val="003B0550"/>
    <w:rsid w:val="003B694F"/>
    <w:rsid w:val="003F171C"/>
    <w:rsid w:val="003F2301"/>
    <w:rsid w:val="00412FC5"/>
    <w:rsid w:val="00422276"/>
    <w:rsid w:val="004242F1"/>
    <w:rsid w:val="00440345"/>
    <w:rsid w:val="0044367C"/>
    <w:rsid w:val="00445A00"/>
    <w:rsid w:val="00451B0F"/>
    <w:rsid w:val="004568D0"/>
    <w:rsid w:val="0046125F"/>
    <w:rsid w:val="00487524"/>
    <w:rsid w:val="0048798F"/>
    <w:rsid w:val="00492D4B"/>
    <w:rsid w:val="00495869"/>
    <w:rsid w:val="00496106"/>
    <w:rsid w:val="004B20D2"/>
    <w:rsid w:val="004C12D0"/>
    <w:rsid w:val="004C2EE3"/>
    <w:rsid w:val="004C4CD1"/>
    <w:rsid w:val="004E4A22"/>
    <w:rsid w:val="00511968"/>
    <w:rsid w:val="0055614C"/>
    <w:rsid w:val="00576B88"/>
    <w:rsid w:val="005A69DF"/>
    <w:rsid w:val="005B2B1A"/>
    <w:rsid w:val="005E3806"/>
    <w:rsid w:val="00607BA5"/>
    <w:rsid w:val="0061054C"/>
    <w:rsid w:val="00626EB6"/>
    <w:rsid w:val="00634DE4"/>
    <w:rsid w:val="006353A3"/>
    <w:rsid w:val="00635B61"/>
    <w:rsid w:val="00655D03"/>
    <w:rsid w:val="00672DD5"/>
    <w:rsid w:val="00683F84"/>
    <w:rsid w:val="006A6A81"/>
    <w:rsid w:val="006B172E"/>
    <w:rsid w:val="006E26AF"/>
    <w:rsid w:val="006F7393"/>
    <w:rsid w:val="0070224F"/>
    <w:rsid w:val="007115F7"/>
    <w:rsid w:val="007203C6"/>
    <w:rsid w:val="007653C3"/>
    <w:rsid w:val="007744F0"/>
    <w:rsid w:val="00785689"/>
    <w:rsid w:val="0079754B"/>
    <w:rsid w:val="007A1E6D"/>
    <w:rsid w:val="007D410E"/>
    <w:rsid w:val="007E5C43"/>
    <w:rsid w:val="00801F23"/>
    <w:rsid w:val="00807C7E"/>
    <w:rsid w:val="00822CE0"/>
    <w:rsid w:val="00837C62"/>
    <w:rsid w:val="00841AB1"/>
    <w:rsid w:val="008A43EA"/>
    <w:rsid w:val="008B459F"/>
    <w:rsid w:val="008C22FD"/>
    <w:rsid w:val="008D039F"/>
    <w:rsid w:val="0090682B"/>
    <w:rsid w:val="00910F12"/>
    <w:rsid w:val="00926503"/>
    <w:rsid w:val="00930ECF"/>
    <w:rsid w:val="00944766"/>
    <w:rsid w:val="00951810"/>
    <w:rsid w:val="00972264"/>
    <w:rsid w:val="009838BC"/>
    <w:rsid w:val="009C424C"/>
    <w:rsid w:val="009F07AC"/>
    <w:rsid w:val="00A15242"/>
    <w:rsid w:val="00A418F9"/>
    <w:rsid w:val="00A45F4F"/>
    <w:rsid w:val="00A600A9"/>
    <w:rsid w:val="00A6742E"/>
    <w:rsid w:val="00A866AC"/>
    <w:rsid w:val="00AA55B7"/>
    <w:rsid w:val="00AA5B9E"/>
    <w:rsid w:val="00AB2407"/>
    <w:rsid w:val="00AB53DF"/>
    <w:rsid w:val="00AC61BC"/>
    <w:rsid w:val="00AE70FB"/>
    <w:rsid w:val="00B07E5C"/>
    <w:rsid w:val="00B326E3"/>
    <w:rsid w:val="00B64B81"/>
    <w:rsid w:val="00B811F7"/>
    <w:rsid w:val="00B842AE"/>
    <w:rsid w:val="00BA1278"/>
    <w:rsid w:val="00BA5DC6"/>
    <w:rsid w:val="00BA6196"/>
    <w:rsid w:val="00BC5214"/>
    <w:rsid w:val="00BC6D8C"/>
    <w:rsid w:val="00C05524"/>
    <w:rsid w:val="00C16AF2"/>
    <w:rsid w:val="00C17B76"/>
    <w:rsid w:val="00C276DA"/>
    <w:rsid w:val="00C315A7"/>
    <w:rsid w:val="00C34006"/>
    <w:rsid w:val="00C426B1"/>
    <w:rsid w:val="00C82B6B"/>
    <w:rsid w:val="00C90D6A"/>
    <w:rsid w:val="00CB6C2F"/>
    <w:rsid w:val="00CC72B6"/>
    <w:rsid w:val="00CD3EBB"/>
    <w:rsid w:val="00CE034F"/>
    <w:rsid w:val="00CE78F4"/>
    <w:rsid w:val="00D0218D"/>
    <w:rsid w:val="00D152C0"/>
    <w:rsid w:val="00D216CD"/>
    <w:rsid w:val="00D311AD"/>
    <w:rsid w:val="00DA2529"/>
    <w:rsid w:val="00DB130A"/>
    <w:rsid w:val="00DB28A6"/>
    <w:rsid w:val="00DC10A1"/>
    <w:rsid w:val="00DC3D36"/>
    <w:rsid w:val="00DC492D"/>
    <w:rsid w:val="00DC655F"/>
    <w:rsid w:val="00DD5461"/>
    <w:rsid w:val="00DD7EBD"/>
    <w:rsid w:val="00DF62B6"/>
    <w:rsid w:val="00E04AE7"/>
    <w:rsid w:val="00E04CD0"/>
    <w:rsid w:val="00E07225"/>
    <w:rsid w:val="00E155B7"/>
    <w:rsid w:val="00E5409F"/>
    <w:rsid w:val="00E80334"/>
    <w:rsid w:val="00E932A4"/>
    <w:rsid w:val="00EB4851"/>
    <w:rsid w:val="00EC0185"/>
    <w:rsid w:val="00EF671F"/>
    <w:rsid w:val="00F021FA"/>
    <w:rsid w:val="00F57ACA"/>
    <w:rsid w:val="00F62E97"/>
    <w:rsid w:val="00F64209"/>
    <w:rsid w:val="00F74FA6"/>
    <w:rsid w:val="00F93BF5"/>
    <w:rsid w:val="00F96F63"/>
    <w:rsid w:val="00FB6BA1"/>
    <w:rsid w:val="00FE2E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F39FC03-090A-4EE1-9A70-C0695760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F90"/>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1"/>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Footnote Text Char Char Char Char,Footnote Text Char Char Char Char Char Char,Footnote Text Char1 Char Char Char Char,Footnote Text Char1 Char1 Char,Footnote Text Char3 Char Char Char Char Char Char Char,f,fn Char Char"/>
    <w:link w:val="FootnoteTextChar1"/>
    <w:rsid w:val="000E3D42"/>
    <w:pPr>
      <w:spacing w:after="120"/>
    </w:p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rsid w:val="00302E37"/>
    <w:rPr>
      <w:rFonts w:ascii="Times New Roman" w:hAnsi="Times New Roman"/>
      <w:dstrike w:val="0"/>
      <w:color w:val="auto"/>
      <w:sz w:val="20"/>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rsid w:val="00837C62"/>
    <w:pPr>
      <w:tabs>
        <w:tab w:val="center" w:pos="4680"/>
        <w:tab w:val="right" w:pos="9360"/>
      </w:tabs>
      <w:ind w:firstLine="1080"/>
    </w:pPr>
    <w:rPr>
      <w:rFonts w:ascii="Arial" w:hAnsi="Arial" w:cs="Arial"/>
      <w:b/>
      <w:sz w:val="96"/>
      <w:szCs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uiPriority w:val="99"/>
    <w:rsid w:val="002A2D2E"/>
    <w:rPr>
      <w:color w:val="0000FF"/>
      <w:u w:val="single"/>
    </w:rPr>
  </w:style>
  <w:style w:type="character" w:customStyle="1" w:styleId="FooterChar">
    <w:name w:val="Footer Char"/>
    <w:link w:val="Footer"/>
    <w:uiPriority w:val="99"/>
    <w:rsid w:val="00910F12"/>
    <w:rPr>
      <w:snapToGrid w:val="0"/>
      <w:kern w:val="28"/>
      <w:sz w:val="22"/>
    </w:rPr>
  </w:style>
  <w:style w:type="character" w:customStyle="1" w:styleId="FootnoteTextChar1">
    <w:name w:val="Footnote Text Char1"/>
    <w:aliases w:val="Footnote Text Char Char,Footnote Text Char Char Char Char Char,Footnote Text Char Char Char Char Char Char Char,Footnote Text Char1 Char Char Char Char Char,Footnote Text Char1 Char1 Char Char,f Char,fn Char Char Char"/>
    <w:link w:val="FootnoteText"/>
    <w:locked/>
    <w:rsid w:val="00DC492D"/>
  </w:style>
  <w:style w:type="paragraph" w:styleId="BodyText">
    <w:name w:val="Body Text"/>
    <w:basedOn w:val="Normal"/>
    <w:link w:val="BodyTextChar1"/>
    <w:rsid w:val="00DC492D"/>
    <w:pPr>
      <w:spacing w:after="120"/>
      <w:ind w:firstLine="720"/>
    </w:pPr>
    <w:rPr>
      <w:snapToGrid/>
      <w:kern w:val="0"/>
      <w:lang w:val="x-none" w:eastAsia="x-none"/>
    </w:rPr>
  </w:style>
  <w:style w:type="character" w:customStyle="1" w:styleId="BodyTextChar">
    <w:name w:val="Body Text Char"/>
    <w:uiPriority w:val="99"/>
    <w:semiHidden/>
    <w:rsid w:val="00DC492D"/>
    <w:rPr>
      <w:snapToGrid w:val="0"/>
      <w:kern w:val="28"/>
      <w:sz w:val="22"/>
    </w:rPr>
  </w:style>
  <w:style w:type="character" w:customStyle="1" w:styleId="BodyTextChar1">
    <w:name w:val="Body Text Char1"/>
    <w:link w:val="BodyText"/>
    <w:rsid w:val="00DC492D"/>
    <w:rPr>
      <w:sz w:val="22"/>
      <w:lang w:val="x-none" w:eastAsia="x-none"/>
    </w:rPr>
  </w:style>
  <w:style w:type="character" w:customStyle="1" w:styleId="ParaNumChar1">
    <w:name w:val="ParaNum Char1"/>
    <w:link w:val="ParaNum"/>
    <w:rsid w:val="004568D0"/>
    <w:rPr>
      <w:snapToGrid w:val="0"/>
      <w:kern w:val="28"/>
      <w:sz w:val="22"/>
    </w:rPr>
  </w:style>
  <w:style w:type="character" w:customStyle="1" w:styleId="UnresolvedMention">
    <w:name w:val="Unresolved Mention"/>
    <w:uiPriority w:val="99"/>
    <w:semiHidden/>
    <w:unhideWhenUsed/>
    <w:rsid w:val="0090682B"/>
    <w:rPr>
      <w:color w:val="605E5C"/>
      <w:shd w:val="clear" w:color="auto" w:fill="E1DFDD"/>
    </w:rPr>
  </w:style>
  <w:style w:type="paragraph" w:styleId="BalloonText">
    <w:name w:val="Balloon Text"/>
    <w:basedOn w:val="Normal"/>
    <w:link w:val="BalloonTextChar"/>
    <w:uiPriority w:val="99"/>
    <w:semiHidden/>
    <w:unhideWhenUsed/>
    <w:rsid w:val="008D039F"/>
    <w:rPr>
      <w:rFonts w:ascii="Segoe UI" w:hAnsi="Segoe UI" w:cs="Segoe UI"/>
      <w:sz w:val="18"/>
      <w:szCs w:val="18"/>
    </w:rPr>
  </w:style>
  <w:style w:type="character" w:customStyle="1" w:styleId="BalloonTextChar">
    <w:name w:val="Balloon Text Char"/>
    <w:link w:val="BalloonText"/>
    <w:uiPriority w:val="99"/>
    <w:semiHidden/>
    <w:rsid w:val="008D039F"/>
    <w:rPr>
      <w:rFonts w:ascii="Segoe UI" w:hAnsi="Segoe UI" w:cs="Segoe UI"/>
      <w:snapToGrid w:val="0"/>
      <w:kern w:val="28"/>
      <w:sz w:val="18"/>
      <w:szCs w:val="18"/>
    </w:rPr>
  </w:style>
  <w:style w:type="paragraph" w:customStyle="1" w:styleId="Convertcase">
    <w:name w:val="Convert case"/>
    <w:basedOn w:val="Normal"/>
    <w:rsid w:val="00122FC1"/>
    <w:pPr>
      <w:widowControl/>
      <w:autoSpaceDE w:val="0"/>
      <w:autoSpaceDN w:val="0"/>
      <w:adjustRightInd w:val="0"/>
    </w:pPr>
    <w:rPr>
      <w:rFonts w:ascii="TimesNewRomanPS-BoldMT" w:hAnsi="TimesNewRomanPS-BoldMT" w:cs="TimesNewRomanPS-BoldMT"/>
      <w:bCs/>
      <w:snapToGrid/>
      <w:kern w:val="0"/>
      <w:sz w:val="20"/>
    </w:rPr>
  </w:style>
  <w:style w:type="character" w:styleId="CommentReference">
    <w:name w:val="annotation reference"/>
    <w:uiPriority w:val="99"/>
    <w:semiHidden/>
    <w:unhideWhenUsed/>
    <w:rsid w:val="00576B88"/>
    <w:rPr>
      <w:sz w:val="16"/>
      <w:szCs w:val="16"/>
    </w:rPr>
  </w:style>
  <w:style w:type="paragraph" w:styleId="CommentText">
    <w:name w:val="annotation text"/>
    <w:basedOn w:val="Normal"/>
    <w:link w:val="CommentTextChar"/>
    <w:uiPriority w:val="99"/>
    <w:semiHidden/>
    <w:unhideWhenUsed/>
    <w:rsid w:val="00576B88"/>
    <w:rPr>
      <w:sz w:val="20"/>
    </w:rPr>
  </w:style>
  <w:style w:type="character" w:customStyle="1" w:styleId="CommentTextChar">
    <w:name w:val="Comment Text Char"/>
    <w:link w:val="CommentText"/>
    <w:uiPriority w:val="99"/>
    <w:semiHidden/>
    <w:rsid w:val="00576B88"/>
    <w:rPr>
      <w:snapToGrid w:val="0"/>
      <w:kern w:val="28"/>
    </w:rPr>
  </w:style>
  <w:style w:type="paragraph" w:styleId="CommentSubject">
    <w:name w:val="annotation subject"/>
    <w:basedOn w:val="CommentText"/>
    <w:next w:val="CommentText"/>
    <w:link w:val="CommentSubjectChar"/>
    <w:uiPriority w:val="99"/>
    <w:semiHidden/>
    <w:unhideWhenUsed/>
    <w:rsid w:val="00576B88"/>
    <w:rPr>
      <w:b/>
      <w:bCs/>
    </w:rPr>
  </w:style>
  <w:style w:type="character" w:customStyle="1" w:styleId="CommentSubjectChar">
    <w:name w:val="Comment Subject Char"/>
    <w:link w:val="CommentSubject"/>
    <w:uiPriority w:val="99"/>
    <w:semiHidden/>
    <w:rsid w:val="00576B88"/>
    <w:rPr>
      <w:b/>
      <w:bCs/>
      <w:snapToGrid w:val="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fcc.gov/ecfs/" TargetMode="External" /><Relationship Id="rId6" Type="http://schemas.openxmlformats.org/officeDocument/2006/relationships/hyperlink" Target="mailto:Michael.Scott@fcc.gov" TargetMode="External" /><Relationship Id="rId7" Type="http://schemas.openxmlformats.org/officeDocument/2006/relationships/hyperlink" Target="mailto:Eliot.Greenwald@fcc.gov" TargetMode="External" /><Relationship Id="rId8" Type="http://schemas.openxmlformats.org/officeDocument/2006/relationships/header" Target="header1.xml" /><Relationship Id="rId9" Type="http://schemas.openxmlformats.org/officeDocument/2006/relationships/footer" Target="footer1.xml" /></Relationships>
</file>

<file path=word/_rels/footnotes.xml.rels>&#65279;<?xml version="1.0" encoding="utf-8" standalone="yes"?><Relationships xmlns="http://schemas.openxmlformats.org/package/2006/relationships"><Relationship Id="rId1" Type="http://schemas.openxmlformats.org/officeDocument/2006/relationships/hyperlink" Target="https://ecfsapi.fcc.gov/file/10321798025208/Request%20for%20Waiver%20-%20REDACTED%20plus%20attachment.pdf" TargetMode="External" /><Relationship Id="rId2" Type="http://schemas.openxmlformats.org/officeDocument/2006/relationships/hyperlink" Target="https://ecfsapi.fcc.gov/file/10409989730840/Sprint%20IP%20Relay%20Waiver%20Supplement%20-%20REDACTED%20-%2004.09.2019%20AS-FILED.pdf" TargetMode="Externa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www.fcc.gov"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M:\forms\OS%20Process\Public%20Notice%20Portrai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Public Notice Portrait</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