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D17E95" w:rsidRPr="00D17E95" w:rsidP="00D17E95" w14:paraId="4BC79133" w14:textId="77777777">
      <w:pPr>
        <w:jc w:val="center"/>
        <w:rPr>
          <w:b/>
          <w:bCs/>
          <w:szCs w:val="22"/>
        </w:rPr>
      </w:pPr>
      <w:r w:rsidRPr="00D17E95">
        <w:rPr>
          <w:b/>
          <w:bCs/>
          <w:szCs w:val="22"/>
        </w:rPr>
        <w:t>Before the</w:t>
      </w:r>
    </w:p>
    <w:p w:rsidR="00D17E95" w:rsidRPr="00D17E95" w:rsidP="00D17E95" w14:paraId="421A1CAE" w14:textId="77777777">
      <w:pPr>
        <w:jc w:val="center"/>
        <w:rPr>
          <w:rFonts w:ascii="Times New Roman Bold" w:hAnsi="Times New Roman Bold"/>
          <w:b/>
          <w:bCs/>
          <w:caps/>
          <w:szCs w:val="22"/>
        </w:rPr>
      </w:pPr>
      <w:r w:rsidRPr="00D17E95">
        <w:rPr>
          <w:rFonts w:ascii="Times New Roman Bold" w:hAnsi="Times New Roman Bold"/>
          <w:b/>
          <w:bCs/>
          <w:caps/>
          <w:szCs w:val="22"/>
        </w:rPr>
        <w:t>F</w:t>
      </w:r>
      <w:r w:rsidRPr="00D17E95">
        <w:rPr>
          <w:b/>
          <w:bCs/>
          <w:szCs w:val="22"/>
        </w:rPr>
        <w:t>ederal Communications Commission</w:t>
      </w:r>
    </w:p>
    <w:p w:rsidR="00D17E95" w:rsidRPr="00D17E95" w:rsidP="00D17E95" w14:paraId="7ECB202A" w14:textId="77777777">
      <w:pPr>
        <w:jc w:val="center"/>
        <w:rPr>
          <w:rFonts w:ascii="Times New Roman Bold" w:hAnsi="Times New Roman Bold"/>
          <w:b/>
          <w:bCs/>
          <w:caps/>
          <w:szCs w:val="22"/>
        </w:rPr>
      </w:pPr>
      <w:r w:rsidRPr="00D17E95">
        <w:rPr>
          <w:b/>
          <w:bCs/>
          <w:szCs w:val="22"/>
        </w:rPr>
        <w:t>Washington, D.C. 20554</w:t>
      </w:r>
    </w:p>
    <w:p w:rsidR="00D17E95" w:rsidRPr="00D17E95" w:rsidP="00D17E95" w14:paraId="519DED1C" w14:textId="77777777"/>
    <w:p w:rsidR="00D17E95" w:rsidRPr="00D17E95" w:rsidP="00D17E95" w14:paraId="329E1CC5" w14:textId="77777777"/>
    <w:tbl>
      <w:tblPr>
        <w:tblW w:w="0" w:type="auto"/>
        <w:tblLayout w:type="fixed"/>
        <w:tblLook w:val="0000"/>
      </w:tblPr>
      <w:tblGrid>
        <w:gridCol w:w="4698"/>
        <w:gridCol w:w="630"/>
        <w:gridCol w:w="4248"/>
      </w:tblGrid>
      <w:tr w14:paraId="77E0337E" w14:textId="77777777" w:rsidTr="000A4B60">
        <w:tblPrEx>
          <w:tblW w:w="0" w:type="auto"/>
          <w:tblLayout w:type="fixed"/>
          <w:tblLook w:val="0000"/>
        </w:tblPrEx>
        <w:tc>
          <w:tcPr>
            <w:tcW w:w="4698" w:type="dxa"/>
          </w:tcPr>
          <w:p w:rsidR="00D17E95" w:rsidRPr="00D17E95" w:rsidP="00D17E95" w14:paraId="76C283FC" w14:textId="77777777">
            <w:pPr>
              <w:tabs>
                <w:tab w:val="center" w:pos="4680"/>
              </w:tabs>
              <w:suppressAutoHyphens/>
              <w:rPr>
                <w:spacing w:val="-2"/>
              </w:rPr>
            </w:pPr>
            <w:r w:rsidRPr="00D17E95">
              <w:rPr>
                <w:spacing w:val="-2"/>
              </w:rPr>
              <w:t>In the Matter of</w:t>
            </w:r>
          </w:p>
          <w:p w:rsidR="00D17E95" w:rsidRPr="00D17E95" w:rsidP="00D17E95" w14:paraId="1F4E5342" w14:textId="77777777">
            <w:pPr>
              <w:tabs>
                <w:tab w:val="center" w:pos="4680"/>
              </w:tabs>
              <w:suppressAutoHyphens/>
              <w:rPr>
                <w:spacing w:val="-2"/>
              </w:rPr>
            </w:pPr>
          </w:p>
          <w:p w:rsidR="00D17E95" w:rsidRPr="00D17E95" w:rsidP="00D17E95" w14:paraId="1ADCD66F" w14:textId="77777777">
            <w:pPr>
              <w:tabs>
                <w:tab w:val="center" w:pos="4680"/>
              </w:tabs>
              <w:suppressAutoHyphens/>
              <w:rPr>
                <w:spacing w:val="-2"/>
              </w:rPr>
            </w:pPr>
            <w:r w:rsidRPr="00D17E95">
              <w:rPr>
                <w:spacing w:val="-2"/>
              </w:rPr>
              <w:t>Telecommunications Relay Services and Speech-to-Speech Services for Individuals with Hearing and Speech Disabilities</w:t>
            </w:r>
          </w:p>
          <w:p w:rsidR="00D17E95" w:rsidRPr="00D17E95" w:rsidP="00D17E95" w14:paraId="251B106E" w14:textId="77777777">
            <w:pPr>
              <w:tabs>
                <w:tab w:val="center" w:pos="4680"/>
              </w:tabs>
              <w:suppressAutoHyphens/>
              <w:rPr>
                <w:spacing w:val="-2"/>
              </w:rPr>
            </w:pPr>
          </w:p>
          <w:p w:rsidR="00777E54" w:rsidP="00777E54" w14:paraId="50DBFD8A" w14:textId="77777777">
            <w:pPr>
              <w:tabs>
                <w:tab w:val="center" w:pos="4680"/>
              </w:tabs>
              <w:suppressAutoHyphens/>
              <w:rPr>
                <w:spacing w:val="-2"/>
              </w:rPr>
            </w:pPr>
            <w:r>
              <w:rPr>
                <w:spacing w:val="-2"/>
              </w:rPr>
              <w:t xml:space="preserve">Hamilton Relay, Inc., and Sprint Corporation </w:t>
            </w:r>
          </w:p>
          <w:p w:rsidR="00777E54" w:rsidP="00777E54" w14:paraId="229A6908" w14:textId="77777777">
            <w:pPr>
              <w:tabs>
                <w:tab w:val="center" w:pos="4680"/>
              </w:tabs>
              <w:suppressAutoHyphens/>
              <w:rPr>
                <w:spacing w:val="-2"/>
              </w:rPr>
            </w:pPr>
          </w:p>
          <w:p w:rsidR="00D17E95" w:rsidRPr="00D17E95" w:rsidP="00777E54" w14:paraId="1A5216F7" w14:textId="18BC1FD7">
            <w:pPr>
              <w:tabs>
                <w:tab w:val="center" w:pos="4680"/>
              </w:tabs>
              <w:suppressAutoHyphens/>
              <w:rPr>
                <w:spacing w:val="-2"/>
              </w:rPr>
            </w:pPr>
            <w:r>
              <w:rPr>
                <w:spacing w:val="-2"/>
              </w:rPr>
              <w:t>Petitions for Interim Waiver of Sections 64.604(b)(3) and 64.604(a)(3)(ii)</w:t>
            </w:r>
          </w:p>
        </w:tc>
        <w:tc>
          <w:tcPr>
            <w:tcW w:w="630" w:type="dxa"/>
          </w:tcPr>
          <w:p w:rsidR="00D17E95" w:rsidRPr="00D17E95" w:rsidP="00D17E95" w14:paraId="5A47D4C0" w14:textId="77777777">
            <w:pPr>
              <w:tabs>
                <w:tab w:val="center" w:pos="4680"/>
              </w:tabs>
              <w:suppressAutoHyphens/>
              <w:rPr>
                <w:b/>
                <w:spacing w:val="-2"/>
              </w:rPr>
            </w:pPr>
            <w:r w:rsidRPr="00D17E95">
              <w:rPr>
                <w:b/>
                <w:spacing w:val="-2"/>
              </w:rPr>
              <w:t>)</w:t>
            </w:r>
          </w:p>
          <w:p w:rsidR="00D17E95" w:rsidRPr="00D17E95" w:rsidP="00D17E95" w14:paraId="10B9AD7C" w14:textId="77777777">
            <w:pPr>
              <w:tabs>
                <w:tab w:val="center" w:pos="4680"/>
              </w:tabs>
              <w:suppressAutoHyphens/>
              <w:rPr>
                <w:b/>
                <w:spacing w:val="-2"/>
              </w:rPr>
            </w:pPr>
            <w:r w:rsidRPr="00D17E95">
              <w:rPr>
                <w:b/>
                <w:spacing w:val="-2"/>
              </w:rPr>
              <w:t>)</w:t>
            </w:r>
          </w:p>
          <w:p w:rsidR="00D17E95" w:rsidRPr="00D17E95" w:rsidP="00D17E95" w14:paraId="3E411875" w14:textId="77777777">
            <w:pPr>
              <w:tabs>
                <w:tab w:val="center" w:pos="4680"/>
              </w:tabs>
              <w:suppressAutoHyphens/>
              <w:rPr>
                <w:b/>
                <w:spacing w:val="-2"/>
              </w:rPr>
            </w:pPr>
            <w:r w:rsidRPr="00D17E95">
              <w:rPr>
                <w:b/>
                <w:spacing w:val="-2"/>
              </w:rPr>
              <w:t>)</w:t>
            </w:r>
          </w:p>
          <w:p w:rsidR="00D17E95" w:rsidRPr="00D17E95" w:rsidP="00D17E95" w14:paraId="62541300" w14:textId="77777777">
            <w:pPr>
              <w:tabs>
                <w:tab w:val="center" w:pos="4680"/>
              </w:tabs>
              <w:suppressAutoHyphens/>
              <w:rPr>
                <w:b/>
                <w:spacing w:val="-2"/>
              </w:rPr>
            </w:pPr>
            <w:r w:rsidRPr="00D17E95">
              <w:rPr>
                <w:b/>
                <w:spacing w:val="-2"/>
              </w:rPr>
              <w:t>)</w:t>
            </w:r>
          </w:p>
          <w:p w:rsidR="00D17E95" w:rsidRPr="00D17E95" w:rsidP="00D17E95" w14:paraId="4E69C050" w14:textId="77777777">
            <w:pPr>
              <w:tabs>
                <w:tab w:val="center" w:pos="4680"/>
              </w:tabs>
              <w:suppressAutoHyphens/>
              <w:rPr>
                <w:b/>
                <w:spacing w:val="-2"/>
              </w:rPr>
            </w:pPr>
            <w:r w:rsidRPr="00D17E95">
              <w:rPr>
                <w:b/>
                <w:spacing w:val="-2"/>
              </w:rPr>
              <w:t>)</w:t>
            </w:r>
          </w:p>
          <w:p w:rsidR="00D17E95" w:rsidRPr="00D17E95" w:rsidP="00D17E95" w14:paraId="4A03AAAF" w14:textId="77777777">
            <w:pPr>
              <w:tabs>
                <w:tab w:val="center" w:pos="4680"/>
              </w:tabs>
              <w:suppressAutoHyphens/>
              <w:rPr>
                <w:b/>
                <w:spacing w:val="-2"/>
              </w:rPr>
            </w:pPr>
            <w:r w:rsidRPr="00D17E95">
              <w:rPr>
                <w:b/>
                <w:spacing w:val="-2"/>
              </w:rPr>
              <w:t>)</w:t>
            </w:r>
          </w:p>
          <w:p w:rsidR="00D17E95" w:rsidRPr="00777E54" w:rsidP="00D17E95" w14:paraId="2F77D031" w14:textId="77777777">
            <w:pPr>
              <w:tabs>
                <w:tab w:val="center" w:pos="4680"/>
              </w:tabs>
              <w:suppressAutoHyphens/>
              <w:rPr>
                <w:b/>
                <w:spacing w:val="-2"/>
              </w:rPr>
            </w:pPr>
            <w:r w:rsidRPr="00777E54">
              <w:rPr>
                <w:b/>
                <w:spacing w:val="-2"/>
              </w:rPr>
              <w:t>)</w:t>
            </w:r>
          </w:p>
          <w:p w:rsidR="00777E54" w:rsidRPr="00777E54" w:rsidP="00D17E95" w14:paraId="740BABDD" w14:textId="77777777">
            <w:pPr>
              <w:tabs>
                <w:tab w:val="center" w:pos="4680"/>
              </w:tabs>
              <w:suppressAutoHyphens/>
              <w:rPr>
                <w:b/>
                <w:spacing w:val="-2"/>
              </w:rPr>
            </w:pPr>
            <w:r w:rsidRPr="00777E54">
              <w:rPr>
                <w:b/>
                <w:spacing w:val="-2"/>
              </w:rPr>
              <w:t>)</w:t>
            </w:r>
          </w:p>
          <w:p w:rsidR="00777E54" w:rsidRPr="00777E54" w:rsidP="00D17E95" w14:paraId="45397613" w14:textId="77777777">
            <w:pPr>
              <w:tabs>
                <w:tab w:val="center" w:pos="4680"/>
              </w:tabs>
              <w:suppressAutoHyphens/>
              <w:rPr>
                <w:b/>
                <w:spacing w:val="-2"/>
              </w:rPr>
            </w:pPr>
            <w:r w:rsidRPr="00777E54">
              <w:rPr>
                <w:b/>
                <w:spacing w:val="-2"/>
              </w:rPr>
              <w:t>)</w:t>
            </w:r>
          </w:p>
          <w:p w:rsidR="00777E54" w:rsidRPr="00D17E95" w:rsidP="00D17E95" w14:paraId="313B5BA5" w14:textId="48739490">
            <w:pPr>
              <w:tabs>
                <w:tab w:val="center" w:pos="4680"/>
              </w:tabs>
              <w:suppressAutoHyphens/>
              <w:rPr>
                <w:spacing w:val="-2"/>
              </w:rPr>
            </w:pPr>
            <w:r w:rsidRPr="00777E54">
              <w:rPr>
                <w:b/>
                <w:spacing w:val="-2"/>
              </w:rPr>
              <w:t>)</w:t>
            </w:r>
          </w:p>
        </w:tc>
        <w:tc>
          <w:tcPr>
            <w:tcW w:w="4248" w:type="dxa"/>
          </w:tcPr>
          <w:p w:rsidR="00D17E95" w:rsidRPr="00D17E95" w:rsidP="00D17E95" w14:paraId="4D378BB4" w14:textId="77777777">
            <w:pPr>
              <w:tabs>
                <w:tab w:val="center" w:pos="4680"/>
              </w:tabs>
              <w:suppressAutoHyphens/>
              <w:rPr>
                <w:spacing w:val="-2"/>
              </w:rPr>
            </w:pPr>
          </w:p>
          <w:p w:rsidR="00D17E95" w:rsidRPr="00D17E95" w:rsidP="00D17E95" w14:paraId="66F74C29" w14:textId="77777777"/>
          <w:p w:rsidR="00D17E95" w:rsidRPr="00D17E95" w:rsidP="00D17E95" w14:paraId="38319D95" w14:textId="77777777">
            <w:pPr>
              <w:tabs>
                <w:tab w:val="center" w:pos="4680"/>
              </w:tabs>
              <w:suppressAutoHyphens/>
              <w:rPr>
                <w:spacing w:val="-2"/>
              </w:rPr>
            </w:pPr>
            <w:r w:rsidRPr="00D17E95">
              <w:rPr>
                <w:spacing w:val="-2"/>
              </w:rPr>
              <w:t>CG Docket No. 03-123</w:t>
            </w:r>
          </w:p>
          <w:p w:rsidR="00D17E95" w:rsidRPr="00D17E95" w:rsidP="00D17E95" w14:paraId="62772B0D" w14:textId="77777777">
            <w:pPr>
              <w:tabs>
                <w:tab w:val="center" w:pos="4680"/>
              </w:tabs>
              <w:suppressAutoHyphens/>
              <w:rPr>
                <w:spacing w:val="-2"/>
              </w:rPr>
            </w:pPr>
          </w:p>
          <w:p w:rsidR="00D17E95" w:rsidRPr="00D17E95" w:rsidP="00D17E95" w14:paraId="10BB8E55" w14:textId="77777777">
            <w:pPr>
              <w:tabs>
                <w:tab w:val="center" w:pos="4680"/>
              </w:tabs>
              <w:suppressAutoHyphens/>
              <w:rPr>
                <w:spacing w:val="-2"/>
              </w:rPr>
            </w:pPr>
          </w:p>
          <w:p w:rsidR="00D17E95" w:rsidRPr="00D17E95" w:rsidP="00D17E95" w14:paraId="065008FB" w14:textId="77777777">
            <w:pPr>
              <w:tabs>
                <w:tab w:val="center" w:pos="4680"/>
              </w:tabs>
              <w:suppressAutoHyphens/>
              <w:rPr>
                <w:spacing w:val="-2"/>
              </w:rPr>
            </w:pPr>
          </w:p>
          <w:p w:rsidR="00D17E95" w:rsidRPr="00D17E95" w:rsidP="00D17E95" w14:paraId="47753E34" w14:textId="6D8A8662">
            <w:pPr>
              <w:tabs>
                <w:tab w:val="center" w:pos="4680"/>
              </w:tabs>
              <w:suppressAutoHyphens/>
              <w:rPr>
                <w:spacing w:val="-2"/>
              </w:rPr>
            </w:pPr>
          </w:p>
        </w:tc>
      </w:tr>
    </w:tbl>
    <w:p w:rsidR="00D17E95" w:rsidRPr="00D17E95" w:rsidP="00D17E95" w14:paraId="6F246A79" w14:textId="77777777"/>
    <w:p w:rsidR="00D17E95" w:rsidRPr="00D17E95" w:rsidP="00D17E95" w14:paraId="63158DFB" w14:textId="7950E0F2">
      <w:pPr>
        <w:jc w:val="center"/>
        <w:rPr>
          <w:rFonts w:ascii="Times New Roman Bold" w:hAnsi="Times New Roman Bold"/>
          <w:b/>
          <w:bCs/>
          <w:caps/>
          <w:szCs w:val="22"/>
        </w:rPr>
      </w:pPr>
      <w:r w:rsidRPr="00D17E95">
        <w:rPr>
          <w:rFonts w:ascii="Times New Roman Bold" w:hAnsi="Times New Roman Bold"/>
          <w:b/>
          <w:bCs/>
          <w:caps/>
          <w:szCs w:val="22"/>
        </w:rPr>
        <w:t>order</w:t>
      </w:r>
    </w:p>
    <w:p w:rsidR="00D17E95" w:rsidRPr="00D17E95" w:rsidP="00D17E95" w14:paraId="4CF4B0EC" w14:textId="77777777">
      <w:pPr>
        <w:tabs>
          <w:tab w:val="left" w:pos="-720"/>
        </w:tabs>
        <w:suppressAutoHyphens/>
        <w:spacing w:line="227" w:lineRule="auto"/>
        <w:rPr>
          <w:spacing w:val="-2"/>
        </w:rPr>
      </w:pPr>
    </w:p>
    <w:p w:rsidR="00D17E95" w:rsidRPr="00D17E95" w:rsidP="00D17E95" w14:paraId="6234264C" w14:textId="469FB8BD">
      <w:pPr>
        <w:tabs>
          <w:tab w:val="left" w:pos="720"/>
          <w:tab w:val="right" w:pos="9360"/>
        </w:tabs>
        <w:suppressAutoHyphens/>
        <w:spacing w:line="227" w:lineRule="auto"/>
        <w:rPr>
          <w:spacing w:val="-2"/>
        </w:rPr>
      </w:pPr>
      <w:r w:rsidRPr="00D17E95">
        <w:rPr>
          <w:b/>
          <w:spacing w:val="-2"/>
        </w:rPr>
        <w:t xml:space="preserve">Adopted:  </w:t>
      </w:r>
      <w:r w:rsidR="00775DD7">
        <w:rPr>
          <w:b/>
          <w:spacing w:val="-2"/>
        </w:rPr>
        <w:t>August 20, 2019</w:t>
      </w:r>
      <w:r w:rsidRPr="00D17E95">
        <w:rPr>
          <w:b/>
          <w:spacing w:val="-2"/>
        </w:rPr>
        <w:tab/>
        <w:t xml:space="preserve">Released:  </w:t>
      </w:r>
      <w:r w:rsidR="00775DD7">
        <w:rPr>
          <w:b/>
          <w:spacing w:val="-2"/>
        </w:rPr>
        <w:t>August 20, 2019</w:t>
      </w:r>
    </w:p>
    <w:p w:rsidR="00D17E95" w:rsidRPr="00D17E95" w:rsidP="00D17E95" w14:paraId="05AE2647" w14:textId="77777777"/>
    <w:p w:rsidR="00D17E95" w:rsidRPr="00D17E95" w:rsidP="00D17E95" w14:paraId="04FF1E28" w14:textId="465BB794">
      <w:pPr>
        <w:rPr>
          <w:spacing w:val="-2"/>
        </w:rPr>
      </w:pPr>
      <w:r w:rsidRPr="00D17E95">
        <w:t xml:space="preserve">By the </w:t>
      </w:r>
      <w:r w:rsidR="001C5AE4">
        <w:rPr>
          <w:spacing w:val="-2"/>
        </w:rPr>
        <w:t>Chief, Consumer and Governmental Affairs Bureau</w:t>
      </w:r>
      <w:r w:rsidRPr="00D17E95">
        <w:rPr>
          <w:spacing w:val="-2"/>
        </w:rPr>
        <w:t>:</w:t>
      </w:r>
    </w:p>
    <w:p w:rsidR="00D17E95" w:rsidRPr="00D17E95" w:rsidP="00D17E95" w14:paraId="4A348606" w14:textId="77777777">
      <w:pPr>
        <w:rPr>
          <w:b/>
        </w:rPr>
      </w:pPr>
    </w:p>
    <w:p w:rsidR="00D17E95" w:rsidP="00D17E95" w14:paraId="58E34DC5" w14:textId="4E8CB4B0">
      <w:pPr>
        <w:pStyle w:val="Heading1"/>
      </w:pPr>
      <w:r w:rsidRPr="00D17E95">
        <w:t>Introduction</w:t>
      </w:r>
    </w:p>
    <w:p w:rsidR="00777E54" w:rsidRPr="00777E54" w:rsidP="00777E54" w14:paraId="06FC964A" w14:textId="5B18E568">
      <w:pPr>
        <w:pStyle w:val="ParaNum"/>
      </w:pPr>
      <w:r>
        <w:t xml:space="preserve">By this Order, the Consumer and Governmental Affairs Bureau (CGB or Bureau) of the Federal Communications Commissions (FCC or Commission) extends the expiration dates of the temporary waivers, previously granted to Sprint Corporation (Sprint) and Hamilton Relay Inc. (Hamilton), of two mandatory minimum standards applicable to </w:t>
      </w:r>
      <w:r w:rsidRPr="007E1039">
        <w:t>telecommunications relay service</w:t>
      </w:r>
      <w:r>
        <w:t>s</w:t>
      </w:r>
      <w:r w:rsidRPr="007E1039">
        <w:t xml:space="preserve"> (TRS)</w:t>
      </w:r>
      <w:r>
        <w:t xml:space="preserve"> offered through state TRS programs.</w:t>
      </w:r>
      <w:r>
        <w:rPr>
          <w:rStyle w:val="FootnoteReference"/>
        </w:rPr>
        <w:footnoteReference w:id="3"/>
      </w:r>
      <w:r>
        <w:t xml:space="preserve">  The waived standards require </w:t>
      </w:r>
      <w:r w:rsidR="00266ADA">
        <w:t xml:space="preserve">state-program TRS </w:t>
      </w:r>
      <w:r>
        <w:t xml:space="preserve">providers </w:t>
      </w:r>
      <w:r w:rsidRPr="0020703F">
        <w:t>to offer consumers (1) their choice of long distance carrier</w:t>
      </w:r>
      <w:r>
        <w:t xml:space="preserve"> (equal access rule)</w:t>
      </w:r>
      <w:r w:rsidRPr="0020703F">
        <w:t xml:space="preserve"> and (2) </w:t>
      </w:r>
      <w:r>
        <w:t>alternative</w:t>
      </w:r>
      <w:r w:rsidRPr="0020703F">
        <w:t xml:space="preserve"> billing options for </w:t>
      </w:r>
      <w:r>
        <w:t>TRS</w:t>
      </w:r>
      <w:r w:rsidRPr="0020703F">
        <w:t xml:space="preserve"> calls</w:t>
      </w:r>
      <w:r>
        <w:t>.</w:t>
      </w:r>
      <w:r>
        <w:rPr>
          <w:rStyle w:val="FootnoteReference"/>
        </w:rPr>
        <w:footnoteReference w:id="4"/>
      </w:r>
      <w:r>
        <w:t xml:space="preserve">  We extend these waivers until the earlier of August 24, 202</w:t>
      </w:r>
      <w:r w:rsidR="002706D7">
        <w:t>0</w:t>
      </w:r>
      <w:r>
        <w:t xml:space="preserve">, or the </w:t>
      </w:r>
      <w:r w:rsidRPr="00A13AAD">
        <w:t xml:space="preserve">effective date of </w:t>
      </w:r>
      <w:r>
        <w:t xml:space="preserve">a </w:t>
      </w:r>
      <w:r w:rsidRPr="00A13AAD">
        <w:t>Commission decision as to the continuing application of the</w:t>
      </w:r>
      <w:r>
        <w:t xml:space="preserve"> waived standards</w:t>
      </w:r>
      <w:r w:rsidRPr="00A13AAD">
        <w:t xml:space="preserve"> to </w:t>
      </w:r>
      <w:r>
        <w:t>the affected relay services.</w:t>
      </w:r>
    </w:p>
    <w:p w:rsidR="00D17E95" w:rsidRPr="00D17E95" w:rsidP="00D17E95" w14:paraId="540D5B5F" w14:textId="77777777">
      <w:pPr>
        <w:pStyle w:val="Heading1"/>
      </w:pPr>
      <w:r w:rsidRPr="00D17E95">
        <w:t xml:space="preserve">background  </w:t>
      </w:r>
    </w:p>
    <w:p w:rsidR="004B0EDA" w:rsidP="004B0EDA" w14:paraId="2E02DD15" w14:textId="3E45E559">
      <w:pPr>
        <w:pStyle w:val="ParaNum"/>
      </w:pPr>
      <w:r>
        <w:t>Pursuant to</w:t>
      </w:r>
      <w:r w:rsidRPr="00D17E95" w:rsidR="00D17E95">
        <w:t xml:space="preserve"> section 225 of the Communications Act (the Act),</w:t>
      </w:r>
      <w:r>
        <w:rPr>
          <w:sz w:val="20"/>
          <w:vertAlign w:val="superscript"/>
        </w:rPr>
        <w:footnoteReference w:id="5"/>
      </w:r>
      <w:r w:rsidRPr="00D17E95" w:rsidR="00D17E95">
        <w:t xml:space="preserve"> the Commission</w:t>
      </w:r>
      <w:r>
        <w:t xml:space="preserve"> has</w:t>
      </w:r>
      <w:r w:rsidRPr="00D17E95" w:rsidR="00D17E95">
        <w:t xml:space="preserve"> prescribe</w:t>
      </w:r>
      <w:r>
        <w:t>d</w:t>
      </w:r>
      <w:r w:rsidRPr="00D17E95" w:rsidR="00D17E95">
        <w:t xml:space="preserve"> mandatory minimum standards </w:t>
      </w:r>
      <w:r>
        <w:t xml:space="preserve">for </w:t>
      </w:r>
      <w:r w:rsidRPr="00D17E95" w:rsidR="00D17E95">
        <w:t xml:space="preserve">TRS </w:t>
      </w:r>
      <w:r>
        <w:t xml:space="preserve">to ensure that it </w:t>
      </w:r>
      <w:r w:rsidRPr="00D17E95" w:rsidR="00D17E95">
        <w:t xml:space="preserve">provides people with hearing or speech disabilities </w:t>
      </w:r>
      <w:r>
        <w:t xml:space="preserve">with </w:t>
      </w:r>
      <w:r w:rsidRPr="00D17E95">
        <w:t xml:space="preserve">telephone service </w:t>
      </w:r>
      <w:r w:rsidRPr="00D17E95" w:rsidR="00D17E95">
        <w:t>that is functionally equivalent to voice communications service.</w:t>
      </w:r>
      <w:r>
        <w:rPr>
          <w:sz w:val="20"/>
          <w:vertAlign w:val="superscript"/>
        </w:rPr>
        <w:footnoteReference w:id="6"/>
      </w:r>
      <w:r w:rsidRPr="00D17E95" w:rsidR="00D17E95">
        <w:t xml:space="preserve">  </w:t>
      </w:r>
      <w:r w:rsidRPr="004B0EDA">
        <w:t xml:space="preserve">The </w:t>
      </w:r>
      <w:r>
        <w:t xml:space="preserve">equal access and billing options rules </w:t>
      </w:r>
      <w:r w:rsidRPr="004B0EDA">
        <w:t xml:space="preserve">were adopted </w:t>
      </w:r>
      <w:r w:rsidRPr="00D17E95" w:rsidR="00D17E95">
        <w:t>in 1991</w:t>
      </w:r>
      <w:r w:rsidRPr="004B0EDA">
        <w:t xml:space="preserve"> </w:t>
      </w:r>
      <w:r w:rsidRPr="00004FE5">
        <w:t xml:space="preserve">as a part of the Commission’s </w:t>
      </w:r>
      <w:r w:rsidRPr="00004FE5">
        <w:t>first proceeding to implement the TRS program</w:t>
      </w:r>
      <w:r>
        <w:t>.</w:t>
      </w:r>
      <w:r>
        <w:rPr>
          <w:rStyle w:val="FootnoteReference"/>
        </w:rPr>
        <w:footnoteReference w:id="7"/>
      </w:r>
      <w:r w:rsidRPr="00004FE5">
        <w:t xml:space="preserve"> </w:t>
      </w:r>
      <w:r>
        <w:t xml:space="preserve"> The</w:t>
      </w:r>
      <w:r w:rsidRPr="00D17E95" w:rsidR="00D17E95">
        <w:t xml:space="preserve"> equal access rule provides that “TRS users shall have access to their chosen interexchange carrier through the TRS, and to all other operator services to the same extent that such access is provided to voice users.”</w:t>
      </w:r>
      <w:r>
        <w:rPr>
          <w:sz w:val="20"/>
          <w:vertAlign w:val="superscript"/>
        </w:rPr>
        <w:footnoteReference w:id="8"/>
      </w:r>
      <w:r w:rsidRPr="00D17E95" w:rsidR="00D17E95">
        <w:t xml:space="preserve">  </w:t>
      </w:r>
      <w:r>
        <w:t>The</w:t>
      </w:r>
      <w:r w:rsidRPr="00D17E95" w:rsidR="00D17E95">
        <w:t xml:space="preserve"> billing options </w:t>
      </w:r>
      <w:r>
        <w:t>rule directs</w:t>
      </w:r>
      <w:r w:rsidRPr="00D17E95" w:rsidR="00D17E95">
        <w:t xml:space="preserve"> TRS providers to offer “the same billing options (</w:t>
      </w:r>
      <w:r w:rsidRPr="004B0EDA" w:rsidR="00D17E95">
        <w:rPr>
          <w:i/>
          <w:iCs/>
        </w:rPr>
        <w:t>e.g.</w:t>
      </w:r>
      <w:r w:rsidRPr="00D17E95" w:rsidR="00D17E95">
        <w:t>, sent-paid long distance, operator-assisted, collect, and third party billing) traditionally offered for wireline voice services.”</w:t>
      </w:r>
      <w:r>
        <w:rPr>
          <w:sz w:val="20"/>
          <w:vertAlign w:val="superscript"/>
        </w:rPr>
        <w:footnoteReference w:id="9"/>
      </w:r>
      <w:r w:rsidRPr="00D17E95" w:rsidR="00D17E95">
        <w:t xml:space="preserve"> </w:t>
      </w:r>
      <w:r>
        <w:t xml:space="preserve"> </w:t>
      </w:r>
      <w:r w:rsidR="00266ADA">
        <w:t xml:space="preserve">In 2014, the Commission amended the rules to </w:t>
      </w:r>
      <w:r>
        <w:t>generally exempt</w:t>
      </w:r>
      <w:r w:rsidRPr="00266ADA" w:rsidR="00266ADA">
        <w:t xml:space="preserve"> </w:t>
      </w:r>
      <w:r w:rsidRPr="004B0EDA" w:rsidR="00266ADA">
        <w:t>Internet-based forms of TRS</w:t>
      </w:r>
      <w:r w:rsidRPr="00266ADA" w:rsidR="00266ADA">
        <w:t xml:space="preserve"> </w:t>
      </w:r>
      <w:r w:rsidRPr="004B0EDA" w:rsidR="00266ADA">
        <w:t>—video relay service, IP Relay service, and IP CTS</w:t>
      </w:r>
      <w:r w:rsidR="00266ADA">
        <w:t>—from these requirements,</w:t>
      </w:r>
      <w:r>
        <w:rPr>
          <w:rStyle w:val="FootnoteReference"/>
        </w:rPr>
        <w:footnoteReference w:id="10"/>
      </w:r>
      <w:r w:rsidR="00266ADA">
        <w:t xml:space="preserve"> but did not address whether the rules should continue to apply to TRS offered through state programs—i.e., </w:t>
      </w:r>
      <w:r w:rsidRPr="00266ADA" w:rsidR="00266ADA">
        <w:t>traditional TRS, speech-to-speech relay service (STS), and Captioned Telephone Service (CTS)</w:t>
      </w:r>
      <w:r w:rsidR="00266ADA">
        <w:t>.</w:t>
      </w:r>
      <w:r>
        <w:rPr>
          <w:vertAlign w:val="superscript"/>
        </w:rPr>
        <w:footnoteReference w:id="11"/>
      </w:r>
      <w:r w:rsidRPr="00266ADA" w:rsidR="00266ADA">
        <w:t xml:space="preserve"> </w:t>
      </w:r>
    </w:p>
    <w:p w:rsidR="00D17E95" w:rsidRPr="000F1AB8" w:rsidP="000F1AB8" w14:paraId="6FA89422" w14:textId="7A53FDB9">
      <w:pPr>
        <w:pStyle w:val="ParaNum"/>
        <w:tabs>
          <w:tab w:val="num" w:pos="1440"/>
        </w:tabs>
      </w:pPr>
      <w:r>
        <w:t>Subsequently</w:t>
      </w:r>
      <w:r w:rsidR="004B0EDA">
        <w:t xml:space="preserve">, </w:t>
      </w:r>
      <w:r w:rsidRPr="00004FE5" w:rsidR="004B0EDA">
        <w:t xml:space="preserve">Sprint and Hamilton </w:t>
      </w:r>
      <w:r w:rsidR="004B0EDA">
        <w:t xml:space="preserve">each </w:t>
      </w:r>
      <w:r w:rsidRPr="00004FE5" w:rsidR="004B0EDA">
        <w:t xml:space="preserve">petitioned for </w:t>
      </w:r>
      <w:r w:rsidR="004B0EDA">
        <w:t xml:space="preserve">a </w:t>
      </w:r>
      <w:r w:rsidRPr="00004FE5" w:rsidR="004B0EDA">
        <w:t>temporary waiver of the</w:t>
      </w:r>
      <w:r w:rsidR="004B0EDA">
        <w:t xml:space="preserve"> equal access and billing options r</w:t>
      </w:r>
      <w:r w:rsidRPr="00004FE5" w:rsidR="004B0EDA">
        <w:t>equirements</w:t>
      </w:r>
      <w:r w:rsidR="004B0EDA">
        <w:t xml:space="preserve"> as applied to traditional TRS, STS, and CTS.</w:t>
      </w:r>
      <w:r>
        <w:rPr>
          <w:rStyle w:val="FootnoteReference"/>
        </w:rPr>
        <w:footnoteReference w:id="12"/>
      </w:r>
      <w:r w:rsidR="004B0EDA">
        <w:t xml:space="preserve">  </w:t>
      </w:r>
      <w:r w:rsidRPr="00AC1A41" w:rsidR="004B0EDA">
        <w:t xml:space="preserve">The providers also petitioned </w:t>
      </w:r>
      <w:r w:rsidR="004B0EDA">
        <w:t xml:space="preserve">the Commission to initiate </w:t>
      </w:r>
      <w:r w:rsidRPr="00AC1A41" w:rsidR="004B0EDA">
        <w:t xml:space="preserve">a rulemaking </w:t>
      </w:r>
      <w:r w:rsidR="00054809">
        <w:t xml:space="preserve">to </w:t>
      </w:r>
      <w:r w:rsidR="00B37002">
        <w:t xml:space="preserve">broaden the conditional </w:t>
      </w:r>
      <w:r w:rsidRPr="00AC1A41" w:rsidR="004B0EDA">
        <w:t>exempt</w:t>
      </w:r>
      <w:r w:rsidR="00B37002">
        <w:t>ion for</w:t>
      </w:r>
      <w:r w:rsidRPr="00AC1A41" w:rsidR="004B0EDA">
        <w:t xml:space="preserve"> </w:t>
      </w:r>
      <w:r w:rsidRPr="00AC1A41" w:rsidR="00B37002">
        <w:t>I</w:t>
      </w:r>
      <w:r w:rsidR="00B37002">
        <w:t>nternet-</w:t>
      </w:r>
      <w:r w:rsidRPr="00AC1A41" w:rsidR="00B37002">
        <w:t>based TRS</w:t>
      </w:r>
      <w:r w:rsidR="00B37002">
        <w:t xml:space="preserve"> to include</w:t>
      </w:r>
      <w:r w:rsidRPr="00B37002" w:rsidR="00B37002">
        <w:t xml:space="preserve"> </w:t>
      </w:r>
      <w:r w:rsidR="00B37002">
        <w:t>state-program TRS</w:t>
      </w:r>
      <w:r w:rsidRPr="00AC1A41" w:rsidR="004B0EDA">
        <w:t>.</w:t>
      </w:r>
      <w:r>
        <w:rPr>
          <w:rStyle w:val="FootnoteReference"/>
        </w:rPr>
        <w:footnoteReference w:id="13"/>
      </w:r>
      <w:r w:rsidRPr="00AC1A41" w:rsidR="004B0EDA">
        <w:t xml:space="preserve"> </w:t>
      </w:r>
      <w:r w:rsidR="004B0EDA">
        <w:t xml:space="preserve"> </w:t>
      </w:r>
      <w:r w:rsidR="00E116A3">
        <w:t>The</w:t>
      </w:r>
      <w:r w:rsidRPr="00004FE5" w:rsidR="004B0EDA">
        <w:t xml:space="preserve"> </w:t>
      </w:r>
      <w:r w:rsidR="004B0EDA">
        <w:t>Bureau</w:t>
      </w:r>
      <w:r w:rsidRPr="00004FE5" w:rsidR="004B0EDA">
        <w:t xml:space="preserve"> granted the</w:t>
      </w:r>
      <w:r w:rsidR="004B0EDA">
        <w:t xml:space="preserve"> waiver requests, with an expiration date of </w:t>
      </w:r>
      <w:r w:rsidRPr="00004FE5" w:rsidR="004B0EDA">
        <w:t>August 24, 2018</w:t>
      </w:r>
      <w:r w:rsidR="004B0EDA">
        <w:t>,</w:t>
      </w:r>
      <w:r w:rsidRPr="0039661F" w:rsidR="004B0EDA">
        <w:t xml:space="preserve"> </w:t>
      </w:r>
      <w:r w:rsidR="004B0EDA">
        <w:t>subject to the condition that providers of these services not assess charges on TRS users for long distance calls.</w:t>
      </w:r>
      <w:r>
        <w:rPr>
          <w:rStyle w:val="FootnoteReference"/>
        </w:rPr>
        <w:footnoteReference w:id="14"/>
      </w:r>
      <w:r w:rsidR="004B0EDA">
        <w:t xml:space="preserve">  </w:t>
      </w:r>
      <w:r w:rsidRPr="00421E8C" w:rsidR="00E116A3">
        <w:rPr>
          <w:szCs w:val="22"/>
        </w:rPr>
        <w:t>In August</w:t>
      </w:r>
      <w:r w:rsidRPr="00421E8C" w:rsidR="004B0EDA">
        <w:rPr>
          <w:szCs w:val="22"/>
        </w:rPr>
        <w:t xml:space="preserve"> 2018, </w:t>
      </w:r>
      <w:r w:rsidRPr="00421E8C" w:rsidR="00E116A3">
        <w:rPr>
          <w:szCs w:val="22"/>
        </w:rPr>
        <w:t>the Bureau extended the expiration date for one y</w:t>
      </w:r>
      <w:r w:rsidRPr="00421E8C" w:rsidR="004B0EDA">
        <w:rPr>
          <w:szCs w:val="22"/>
        </w:rPr>
        <w:t>ear</w:t>
      </w:r>
      <w:r w:rsidRPr="00421E8C" w:rsidR="00E116A3">
        <w:rPr>
          <w:szCs w:val="22"/>
        </w:rPr>
        <w:t>,</w:t>
      </w:r>
      <w:r w:rsidRPr="00421E8C" w:rsidR="004B0EDA">
        <w:rPr>
          <w:szCs w:val="22"/>
        </w:rPr>
        <w:t xml:space="preserve"> </w:t>
      </w:r>
      <w:r w:rsidRPr="00421E8C" w:rsidR="00421E8C">
        <w:rPr>
          <w:szCs w:val="22"/>
        </w:rPr>
        <w:t xml:space="preserve">until the earlier of August 24, 2019, </w:t>
      </w:r>
      <w:r w:rsidRPr="00421E8C" w:rsidR="004B0EDA">
        <w:rPr>
          <w:szCs w:val="22"/>
        </w:rPr>
        <w:t xml:space="preserve">or the effective date of </w:t>
      </w:r>
      <w:r w:rsidRPr="00421E8C" w:rsidR="00B37002">
        <w:rPr>
          <w:szCs w:val="22"/>
        </w:rPr>
        <w:t xml:space="preserve">a Commission decision as to the continuing </w:t>
      </w:r>
      <w:r w:rsidRPr="00421E8C" w:rsidR="00B37002">
        <w:rPr>
          <w:szCs w:val="22"/>
        </w:rPr>
        <w:t>application of the waived standards to the affected relay services</w:t>
      </w:r>
      <w:r w:rsidRPr="00421E8C" w:rsidR="004B0EDA">
        <w:rPr>
          <w:szCs w:val="22"/>
        </w:rPr>
        <w:t>.</w:t>
      </w:r>
      <w:r>
        <w:rPr>
          <w:rStyle w:val="FootnoteReference"/>
        </w:rPr>
        <w:footnoteReference w:id="15"/>
      </w:r>
      <w:r w:rsidR="004B0EDA">
        <w:t xml:space="preserve"> </w:t>
      </w:r>
      <w:r w:rsidR="00BC3FA5">
        <w:t xml:space="preserve"> Hamilton </w:t>
      </w:r>
      <w:r w:rsidR="009D3FCA">
        <w:t xml:space="preserve">and Sprint each </w:t>
      </w:r>
      <w:r w:rsidR="00BC3FA5">
        <w:t>request a further extension of the</w:t>
      </w:r>
      <w:r w:rsidR="00DE18FB">
        <w:t>se</w:t>
      </w:r>
      <w:r w:rsidR="00BC3FA5">
        <w:t xml:space="preserve"> waiver</w:t>
      </w:r>
      <w:r w:rsidR="009D3FCA">
        <w:t>s</w:t>
      </w:r>
      <w:r w:rsidR="00BC3FA5">
        <w:t>.</w:t>
      </w:r>
      <w:r>
        <w:rPr>
          <w:rStyle w:val="FootnoteReference"/>
        </w:rPr>
        <w:footnoteReference w:id="16"/>
      </w:r>
      <w:r w:rsidR="00BC3FA5">
        <w:t xml:space="preserve"> </w:t>
      </w:r>
    </w:p>
    <w:p w:rsidR="00D17E95" w:rsidRPr="00D17E95" w:rsidP="00D17E95" w14:paraId="0EFF9C8D" w14:textId="29E7761F">
      <w:pPr>
        <w:pStyle w:val="Heading1"/>
      </w:pPr>
      <w:r>
        <w:t>DISCUSSION</w:t>
      </w:r>
    </w:p>
    <w:p w:rsidR="00D17E95" w:rsidRPr="00D17E95" w:rsidP="00D17E95" w14:paraId="5D795CAE" w14:textId="77777777">
      <w:pPr>
        <w:pStyle w:val="ParaNum"/>
      </w:pPr>
      <w:r w:rsidRPr="00D17E95">
        <w:t>A Commission rule may be waived for “good cause shown.”</w:t>
      </w:r>
      <w:r>
        <w:rPr>
          <w:sz w:val="20"/>
          <w:szCs w:val="22"/>
          <w:vertAlign w:val="superscript"/>
        </w:rPr>
        <w:footnoteReference w:id="17"/>
      </w:r>
      <w:r w:rsidRPr="00D17E95">
        <w:t xml:space="preserve">  In particular, a waiver is appropriate where the particular facts make strict compliance inconsistent with the public interest.</w:t>
      </w:r>
      <w:r>
        <w:rPr>
          <w:sz w:val="20"/>
          <w:szCs w:val="22"/>
          <w:vertAlign w:val="superscript"/>
        </w:rPr>
        <w:footnoteReference w:id="18"/>
      </w:r>
      <w:r w:rsidRPr="00D17E95">
        <w:t xml:space="preserve">  In addition, we may take into account considerations of hardship, equity, or more effective implementation of overall policy on an individual basis.</w:t>
      </w:r>
      <w:r>
        <w:rPr>
          <w:sz w:val="20"/>
          <w:szCs w:val="22"/>
          <w:vertAlign w:val="superscript"/>
        </w:rPr>
        <w:footnoteReference w:id="19"/>
      </w:r>
      <w:r w:rsidRPr="00D17E95">
        <w:t xml:space="preserve">  Such a waiver is appropriate if special circumstances warrant a deviation from the general rule and such deviation will serve the public interest.</w:t>
      </w:r>
      <w:r>
        <w:rPr>
          <w:sz w:val="20"/>
          <w:szCs w:val="22"/>
          <w:vertAlign w:val="superscript"/>
        </w:rPr>
        <w:footnoteReference w:id="20"/>
      </w:r>
      <w:r w:rsidRPr="00D17E95">
        <w:t xml:space="preserve">  </w:t>
      </w:r>
    </w:p>
    <w:p w:rsidR="00D17E95" w:rsidRPr="00D17E95" w:rsidP="00CF5BDD" w14:paraId="13E565A4" w14:textId="3F9BE532">
      <w:pPr>
        <w:pStyle w:val="ParaNum"/>
      </w:pPr>
      <w:r w:rsidRPr="00D17E95">
        <w:t xml:space="preserve">CGB previously concluded that </w:t>
      </w:r>
      <w:r w:rsidR="002706D7">
        <w:t xml:space="preserve">in these special circumstances, </w:t>
      </w:r>
      <w:r w:rsidRPr="00D17E95">
        <w:t>it is in the public interest to waive, on a temporary basis, the equal access and billing options requirements for Sprint and Hamilton with respect to their provision of traditional TRS, STS, and CTS.</w:t>
      </w:r>
      <w:r>
        <w:rPr>
          <w:sz w:val="20"/>
          <w:vertAlign w:val="superscript"/>
        </w:rPr>
        <w:footnoteReference w:id="21"/>
      </w:r>
      <w:r w:rsidRPr="00D17E95">
        <w:t xml:space="preserve">  We find that there is good cause to extend these waivers because the circumstances supporting these waiver grants have not changed.</w:t>
      </w:r>
      <w:r w:rsidRPr="00330EAD">
        <w:rPr>
          <w:sz w:val="20"/>
          <w:vertAlign w:val="superscript"/>
        </w:rPr>
        <w:t xml:space="preserve"> </w:t>
      </w:r>
      <w:r w:rsidRPr="00D17E95">
        <w:t xml:space="preserve">  </w:t>
      </w:r>
      <w:r w:rsidR="000F1AB8">
        <w:t>A</w:t>
      </w:r>
      <w:r w:rsidRPr="00D17E95">
        <w:t xml:space="preserve">s was the case when the waiver was first approved, current practices in the voice telephone communications marketplace, including the routine inclusion of long distance services in wireline and wireless telephone service plans offered at a bundled or flat rate, </w:t>
      </w:r>
      <w:r w:rsidR="00DB4CD9">
        <w:t xml:space="preserve">appear to </w:t>
      </w:r>
      <w:r w:rsidR="000F1AB8">
        <w:t xml:space="preserve">have </w:t>
      </w:r>
      <w:r w:rsidRPr="00D17E95">
        <w:t>eliminat</w:t>
      </w:r>
      <w:r w:rsidR="000F1AB8">
        <w:t xml:space="preserve">ed </w:t>
      </w:r>
      <w:r w:rsidR="00DB4CD9">
        <w:t>any</w:t>
      </w:r>
      <w:r w:rsidRPr="00D17E95">
        <w:t xml:space="preserve"> </w:t>
      </w:r>
      <w:r w:rsidR="00DB4CD9">
        <w:t xml:space="preserve">residual </w:t>
      </w:r>
      <w:r w:rsidRPr="00D17E95">
        <w:t xml:space="preserve">need for equal access and </w:t>
      </w:r>
      <w:r w:rsidR="000F1AB8">
        <w:t xml:space="preserve">alternative </w:t>
      </w:r>
      <w:r w:rsidRPr="00D17E95">
        <w:t>billing options, both for mainstream users and to achieve functional equivalency for TRS users.</w:t>
      </w:r>
      <w:r>
        <w:rPr>
          <w:sz w:val="20"/>
          <w:vertAlign w:val="superscript"/>
        </w:rPr>
        <w:footnoteReference w:id="22"/>
      </w:r>
      <w:r w:rsidRPr="00D17E95">
        <w:t xml:space="preserve">  </w:t>
      </w:r>
      <w:r w:rsidR="00330EAD">
        <w:t xml:space="preserve">Further, requiring compliance with these rules </w:t>
      </w:r>
      <w:r w:rsidRPr="00D17E95" w:rsidR="00330EAD">
        <w:t xml:space="preserve">would unreasonably burden </w:t>
      </w:r>
      <w:r w:rsidR="00330EAD">
        <w:t xml:space="preserve">Hamilton and Sprint </w:t>
      </w:r>
      <w:r w:rsidRPr="00D17E95" w:rsidR="00330EAD">
        <w:t xml:space="preserve">by requiring them to retrofit their TRS platforms with </w:t>
      </w:r>
      <w:r w:rsidRPr="00D17E95" w:rsidR="002706D7">
        <w:t>technology</w:t>
      </w:r>
      <w:r w:rsidR="002706D7">
        <w:t xml:space="preserve"> that may well become obsolete if the Commission determines to act on these providers’ joint rulemaking petition</w:t>
      </w:r>
      <w:r w:rsidRPr="00D17E95" w:rsidR="00330EAD">
        <w:t>.</w:t>
      </w:r>
      <w:r>
        <w:rPr>
          <w:vertAlign w:val="superscript"/>
        </w:rPr>
        <w:footnoteReference w:id="23"/>
      </w:r>
      <w:r w:rsidRPr="00D17E95" w:rsidR="00330EAD">
        <w:t xml:space="preserve">  </w:t>
      </w:r>
      <w:r w:rsidR="000F1AB8">
        <w:t>W</w:t>
      </w:r>
      <w:r w:rsidRPr="00D17E95">
        <w:t xml:space="preserve">e affirm </w:t>
      </w:r>
      <w:r w:rsidR="00330EAD">
        <w:t>the Bureau’s previous conclusion</w:t>
      </w:r>
      <w:r w:rsidRPr="00D17E95">
        <w:t xml:space="preserve"> that, </w:t>
      </w:r>
      <w:r w:rsidR="00330EAD">
        <w:t>as long as these</w:t>
      </w:r>
      <w:r w:rsidRPr="00D17E95">
        <w:t xml:space="preserve"> providers do not charge </w:t>
      </w:r>
      <w:r w:rsidR="00330EAD">
        <w:t xml:space="preserve">users </w:t>
      </w:r>
      <w:r w:rsidRPr="00D17E95">
        <w:t xml:space="preserve">for long distance, </w:t>
      </w:r>
      <w:r w:rsidR="00330EAD">
        <w:t xml:space="preserve">extension of the waivers will </w:t>
      </w:r>
      <w:r w:rsidR="003232AC">
        <w:t xml:space="preserve">appropriately </w:t>
      </w:r>
      <w:r w:rsidR="00330EAD">
        <w:t xml:space="preserve">avoid imposing </w:t>
      </w:r>
      <w:r w:rsidRPr="00D17E95">
        <w:t>a burden with no associated public interest benefit.</w:t>
      </w:r>
      <w:r>
        <w:rPr>
          <w:sz w:val="20"/>
          <w:vertAlign w:val="superscript"/>
        </w:rPr>
        <w:footnoteReference w:id="24"/>
      </w:r>
      <w:r w:rsidRPr="00D17E95">
        <w:t xml:space="preserve">  </w:t>
      </w:r>
    </w:p>
    <w:p w:rsidR="00D17E95" w:rsidRPr="00D17E95" w14:paraId="627903AA" w14:textId="23605F11">
      <w:pPr>
        <w:pStyle w:val="ParaNum"/>
      </w:pPr>
      <w:r w:rsidRPr="00D17E95">
        <w:t xml:space="preserve">We therefore extend Sprint’s and Hamilton’s waivers of these requirements as they apply to the provision of traditional TRS, STS, and CTS.  These temporary waivers will remain subject to the condition set forth in the current waiver, i.e., that covered providers not assess charges for long distance </w:t>
      </w:r>
      <w:r w:rsidRPr="00D17E95">
        <w:t>calls.  Further, this waiver will expire on August 24, 202</w:t>
      </w:r>
      <w:r w:rsidR="002706D7">
        <w:t>0</w:t>
      </w:r>
      <w:r w:rsidRPr="00D17E95">
        <w:t>, or on the effective date of a Commission decision as to the continuing application of the equal access and billing options requirements to these forms of TRS, whichever is earlier.</w:t>
      </w:r>
      <w:r>
        <w:rPr>
          <w:sz w:val="20"/>
          <w:vertAlign w:val="superscript"/>
        </w:rPr>
        <w:footnoteReference w:id="25"/>
      </w:r>
    </w:p>
    <w:p w:rsidR="003232AC" w:rsidRPr="003232AC" w:rsidP="003232AC" w14:paraId="643C3AD6" w14:textId="6E4C8D5A">
      <w:pPr>
        <w:keepNext/>
        <w:numPr>
          <w:ilvl w:val="0"/>
          <w:numId w:val="3"/>
        </w:numPr>
        <w:tabs>
          <w:tab w:val="left" w:pos="720"/>
        </w:tabs>
        <w:suppressAutoHyphens/>
        <w:spacing w:after="120"/>
        <w:outlineLvl w:val="0"/>
        <w:rPr>
          <w:rFonts w:ascii="Times New Roman Bold" w:hAnsi="Times New Roman Bold"/>
          <w:b/>
          <w:caps/>
        </w:rPr>
      </w:pPr>
      <w:r w:rsidRPr="003232AC">
        <w:rPr>
          <w:rFonts w:ascii="Times New Roman Bold" w:hAnsi="Times New Roman Bold"/>
          <w:b/>
          <w:caps/>
        </w:rPr>
        <w:t xml:space="preserve">Procedural </w:t>
      </w:r>
      <w:r>
        <w:rPr>
          <w:rFonts w:ascii="Times New Roman Bold" w:hAnsi="Times New Roman Bold"/>
          <w:b/>
          <w:caps/>
        </w:rPr>
        <w:t>MATTERS</w:t>
      </w:r>
    </w:p>
    <w:p w:rsidR="003232AC" w:rsidRPr="003232AC" w:rsidP="003232AC" w14:paraId="75AA16AE" w14:textId="77155142">
      <w:pPr>
        <w:numPr>
          <w:ilvl w:val="0"/>
          <w:numId w:val="2"/>
        </w:numPr>
        <w:tabs>
          <w:tab w:val="clear" w:pos="1080"/>
          <w:tab w:val="left" w:pos="1440"/>
        </w:tabs>
        <w:spacing w:after="120"/>
      </w:pPr>
      <w:r w:rsidRPr="003232AC">
        <w:rPr>
          <w:szCs w:val="22"/>
        </w:rPr>
        <w:t xml:space="preserve">To request materials in accessible formats (such as Braille, large print, electronic files, or audio format), send an e-mail to:  </w:t>
      </w:r>
      <w:hyperlink r:id="rId5" w:history="1">
        <w:r w:rsidRPr="003232AC">
          <w:rPr>
            <w:color w:val="0000FF"/>
            <w:szCs w:val="22"/>
            <w:u w:val="single"/>
          </w:rPr>
          <w:t>fcc504@fcc.gov</w:t>
        </w:r>
      </w:hyperlink>
      <w:r w:rsidRPr="003232AC">
        <w:rPr>
          <w:szCs w:val="22"/>
        </w:rPr>
        <w:t>, or call the Consumer &amp; Governmental Affairs Bureau at (202) 418-0530 (voice) or (202) 418-0432 (TTY).</w:t>
      </w:r>
      <w:r w:rsidRPr="003232AC">
        <w:t xml:space="preserve">  </w:t>
      </w:r>
    </w:p>
    <w:p w:rsidR="003232AC" w:rsidRPr="003232AC" w:rsidP="003232AC" w14:paraId="1935037B" w14:textId="77777777">
      <w:pPr>
        <w:keepNext/>
        <w:numPr>
          <w:ilvl w:val="0"/>
          <w:numId w:val="3"/>
        </w:numPr>
        <w:tabs>
          <w:tab w:val="left" w:pos="720"/>
        </w:tabs>
        <w:suppressAutoHyphens/>
        <w:spacing w:after="120"/>
        <w:outlineLvl w:val="0"/>
        <w:rPr>
          <w:rFonts w:ascii="Times New Roman Bold" w:hAnsi="Times New Roman Bold"/>
          <w:b/>
          <w:caps/>
        </w:rPr>
      </w:pPr>
      <w:r w:rsidRPr="003232AC">
        <w:rPr>
          <w:rFonts w:ascii="Times New Roman Bold" w:hAnsi="Times New Roman Bold"/>
          <w:b/>
          <w:caps/>
        </w:rPr>
        <w:t>Ordering Clauses</w:t>
      </w:r>
    </w:p>
    <w:p w:rsidR="003232AC" w:rsidP="003232AC" w14:paraId="21D33950" w14:textId="586E5A9E">
      <w:pPr>
        <w:numPr>
          <w:ilvl w:val="0"/>
          <w:numId w:val="2"/>
        </w:numPr>
        <w:tabs>
          <w:tab w:val="clear" w:pos="1080"/>
          <w:tab w:val="num" w:pos="1440"/>
        </w:tabs>
        <w:spacing w:after="120"/>
      </w:pPr>
      <w:r w:rsidRPr="003232AC">
        <w:t>ACCORDINGLY, IT IS ORDERED that, pursuant to sections 0.141, 0.361, and 1.3 of the Commission’s rules, 47 CFR §§ 0.141, 0.361, 1.3, the Petition for Extension of Waiver filed by Hamilton Relay, Inc. is GRANTED</w:t>
      </w:r>
      <w:r>
        <w:t xml:space="preserve"> to the extent </w:t>
      </w:r>
      <w:r w:rsidR="00A6200A">
        <w:t>stated in this Order</w:t>
      </w:r>
      <w:r>
        <w:t>.</w:t>
      </w:r>
    </w:p>
    <w:p w:rsidR="00A6200A" w:rsidRPr="003232AC" w:rsidP="00A6200A" w14:paraId="025EBEE7" w14:textId="1C974E38">
      <w:pPr>
        <w:pStyle w:val="ParaNum"/>
      </w:pPr>
      <w:r w:rsidRPr="003232AC">
        <w:t xml:space="preserve">IT IS FURTHER ORDERED, that </w:t>
      </w:r>
      <w:r w:rsidRPr="00A6200A">
        <w:t>sections 64.604(a)(</w:t>
      </w:r>
      <w:bookmarkStart w:id="3" w:name="_GoBack"/>
      <w:bookmarkEnd w:id="3"/>
      <w:r w:rsidRPr="00A6200A">
        <w:t>3)(ii) and 64.604(b)(3) of the Commission’s rules,</w:t>
      </w:r>
      <w:r>
        <w:t xml:space="preserve"> </w:t>
      </w:r>
      <w:r w:rsidRPr="00A6200A">
        <w:t>47 CFR § 64.604(a)(3)(ii)</w:t>
      </w:r>
      <w:r>
        <w:t>,</w:t>
      </w:r>
      <w:r w:rsidRPr="00A6200A">
        <w:t xml:space="preserve"> (b)(3), ARE WAIVED to the extent stated in</w:t>
      </w:r>
      <w:r>
        <w:t xml:space="preserve"> </w:t>
      </w:r>
      <w:r w:rsidRPr="00A6200A">
        <w:t>this Order</w:t>
      </w:r>
      <w:r>
        <w:t>.</w:t>
      </w:r>
    </w:p>
    <w:p w:rsidR="003232AC" w:rsidRPr="003232AC" w:rsidP="003232AC" w14:paraId="3F4A6B4F" w14:textId="77777777">
      <w:pPr>
        <w:numPr>
          <w:ilvl w:val="0"/>
          <w:numId w:val="2"/>
        </w:numPr>
        <w:tabs>
          <w:tab w:val="clear" w:pos="1080"/>
          <w:tab w:val="num" w:pos="1440"/>
        </w:tabs>
        <w:spacing w:after="120"/>
      </w:pPr>
      <w:r w:rsidRPr="003232AC">
        <w:t>IT IS FURTHER ORDERED, that this Order SHALL BE EFFECTIVE upon release.</w:t>
      </w:r>
    </w:p>
    <w:p w:rsidR="003232AC" w:rsidRPr="003232AC" w:rsidP="003232AC" w14:paraId="250386D9" w14:textId="77777777">
      <w:r w:rsidRPr="003232AC">
        <w:tab/>
      </w:r>
      <w:r w:rsidRPr="003232AC">
        <w:tab/>
      </w:r>
      <w:r w:rsidRPr="003232AC">
        <w:tab/>
      </w:r>
      <w:r w:rsidRPr="003232AC">
        <w:tab/>
      </w:r>
      <w:r w:rsidRPr="003232AC">
        <w:tab/>
      </w:r>
      <w:r w:rsidRPr="003232AC">
        <w:tab/>
        <w:t>FEDERAL COMMUNICATIONS COMMISSION</w:t>
      </w:r>
    </w:p>
    <w:p w:rsidR="003232AC" w:rsidRPr="003232AC" w:rsidP="003232AC" w14:paraId="135901CF" w14:textId="77777777"/>
    <w:p w:rsidR="003232AC" w:rsidRPr="003232AC" w:rsidP="003232AC" w14:paraId="58A726E8" w14:textId="77777777"/>
    <w:p w:rsidR="003232AC" w:rsidRPr="003232AC" w:rsidP="003232AC" w14:paraId="1F8C81C7" w14:textId="77777777"/>
    <w:p w:rsidR="003232AC" w:rsidRPr="003232AC" w:rsidP="003232AC" w14:paraId="6C5B6D8E" w14:textId="77777777"/>
    <w:p w:rsidR="003232AC" w:rsidRPr="003232AC" w:rsidP="003232AC" w14:paraId="0A86DE9E" w14:textId="77777777">
      <w:r w:rsidRPr="003232AC">
        <w:tab/>
      </w:r>
      <w:r w:rsidRPr="003232AC">
        <w:tab/>
      </w:r>
      <w:r w:rsidRPr="003232AC">
        <w:tab/>
      </w:r>
      <w:r w:rsidRPr="003232AC">
        <w:tab/>
      </w:r>
      <w:r w:rsidRPr="003232AC">
        <w:tab/>
      </w:r>
      <w:r w:rsidRPr="003232AC">
        <w:tab/>
        <w:t>Patrick Webre, Chief</w:t>
      </w:r>
    </w:p>
    <w:p w:rsidR="00412FC5" w:rsidRPr="00D17E95" w:rsidP="000117C2" w14:paraId="51BEA073" w14:textId="16D4FAC3">
      <w:r w:rsidRPr="003232AC">
        <w:tab/>
      </w:r>
      <w:r w:rsidRPr="003232AC">
        <w:tab/>
      </w:r>
      <w:r w:rsidRPr="003232AC">
        <w:tab/>
      </w:r>
      <w:r w:rsidRPr="003232AC">
        <w:tab/>
      </w:r>
      <w:r w:rsidRPr="003232AC">
        <w:tab/>
      </w:r>
      <w:r w:rsidRPr="003232AC">
        <w:tab/>
        <w:t>Consumer and Governmental Affairs Bureau</w:t>
      </w:r>
    </w:p>
    <w:sectPr w:rsidSect="001C5AE4">
      <w:headerReference w:type="default" r:id="rId6"/>
      <w:footerReference w:type="even" r:id="rId7"/>
      <w:footerReference w:type="default" r:id="rId8"/>
      <w:headerReference w:type="first" r:id="rId9"/>
      <w:footerReference w:type="first" r:id="rId10"/>
      <w:footnotePr>
        <w:numRestart w:val="eachSect"/>
      </w:footnotePr>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B60" w:rsidP="0055614C" w14:paraId="4282DC72" w14:textId="77777777">
    <w:pPr>
      <w:pStyle w:val="Footer"/>
      <w:framePr w:wrap="around" w:vAnchor="text" w:hAnchor="margin" w:xAlign="center" w:y="1"/>
    </w:pPr>
    <w:r>
      <w:fldChar w:fldCharType="begin"/>
    </w:r>
    <w:r>
      <w:instrText xml:space="preserve">PAGE  </w:instrText>
    </w:r>
    <w:r>
      <w:fldChar w:fldCharType="separate"/>
    </w:r>
    <w:r>
      <w:fldChar w:fldCharType="end"/>
    </w:r>
  </w:p>
  <w:p w:rsidR="000A4B60" w14:paraId="314FE1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B60" w14:paraId="7659F36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0A4B60" w14:paraId="73DABBAF"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B60" w14:paraId="674BF30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206F" w14:paraId="711BEAC6" w14:textId="77777777">
      <w:r>
        <w:separator/>
      </w:r>
    </w:p>
  </w:footnote>
  <w:footnote w:type="continuationSeparator" w:id="1">
    <w:p w:rsidR="007A206F" w:rsidP="00C721AC" w14:paraId="4EB8EC41" w14:textId="77777777">
      <w:pPr>
        <w:spacing w:before="120"/>
        <w:rPr>
          <w:sz w:val="20"/>
        </w:rPr>
      </w:pPr>
      <w:r>
        <w:rPr>
          <w:sz w:val="20"/>
        </w:rPr>
        <w:t xml:space="preserve">(Continued from previous page)  </w:t>
      </w:r>
      <w:r>
        <w:rPr>
          <w:sz w:val="20"/>
        </w:rPr>
        <w:separator/>
      </w:r>
    </w:p>
  </w:footnote>
  <w:footnote w:type="continuationNotice" w:id="2">
    <w:p w:rsidR="007A206F" w:rsidP="00C721AC" w14:paraId="37B42918" w14:textId="77777777">
      <w:pPr>
        <w:jc w:val="right"/>
        <w:rPr>
          <w:sz w:val="20"/>
        </w:rPr>
      </w:pPr>
      <w:r>
        <w:rPr>
          <w:sz w:val="20"/>
        </w:rPr>
        <w:t>(continued….)</w:t>
      </w:r>
    </w:p>
  </w:footnote>
  <w:footnote w:id="3">
    <w:p w:rsidR="00777E54" w:rsidP="00777E54" w14:paraId="6A3CCD9B" w14:textId="07142651">
      <w:pPr>
        <w:pStyle w:val="FootnoteText"/>
      </w:pPr>
      <w:r>
        <w:rPr>
          <w:rStyle w:val="FootnoteReference"/>
        </w:rPr>
        <w:footnoteRef/>
      </w:r>
      <w:r>
        <w:t xml:space="preserve"> </w:t>
      </w:r>
      <w:r w:rsidRPr="00D406A1">
        <w:rPr>
          <w:i/>
        </w:rPr>
        <w:t>See</w:t>
      </w:r>
      <w:r>
        <w:t xml:space="preserve"> </w:t>
      </w:r>
      <w:r>
        <w:rPr>
          <w:i/>
        </w:rPr>
        <w:t>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xml:space="preserve">, </w:t>
      </w:r>
      <w:r w:rsidR="000654FF">
        <w:t xml:space="preserve">CG Docket No. 03-123, </w:t>
      </w:r>
      <w:r>
        <w:t xml:space="preserve">Order, 31 FCC </w:t>
      </w:r>
      <w:r>
        <w:t>Rcd</w:t>
      </w:r>
      <w:r>
        <w:t xml:space="preserve"> 9511, 9511, para. 1 (2016) (</w:t>
      </w:r>
      <w:r>
        <w:rPr>
          <w:i/>
        </w:rPr>
        <w:t>Hamilton and Sprint Waiver Order</w:t>
      </w:r>
      <w:r>
        <w:t xml:space="preserve">); </w:t>
      </w:r>
      <w:r w:rsidRPr="00777E54">
        <w:rPr>
          <w:i/>
        </w:rPr>
        <w:t>see also</w:t>
      </w:r>
      <w:r>
        <w:t xml:space="preserve"> </w:t>
      </w:r>
      <w:r>
        <w:rPr>
          <w:i/>
        </w:rPr>
        <w:t>Telecommunications Relay Services and Speech-to-Speech Services for Individuals with Hearing and Speech Disabilities</w:t>
      </w:r>
      <w:r>
        <w:t>;</w:t>
      </w:r>
      <w:r>
        <w:rPr>
          <w:i/>
        </w:rPr>
        <w:t xml:space="preserve"> Hamilton Relay, Inc. and Sprint Corporation Petitions for Interim Waiver of Section 64.604(b)(3) and 64.604(a)(3)(ii)</w:t>
      </w:r>
      <w:r>
        <w:t xml:space="preserve">, </w:t>
      </w:r>
      <w:r w:rsidR="000654FF">
        <w:t xml:space="preserve">CG Docket No. 03-123, </w:t>
      </w:r>
      <w:r>
        <w:t xml:space="preserve">Order, 33 FCC </w:t>
      </w:r>
      <w:r>
        <w:t>Rcd</w:t>
      </w:r>
      <w:r>
        <w:t xml:space="preserve"> 8063 (CGB 2018) (</w:t>
      </w:r>
      <w:r>
        <w:rPr>
          <w:i/>
        </w:rPr>
        <w:t>Hamilton and Sprint Waiver Extension</w:t>
      </w:r>
      <w:r>
        <w:t>).</w:t>
      </w:r>
      <w:r w:rsidRPr="004B0EDA" w:rsidR="004B0EDA">
        <w:t xml:space="preserve"> </w:t>
      </w:r>
      <w:r w:rsidR="004B0EDA">
        <w:t xml:space="preserve"> TRS provides the ability for an individual who has a hearing or speech disability to engage in telephone communication with other individuals.  47 CFR § 64.601</w:t>
      </w:r>
      <w:r w:rsidR="000654FF">
        <w:t>(a)</w:t>
      </w:r>
      <w:r w:rsidR="004B0EDA">
        <w:t>(3</w:t>
      </w:r>
      <w:r w:rsidR="000654FF">
        <w:t>9</w:t>
      </w:r>
      <w:r w:rsidR="004B0EDA">
        <w:t xml:space="preserve">).  </w:t>
      </w:r>
    </w:p>
  </w:footnote>
  <w:footnote w:id="4">
    <w:p w:rsidR="00777E54" w:rsidP="00777E54" w14:paraId="74ABAFF4" w14:textId="7BB7A8FA">
      <w:pPr>
        <w:pStyle w:val="FootnoteText"/>
      </w:pPr>
      <w:r>
        <w:rPr>
          <w:rStyle w:val="FootnoteReference"/>
        </w:rPr>
        <w:footnoteRef/>
      </w:r>
      <w:r>
        <w:t xml:space="preserve"> </w:t>
      </w:r>
      <w:r>
        <w:rPr>
          <w:bCs/>
          <w:snapToGrid w:val="0"/>
        </w:rPr>
        <w:t>47 CFR § 64.604(a)(3)(ii)</w:t>
      </w:r>
      <w:r w:rsidR="00054809">
        <w:rPr>
          <w:bCs/>
          <w:snapToGrid w:val="0"/>
        </w:rPr>
        <w:t>,</w:t>
      </w:r>
      <w:r w:rsidRPr="00054809" w:rsidR="00054809">
        <w:t xml:space="preserve"> </w:t>
      </w:r>
      <w:r w:rsidR="00054809">
        <w:t>(b)(3)</w:t>
      </w:r>
      <w:r>
        <w:rPr>
          <w:bCs/>
          <w:snapToGrid w:val="0"/>
        </w:rPr>
        <w:t xml:space="preserve">.  </w:t>
      </w:r>
    </w:p>
  </w:footnote>
  <w:footnote w:id="5">
    <w:p w:rsidR="000A4B60" w:rsidRPr="00204A4D" w:rsidP="00D17E95" w14:paraId="004DD2E6" w14:textId="6E45E7A7">
      <w:pPr>
        <w:spacing w:after="120"/>
        <w:rPr>
          <w:sz w:val="20"/>
        </w:rPr>
      </w:pPr>
      <w:r>
        <w:rPr>
          <w:rStyle w:val="FootnoteReference"/>
        </w:rPr>
        <w:footnoteRef/>
      </w:r>
      <w:r>
        <w:rPr>
          <w:sz w:val="20"/>
        </w:rPr>
        <w:t xml:space="preserve"> 47 U.S.C. § 225</w:t>
      </w:r>
      <w:r w:rsidR="000654FF">
        <w:rPr>
          <w:sz w:val="20"/>
        </w:rPr>
        <w:t>(d)</w:t>
      </w:r>
      <w:r w:rsidRPr="00204A4D">
        <w:rPr>
          <w:rStyle w:val="FootnoteTextChar1Char1"/>
          <w:sz w:val="20"/>
        </w:rPr>
        <w:t>.</w:t>
      </w:r>
      <w:r w:rsidRPr="00204A4D">
        <w:rPr>
          <w:sz w:val="20"/>
        </w:rPr>
        <w:t xml:space="preserve">    </w:t>
      </w:r>
    </w:p>
  </w:footnote>
  <w:footnote w:id="6">
    <w:p w:rsidR="000A4B60" w:rsidP="00D17E95" w14:paraId="44A06FEF" w14:textId="42917CBF">
      <w:pPr>
        <w:pStyle w:val="FootnoteText"/>
      </w:pPr>
      <w:r>
        <w:rPr>
          <w:rStyle w:val="FootnoteReference"/>
        </w:rPr>
        <w:footnoteRef/>
      </w:r>
      <w:r>
        <w:t xml:space="preserve"> </w:t>
      </w:r>
      <w:r w:rsidRPr="00204A4D">
        <w:rPr>
          <w:i/>
        </w:rPr>
        <w:t>See</w:t>
      </w:r>
      <w:r w:rsidRPr="00204A4D">
        <w:t xml:space="preserve"> 47 CFR § 64.604. </w:t>
      </w:r>
    </w:p>
  </w:footnote>
  <w:footnote w:id="7">
    <w:p w:rsidR="004B0EDA" w:rsidP="004B0EDA" w14:paraId="0B64C011" w14:textId="001A4F42">
      <w:pPr>
        <w:pStyle w:val="FootnoteText"/>
      </w:pPr>
      <w:r>
        <w:rPr>
          <w:rStyle w:val="FootnoteReference"/>
        </w:rPr>
        <w:footnoteRef/>
      </w:r>
      <w:r>
        <w:t xml:space="preserve"> </w:t>
      </w:r>
      <w:r>
        <w:rPr>
          <w:i/>
        </w:rPr>
        <w:t xml:space="preserve">See </w:t>
      </w:r>
      <w:r w:rsidRPr="00A878E6">
        <w:rPr>
          <w:i/>
          <w:iCs/>
        </w:rPr>
        <w:t>Telecommunications Services for Individuals with Hearing and Speech Disabilities, and the Americans with Disabilities Act</w:t>
      </w:r>
      <w:r w:rsidRPr="003A0ACB">
        <w:t xml:space="preserve">, </w:t>
      </w:r>
      <w:r w:rsidR="000654FF">
        <w:t xml:space="preserve">CC Docket No. 90-571, </w:t>
      </w:r>
      <w:r w:rsidRPr="00A878E6">
        <w:t xml:space="preserve">Report and Order and Request for Comments, 6 </w:t>
      </w:r>
      <w:r>
        <w:t>FCC Rcd 4657, 4660</w:t>
      </w:r>
      <w:r w:rsidRPr="00A878E6">
        <w:t xml:space="preserve">-62, </w:t>
      </w:r>
      <w:r w:rsidRPr="00626E90">
        <w:t>para</w:t>
      </w:r>
      <w:r>
        <w:t>s</w:t>
      </w:r>
      <w:r w:rsidRPr="00626E90">
        <w:t xml:space="preserve">. </w:t>
      </w:r>
      <w:r>
        <w:t xml:space="preserve">17-19, </w:t>
      </w:r>
      <w:r w:rsidRPr="00A878E6">
        <w:t>22 (1991) (</w:t>
      </w:r>
      <w:r w:rsidRPr="00A878E6">
        <w:rPr>
          <w:i/>
          <w:iCs/>
        </w:rPr>
        <w:t>First TRS Report and Order</w:t>
      </w:r>
      <w:r w:rsidRPr="00A878E6">
        <w:t>).</w:t>
      </w:r>
      <w:r w:rsidRPr="00D31953">
        <w:rPr>
          <w:bCs/>
          <w:i/>
          <w:snapToGrid w:val="0"/>
          <w:kern w:val="28"/>
        </w:rPr>
        <w:t xml:space="preserve">  </w:t>
      </w:r>
      <w:r w:rsidRPr="00D31953">
        <w:t xml:space="preserve">  </w:t>
      </w:r>
    </w:p>
  </w:footnote>
  <w:footnote w:id="8">
    <w:p w:rsidR="000A4B60" w:rsidP="00D17E95" w14:paraId="00385E24" w14:textId="77777777">
      <w:pPr>
        <w:pStyle w:val="FootnoteText"/>
      </w:pPr>
      <w:r>
        <w:rPr>
          <w:rStyle w:val="FootnoteReference"/>
        </w:rPr>
        <w:footnoteRef/>
      </w:r>
      <w:r>
        <w:t xml:space="preserve"> 47 CFR § 64.604(b)(3).</w:t>
      </w:r>
    </w:p>
  </w:footnote>
  <w:footnote w:id="9">
    <w:p w:rsidR="000A4B60" w:rsidRPr="00934AD8" w:rsidP="00D17E95" w14:paraId="0D804826" w14:textId="5F106BD6">
      <w:pPr>
        <w:pStyle w:val="FootnoteText"/>
      </w:pPr>
      <w:r>
        <w:rPr>
          <w:rStyle w:val="FootnoteReference"/>
        </w:rPr>
        <w:footnoteRef/>
      </w:r>
      <w:r>
        <w:t xml:space="preserve"> </w:t>
      </w:r>
      <w:r w:rsidRPr="00054809" w:rsidR="00054809">
        <w:rPr>
          <w:i/>
        </w:rPr>
        <w:t>See</w:t>
      </w:r>
      <w:r w:rsidR="00054809">
        <w:t xml:space="preserve"> </w:t>
      </w:r>
      <w:r w:rsidRPr="00266ADA" w:rsidR="005B2309">
        <w:rPr>
          <w:bCs/>
          <w:i/>
        </w:rPr>
        <w:t>Telecommunications Relay Services and Speech-to-Speech for Individuals with Hearing and Speech Disabilities</w:t>
      </w:r>
      <w:r w:rsidRPr="00266ADA" w:rsidR="005B2309">
        <w:rPr>
          <w:bCs/>
        </w:rPr>
        <w:t>;</w:t>
      </w:r>
      <w:r w:rsidRPr="00266ADA" w:rsidR="005B2309">
        <w:rPr>
          <w:bCs/>
          <w:i/>
        </w:rPr>
        <w:t xml:space="preserve"> Waivers of </w:t>
      </w:r>
      <w:r w:rsidRPr="00266ADA" w:rsidR="005B2309">
        <w:rPr>
          <w:bCs/>
          <w:i/>
        </w:rPr>
        <w:t>iTRS</w:t>
      </w:r>
      <w:r w:rsidRPr="00266ADA" w:rsidR="005B2309">
        <w:rPr>
          <w:bCs/>
          <w:i/>
        </w:rPr>
        <w:t xml:space="preserve"> Mandatory Minimum Standards</w:t>
      </w:r>
      <w:r w:rsidRPr="00266ADA" w:rsidR="005B2309">
        <w:rPr>
          <w:bCs/>
        </w:rPr>
        <w:t>,</w:t>
      </w:r>
      <w:r w:rsidR="00B51764">
        <w:rPr>
          <w:bCs/>
        </w:rPr>
        <w:t xml:space="preserve"> CG Docket No. 03-123,</w:t>
      </w:r>
      <w:r w:rsidRPr="00266ADA" w:rsidR="005B2309">
        <w:rPr>
          <w:bCs/>
        </w:rPr>
        <w:t xml:space="preserve"> Report and Order, Order, Declaratory Ruling, and Further Notice of Proposed Rulemaking, 29 FCC Rcd 10697, 10703-04, para. 11 (2014) (</w:t>
      </w:r>
      <w:r w:rsidRPr="00266ADA" w:rsidR="005B2309">
        <w:rPr>
          <w:bCs/>
          <w:i/>
        </w:rPr>
        <w:t>iTRS Exemptions Order</w:t>
      </w:r>
      <w:r w:rsidRPr="00266ADA" w:rsidR="005B2309">
        <w:rPr>
          <w:bCs/>
        </w:rPr>
        <w:t xml:space="preserve">). </w:t>
      </w:r>
      <w:r w:rsidR="005B2309">
        <w:rPr>
          <w:bCs/>
        </w:rPr>
        <w:t xml:space="preserve"> </w:t>
      </w:r>
      <w:r>
        <w:rPr>
          <w:snapToGrid w:val="0"/>
        </w:rPr>
        <w:t xml:space="preserve">The billing options requirement is </w:t>
      </w:r>
      <w:r w:rsidR="004B0EDA">
        <w:rPr>
          <w:snapToGrid w:val="0"/>
        </w:rPr>
        <w:t>part</w:t>
      </w:r>
      <w:r>
        <w:rPr>
          <w:snapToGrid w:val="0"/>
        </w:rPr>
        <w:t xml:space="preserve"> of what has come to be known as the “types of calls” </w:t>
      </w:r>
      <w:r w:rsidR="004B0EDA">
        <w:rPr>
          <w:snapToGrid w:val="0"/>
        </w:rPr>
        <w:t>rule</w:t>
      </w:r>
      <w:r>
        <w:rPr>
          <w:snapToGrid w:val="0"/>
        </w:rPr>
        <w:t xml:space="preserve">, which directs TRS providers to handle any type of telephone call normally provided by carriers.  </w:t>
      </w:r>
      <w:r>
        <w:rPr>
          <w:i/>
          <w:snapToGrid w:val="0"/>
        </w:rPr>
        <w:t xml:space="preserve">See </w:t>
      </w:r>
      <w:r>
        <w:rPr>
          <w:bCs/>
          <w:snapToGrid w:val="0"/>
        </w:rPr>
        <w:t xml:space="preserve">47 CFR § 64.604(a)(3)(ii); </w:t>
      </w:r>
      <w:r>
        <w:rPr>
          <w:i/>
          <w:snapToGrid w:val="0"/>
        </w:rPr>
        <w:t>First TRS Report and Order</w:t>
      </w:r>
      <w:r>
        <w:rPr>
          <w:snapToGrid w:val="0"/>
        </w:rPr>
        <w:t xml:space="preserve">, 6 FCC Rcd 4657, 4600, para. 17.  </w:t>
      </w:r>
      <w:r>
        <w:t xml:space="preserve">  </w:t>
      </w:r>
    </w:p>
  </w:footnote>
  <w:footnote w:id="10">
    <w:p w:rsidR="00266ADA" w14:paraId="47D0A95A" w14:textId="2133FA9D">
      <w:pPr>
        <w:pStyle w:val="FootnoteText"/>
      </w:pPr>
      <w:r>
        <w:rPr>
          <w:rStyle w:val="FootnoteReference"/>
        </w:rPr>
        <w:footnoteRef/>
      </w:r>
      <w:r w:rsidRPr="00B51764" w:rsidR="00B51764">
        <w:rPr>
          <w:bCs/>
          <w:i/>
        </w:rPr>
        <w:t xml:space="preserve"> </w:t>
      </w:r>
      <w:r w:rsidRPr="00266ADA" w:rsidR="00B51764">
        <w:rPr>
          <w:bCs/>
          <w:i/>
        </w:rPr>
        <w:t>iTRS</w:t>
      </w:r>
      <w:r w:rsidRPr="00266ADA" w:rsidR="00B51764">
        <w:rPr>
          <w:bCs/>
          <w:i/>
        </w:rPr>
        <w:t xml:space="preserve"> Exemptions Order</w:t>
      </w:r>
      <w:r w:rsidRPr="00266ADA">
        <w:rPr>
          <w:bCs/>
        </w:rPr>
        <w:t xml:space="preserve">, 29 FCC </w:t>
      </w:r>
      <w:r w:rsidRPr="00266ADA">
        <w:rPr>
          <w:bCs/>
        </w:rPr>
        <w:t>Rcd</w:t>
      </w:r>
      <w:r w:rsidRPr="00266ADA">
        <w:rPr>
          <w:bCs/>
        </w:rPr>
        <w:t xml:space="preserve"> </w:t>
      </w:r>
      <w:r w:rsidR="00B51764">
        <w:rPr>
          <w:bCs/>
        </w:rPr>
        <w:t>at</w:t>
      </w:r>
      <w:r w:rsidRPr="00266ADA">
        <w:rPr>
          <w:bCs/>
        </w:rPr>
        <w:t xml:space="preserve"> 10703-0</w:t>
      </w:r>
      <w:r w:rsidR="00E116A3">
        <w:rPr>
          <w:bCs/>
        </w:rPr>
        <w:t>6</w:t>
      </w:r>
      <w:r w:rsidRPr="00266ADA">
        <w:rPr>
          <w:bCs/>
        </w:rPr>
        <w:t>, para. 11</w:t>
      </w:r>
      <w:r w:rsidR="00E116A3">
        <w:rPr>
          <w:bCs/>
        </w:rPr>
        <w:t>-16</w:t>
      </w:r>
      <w:r w:rsidRPr="00266ADA">
        <w:rPr>
          <w:bCs/>
        </w:rPr>
        <w:t xml:space="preserve">.  </w:t>
      </w:r>
      <w:r w:rsidRPr="00CA4ACA">
        <w:t>Specifically, providers of Internet-based forms of TRS are (1) exempt from the equal access requirement if they do not assess charges for long distance calling, and (2) exempt from the billing options requirement if they do not assess charges for long distance or if they allow for long distance calls to be placed using calling cards or credit cards.</w:t>
      </w:r>
      <w:r>
        <w:t xml:space="preserve">  </w:t>
      </w:r>
      <w:r w:rsidR="00B51764">
        <w:rPr>
          <w:i/>
        </w:rPr>
        <w:t>Id.</w:t>
      </w:r>
      <w:r>
        <w:t xml:space="preserve"> at 1070</w:t>
      </w:r>
      <w:r w:rsidR="00E116A3">
        <w:t>5</w:t>
      </w:r>
      <w:r>
        <w:t xml:space="preserve">-06, paras. </w:t>
      </w:r>
      <w:r w:rsidR="00E116A3">
        <w:t xml:space="preserve">14, </w:t>
      </w:r>
      <w:r>
        <w:t>16.</w:t>
      </w:r>
    </w:p>
  </w:footnote>
  <w:footnote w:id="11">
    <w:p w:rsidR="004B0EDA" w:rsidP="004B0EDA" w14:paraId="3EE82B79" w14:textId="517A35EA">
      <w:pPr>
        <w:pStyle w:val="FootnoteText"/>
      </w:pPr>
      <w:r>
        <w:rPr>
          <w:rStyle w:val="FootnoteReference"/>
        </w:rPr>
        <w:footnoteRef/>
      </w:r>
      <w:r w:rsidR="00266ADA">
        <w:t xml:space="preserve"> </w:t>
      </w:r>
      <w:r w:rsidRPr="00CA4ACA">
        <w:t xml:space="preserve"> </w:t>
      </w:r>
      <w:r w:rsidRPr="005B2309" w:rsidR="005B2309">
        <w:rPr>
          <w:bCs/>
        </w:rPr>
        <w:t xml:space="preserve">In traditional TRS, one party uses a text telephone (TTY) to communicate with another party through a communications assistant (CA), who relays the typed message orally in real time to the other party and types back spoken responses to the TTY user.  </w:t>
      </w:r>
      <w:r w:rsidRPr="005B2309" w:rsidR="005B2309">
        <w:rPr>
          <w:bCs/>
          <w:i/>
        </w:rPr>
        <w:t xml:space="preserve">See </w:t>
      </w:r>
      <w:r w:rsidRPr="005B2309" w:rsidR="005B2309">
        <w:rPr>
          <w:bCs/>
          <w:i/>
          <w:iCs/>
        </w:rPr>
        <w:t>Telecommunications Relay Services and Speech-to-Speech Services for Individuals with Hearing and Speech Disabilities,</w:t>
      </w:r>
      <w:r w:rsidRPr="005B2309" w:rsidR="005B2309">
        <w:rPr>
          <w:bCs/>
        </w:rPr>
        <w:t xml:space="preserve"> Report and Order, Order on Reconsideration, and Further Notice of Proposed Rulemaking, </w:t>
      </w:r>
      <w:r w:rsidR="00B51764">
        <w:rPr>
          <w:bCs/>
        </w:rPr>
        <w:t xml:space="preserve">CC Docket Nos. 90-571 and 98-67, CG Docket No. 03-123, </w:t>
      </w:r>
      <w:r w:rsidRPr="005B2309" w:rsidR="005B2309">
        <w:rPr>
          <w:bCs/>
        </w:rPr>
        <w:t xml:space="preserve">19 FCC </w:t>
      </w:r>
      <w:r w:rsidRPr="005B2309" w:rsidR="005B2309">
        <w:rPr>
          <w:bCs/>
        </w:rPr>
        <w:t>Rcd</w:t>
      </w:r>
      <w:r w:rsidRPr="005B2309" w:rsidR="005B2309">
        <w:rPr>
          <w:bCs/>
        </w:rPr>
        <w:t xml:space="preserve"> 12475, 12480, para. 3 n.18 (2004); </w:t>
      </w:r>
      <w:r w:rsidRPr="005B2309" w:rsidR="005B2309">
        <w:rPr>
          <w:bCs/>
          <w:i/>
        </w:rPr>
        <w:t>see also</w:t>
      </w:r>
      <w:r w:rsidRPr="005B2309" w:rsidR="005B2309">
        <w:rPr>
          <w:bCs/>
        </w:rPr>
        <w:t xml:space="preserve"> 47 CFR § 64.601(a)(</w:t>
      </w:r>
      <w:r w:rsidR="00B51764">
        <w:rPr>
          <w:bCs/>
        </w:rPr>
        <w:t>40</w:t>
      </w:r>
      <w:r w:rsidRPr="005B2309" w:rsidR="005B2309">
        <w:rPr>
          <w:bCs/>
        </w:rPr>
        <w:t>) (definition of TTY).  With STS, a person with a speech disability communicates with another party through a specially trained CA who repeats the spoken words to the other party.  47 CFR § 64.601(a)(</w:t>
      </w:r>
      <w:r w:rsidR="00B51764">
        <w:rPr>
          <w:bCs/>
        </w:rPr>
        <w:t>37</w:t>
      </w:r>
      <w:r w:rsidRPr="005B2309" w:rsidR="005B2309">
        <w:rPr>
          <w:bCs/>
        </w:rPr>
        <w:t xml:space="preserve">).  With CTS, a person with a hearing disability speaks directly to the other party, and the other party’s speech is transcribed as captions, which are displayed on the first person’s device.  </w:t>
      </w:r>
      <w:r w:rsidRPr="005B2309" w:rsidR="005B2309">
        <w:rPr>
          <w:bCs/>
          <w:i/>
        </w:rPr>
        <w:t>See Telecommunications Relay Services and Speech-to-Speech Services for Individuals with Hearing and Speech Disabilities</w:t>
      </w:r>
      <w:r w:rsidRPr="00B51764" w:rsidR="005B2309">
        <w:rPr>
          <w:bCs/>
        </w:rPr>
        <w:t>,</w:t>
      </w:r>
      <w:r w:rsidRPr="005B2309" w:rsidR="005B2309">
        <w:rPr>
          <w:bCs/>
          <w:i/>
        </w:rPr>
        <w:t xml:space="preserve"> </w:t>
      </w:r>
      <w:r w:rsidR="00B51764">
        <w:rPr>
          <w:bCs/>
        </w:rPr>
        <w:t xml:space="preserve">CC Docket No. 98-67, </w:t>
      </w:r>
      <w:r w:rsidRPr="005B2309" w:rsidR="005B2309">
        <w:rPr>
          <w:bCs/>
        </w:rPr>
        <w:t>Declaratory Ruling, 18 FCC Rcd 16121, 16122-23, 16125, paras. 3-5, 11 (2003).</w:t>
      </w:r>
      <w:r w:rsidRPr="00CA4ACA">
        <w:t xml:space="preserve"> </w:t>
      </w:r>
    </w:p>
  </w:footnote>
  <w:footnote w:id="12">
    <w:p w:rsidR="004B0EDA" w:rsidRPr="0044290C" w:rsidP="004B0EDA" w14:paraId="65294B90" w14:textId="1D180615">
      <w:pPr>
        <w:pStyle w:val="FootnoteText"/>
      </w:pPr>
      <w:r>
        <w:rPr>
          <w:rStyle w:val="FootnoteReference"/>
        </w:rPr>
        <w:footnoteRef/>
      </w:r>
      <w:r>
        <w:t xml:space="preserve"> </w:t>
      </w:r>
      <w:r w:rsidRPr="00FE1FC4">
        <w:rPr>
          <w:i/>
        </w:rPr>
        <w:t>See</w:t>
      </w:r>
      <w:r>
        <w:t xml:space="preserve"> </w:t>
      </w:r>
      <w:r w:rsidRPr="00DB1174">
        <w:t>Petition for Interim Waiver of Sprint Corporation</w:t>
      </w:r>
      <w:r>
        <w:t>, CG Docket No. 03-123</w:t>
      </w:r>
      <w:r w:rsidRPr="00DB1174">
        <w:t xml:space="preserve"> (</w:t>
      </w:r>
      <w:r w:rsidR="00B51764">
        <w:t>filed</w:t>
      </w:r>
      <w:r w:rsidRPr="00DB1174" w:rsidR="00B51764">
        <w:t xml:space="preserve"> </w:t>
      </w:r>
      <w:r w:rsidRPr="00DB1174">
        <w:t>Sept. 23, 2015); Petition for Interim Waiver of Hamilton Relay, Inc.</w:t>
      </w:r>
      <w:r>
        <w:t xml:space="preserve">, </w:t>
      </w:r>
      <w:bookmarkStart w:id="0" w:name="_Hlk16600859"/>
      <w:r>
        <w:t>CG Docket No. 03-123</w:t>
      </w:r>
      <w:r w:rsidRPr="00DB1174">
        <w:t xml:space="preserve"> </w:t>
      </w:r>
      <w:bookmarkEnd w:id="0"/>
      <w:r w:rsidRPr="00DB1174">
        <w:t>(</w:t>
      </w:r>
      <w:r w:rsidR="00B51764">
        <w:t>filed</w:t>
      </w:r>
      <w:r w:rsidRPr="00DB1174" w:rsidR="00B51764">
        <w:t xml:space="preserve"> </w:t>
      </w:r>
      <w:r w:rsidRPr="00DB1174">
        <w:t>Mar. 14, 2016)</w:t>
      </w:r>
      <w:r>
        <w:t xml:space="preserve">; </w:t>
      </w:r>
      <w:r w:rsidRPr="00F72C40">
        <w:t>Hamilton, Supplement to Petition for Interim Waiver</w:t>
      </w:r>
      <w:r>
        <w:t>, CG Docket No. 03-123</w:t>
      </w:r>
      <w:r w:rsidRPr="00F72C40">
        <w:t xml:space="preserve"> (</w:t>
      </w:r>
      <w:r w:rsidR="00B51764">
        <w:t>filed</w:t>
      </w:r>
      <w:r w:rsidRPr="00F72C40" w:rsidR="00B51764">
        <w:t xml:space="preserve"> </w:t>
      </w:r>
      <w:r w:rsidRPr="00F72C40">
        <w:t>Aug. 17, 2016)</w:t>
      </w:r>
      <w:r w:rsidRPr="00382300">
        <w:t xml:space="preserve"> (Hamilton Supplement)</w:t>
      </w:r>
      <w:r w:rsidRPr="0044290C">
        <w:t>.</w:t>
      </w:r>
    </w:p>
  </w:footnote>
  <w:footnote w:id="13">
    <w:p w:rsidR="004B0EDA" w:rsidP="004B0EDA" w14:paraId="7C44CFFD" w14:textId="5B55C5D2">
      <w:pPr>
        <w:pStyle w:val="FootnoteText"/>
      </w:pPr>
      <w:r>
        <w:rPr>
          <w:rStyle w:val="FootnoteReference"/>
        </w:rPr>
        <w:footnoteRef/>
      </w:r>
      <w:r>
        <w:t xml:space="preserve"> </w:t>
      </w:r>
      <w:r w:rsidRPr="00AC1A41">
        <w:t>Hamilton Relay, Inc. and Sprint Corporation Joint Petition for Rulemaking to Reform the Commission’s Mandatory Minimum Requirements for Traditional TRS and CTS Providers</w:t>
      </w:r>
      <w:r>
        <w:t>, CG Docket No. 03-123</w:t>
      </w:r>
      <w:r w:rsidRPr="00AC1A41">
        <w:t xml:space="preserve"> (</w:t>
      </w:r>
      <w:r w:rsidR="00B51764">
        <w:t>filed</w:t>
      </w:r>
      <w:r w:rsidRPr="00AC1A41" w:rsidR="00B51764">
        <w:t xml:space="preserve"> </w:t>
      </w:r>
      <w:r w:rsidRPr="00AC1A41">
        <w:t>Sept. 23, 2015)</w:t>
      </w:r>
      <w:r>
        <w:t>;</w:t>
      </w:r>
      <w:r w:rsidRPr="00AC1A41">
        <w:rPr>
          <w:snapToGrid w:val="0"/>
          <w:kern w:val="28"/>
          <w:sz w:val="22"/>
        </w:rPr>
        <w:t xml:space="preserve"> </w:t>
      </w:r>
      <w:r w:rsidRPr="00AC1A41">
        <w:t xml:space="preserve">Hamilton Supplement. </w:t>
      </w:r>
      <w:r>
        <w:t xml:space="preserve"> </w:t>
      </w:r>
    </w:p>
  </w:footnote>
  <w:footnote w:id="14">
    <w:p w:rsidR="004B0EDA" w:rsidRPr="0036491E" w:rsidP="004B0EDA" w14:paraId="76EC26B3" w14:textId="77777777">
      <w:pPr>
        <w:pStyle w:val="FootnoteText"/>
        <w:rPr>
          <w:i/>
        </w:rPr>
      </w:pPr>
      <w:r>
        <w:rPr>
          <w:rStyle w:val="FootnoteReference"/>
        </w:rPr>
        <w:footnoteRef/>
      </w:r>
      <w:r>
        <w:t xml:space="preserve"> </w:t>
      </w:r>
      <w:r>
        <w:rPr>
          <w:i/>
        </w:rPr>
        <w:t>Hamilton and Sprint Waiver Order</w:t>
      </w:r>
      <w:r>
        <w:t>, 31 FCC Rcd at 9515, 9516, paras. 12, 14.</w:t>
      </w:r>
    </w:p>
  </w:footnote>
  <w:footnote w:id="15">
    <w:p w:rsidR="004B0EDA" w:rsidP="004B0EDA" w14:paraId="5C95A2BA" w14:textId="4FD2E445">
      <w:pPr>
        <w:pStyle w:val="FootnoteText"/>
      </w:pPr>
      <w:r>
        <w:rPr>
          <w:rStyle w:val="FootnoteReference"/>
        </w:rPr>
        <w:footnoteRef/>
      </w:r>
      <w:r>
        <w:t xml:space="preserve"> </w:t>
      </w:r>
      <w:r w:rsidR="00B37002">
        <w:rPr>
          <w:i/>
        </w:rPr>
        <w:t>Hamilton and Sprint Waiver Extension</w:t>
      </w:r>
      <w:r w:rsidR="009240C5">
        <w:t xml:space="preserve">, 33 FCC </w:t>
      </w:r>
      <w:r w:rsidR="009240C5">
        <w:t>Rcd</w:t>
      </w:r>
      <w:r w:rsidR="009240C5">
        <w:t xml:space="preserve"> at 8065-66, para. 6.</w:t>
      </w:r>
      <w:r w:rsidRPr="00E66AF1">
        <w:t xml:space="preserve">  </w:t>
      </w:r>
    </w:p>
  </w:footnote>
  <w:footnote w:id="16">
    <w:p w:rsidR="00BC3FA5" w14:paraId="1EEF2F3D" w14:textId="3B883D00">
      <w:pPr>
        <w:pStyle w:val="FootnoteText"/>
      </w:pPr>
      <w:r>
        <w:rPr>
          <w:rStyle w:val="FootnoteReference"/>
        </w:rPr>
        <w:footnoteRef/>
      </w:r>
      <w:r>
        <w:t xml:space="preserve"> </w:t>
      </w:r>
      <w:r w:rsidR="000F1AB8">
        <w:t>Petition</w:t>
      </w:r>
      <w:r w:rsidR="009240C5">
        <w:t xml:space="preserve"> of Hamilton</w:t>
      </w:r>
      <w:r w:rsidR="000F1AB8">
        <w:t xml:space="preserve"> for Extension of Waiver, </w:t>
      </w:r>
      <w:r w:rsidRPr="000F1AB8" w:rsidR="000F1AB8">
        <w:t xml:space="preserve">CG Docket No. 03-123 </w:t>
      </w:r>
      <w:r w:rsidR="000F1AB8">
        <w:t>(</w:t>
      </w:r>
      <w:r w:rsidR="009240C5">
        <w:t xml:space="preserve">filed </w:t>
      </w:r>
      <w:r w:rsidR="000F1AB8">
        <w:t>Aug. 2, 2019)</w:t>
      </w:r>
      <w:r w:rsidR="00330EAD">
        <w:t xml:space="preserve"> (Hamilton Extension Petition)</w:t>
      </w:r>
      <w:r w:rsidR="009D3FCA">
        <w:t>; Letter from Scott R. Freiermuth, Counsel, Government Affairs, Federal Regulatory, Sprint, to Marlene H. Dortch, Secretary, FCC</w:t>
      </w:r>
      <w:r w:rsidR="009240C5">
        <w:t>, CG Docket No. 03-123</w:t>
      </w:r>
      <w:r w:rsidR="009D3FCA">
        <w:t xml:space="preserve"> (</w:t>
      </w:r>
      <w:r w:rsidR="009240C5">
        <w:t xml:space="preserve">filed </w:t>
      </w:r>
      <w:r w:rsidR="009D3FCA">
        <w:t>Aug. 13, 2019).</w:t>
      </w:r>
    </w:p>
  </w:footnote>
  <w:footnote w:id="17">
    <w:p w:rsidR="000A4B60" w:rsidP="00D17E95" w14:paraId="143144C9" w14:textId="77777777">
      <w:pPr>
        <w:pStyle w:val="FootnoteText"/>
      </w:pPr>
      <w:r>
        <w:rPr>
          <w:rStyle w:val="FootnoteReference"/>
        </w:rPr>
        <w:footnoteRef/>
      </w:r>
      <w:r>
        <w:t xml:space="preserve"> 47 CFR § 1.3.</w:t>
      </w:r>
    </w:p>
  </w:footnote>
  <w:footnote w:id="18">
    <w:p w:rsidR="000A4B60" w:rsidP="00D17E95" w14:paraId="41288A64" w14:textId="77777777">
      <w:pPr>
        <w:pStyle w:val="FootnoteText"/>
      </w:pPr>
      <w:r>
        <w:rPr>
          <w:rStyle w:val="FootnoteReference"/>
        </w:rPr>
        <w:footnoteRef/>
      </w:r>
      <w:r>
        <w:t xml:space="preserve"> </w:t>
      </w:r>
      <w:r>
        <w:rPr>
          <w:i/>
        </w:rPr>
        <w:t>Northeast Cellular Tel. Co. v. FCC</w:t>
      </w:r>
      <w:r>
        <w:t>, 897 F.2d 1164, 1166 (D.C. Cir. 1990) (</w:t>
      </w:r>
      <w:r>
        <w:rPr>
          <w:i/>
        </w:rPr>
        <w:t>Northeast Cellular</w:t>
      </w:r>
      <w:r>
        <w:t>).</w:t>
      </w:r>
    </w:p>
  </w:footnote>
  <w:footnote w:id="19">
    <w:p w:rsidR="000A4B60" w:rsidP="00D17E95" w14:paraId="4B520115" w14:textId="77777777">
      <w:pPr>
        <w:pStyle w:val="FootnoteText"/>
      </w:pPr>
      <w:r>
        <w:rPr>
          <w:rStyle w:val="FootnoteReference"/>
        </w:rPr>
        <w:footnoteRef/>
      </w:r>
      <w:r>
        <w:t xml:space="preserve"> </w:t>
      </w:r>
      <w:r>
        <w:rPr>
          <w:i/>
        </w:rPr>
        <w:t>WAIT Radio v. FCC</w:t>
      </w:r>
      <w:r>
        <w:t xml:space="preserve">, 418 F.2d 1153, 1159 (D.C. Cir. 1969), </w:t>
      </w:r>
      <w:r>
        <w:rPr>
          <w:i/>
        </w:rPr>
        <w:t>cert. denied</w:t>
      </w:r>
      <w:r>
        <w:t xml:space="preserve">, 409 U.S. 1027 (1972); </w:t>
      </w:r>
      <w:r>
        <w:rPr>
          <w:i/>
        </w:rPr>
        <w:t>Northeast Cellular</w:t>
      </w:r>
      <w:r>
        <w:t>, 897 F.2d at 1166.</w:t>
      </w:r>
    </w:p>
  </w:footnote>
  <w:footnote w:id="20">
    <w:p w:rsidR="000A4B60" w:rsidP="00D17E95" w14:paraId="24006BE8" w14:textId="77777777">
      <w:pPr>
        <w:pStyle w:val="FootnoteText"/>
      </w:pPr>
      <w:r>
        <w:rPr>
          <w:rStyle w:val="FootnoteReference"/>
        </w:rPr>
        <w:footnoteRef/>
      </w:r>
      <w:r>
        <w:t xml:space="preserve"> </w:t>
      </w:r>
      <w:r>
        <w:rPr>
          <w:i/>
        </w:rPr>
        <w:t xml:space="preserve">Northeast </w:t>
      </w:r>
      <w:r w:rsidRPr="00310851">
        <w:rPr>
          <w:i/>
        </w:rPr>
        <w:t>Cellular</w:t>
      </w:r>
      <w:r>
        <w:t>, 897 F.2d at 1166.</w:t>
      </w:r>
    </w:p>
  </w:footnote>
  <w:footnote w:id="21">
    <w:p w:rsidR="000A4B60" w:rsidP="00D17E95" w14:paraId="3F385EA0" w14:textId="77777777">
      <w:pPr>
        <w:pStyle w:val="FootnoteText"/>
      </w:pPr>
      <w:r>
        <w:rPr>
          <w:rStyle w:val="FootnoteReference"/>
        </w:rPr>
        <w:footnoteRef/>
      </w:r>
      <w:r>
        <w:t xml:space="preserve"> </w:t>
      </w:r>
      <w:bookmarkStart w:id="1" w:name="_Hlk15548434"/>
      <w:r>
        <w:rPr>
          <w:i/>
        </w:rPr>
        <w:t>Hamilton and Sprint Waiver Order</w:t>
      </w:r>
      <w:r>
        <w:t>, 31 FCC Rcd at 9515-16, paras. 11-14</w:t>
      </w:r>
      <w:bookmarkEnd w:id="1"/>
      <w:r>
        <w:t xml:space="preserve">; </w:t>
      </w:r>
      <w:r>
        <w:rPr>
          <w:i/>
        </w:rPr>
        <w:t>Hamilton and Sprint Waiver Extension</w:t>
      </w:r>
      <w:r>
        <w:t>, 33 FCC Rcd at 8065-66, paras. 4-6.</w:t>
      </w:r>
    </w:p>
  </w:footnote>
  <w:footnote w:id="22">
    <w:p w:rsidR="000A4B60" w:rsidRPr="002543D7" w:rsidP="00D17E95" w14:paraId="7092F491" w14:textId="63DB4E5D">
      <w:pPr>
        <w:pStyle w:val="FootnoteText"/>
      </w:pPr>
      <w:r>
        <w:rPr>
          <w:rStyle w:val="FootnoteReference"/>
        </w:rPr>
        <w:footnoteRef/>
      </w:r>
      <w:r>
        <w:t xml:space="preserve"> </w:t>
      </w:r>
      <w:r>
        <w:rPr>
          <w:i/>
        </w:rPr>
        <w:t>Hamilton and Sprint Waiver Order</w:t>
      </w:r>
      <w:r>
        <w:t xml:space="preserve">, at 9514-16, paras. 10-14; </w:t>
      </w:r>
      <w:r>
        <w:rPr>
          <w:i/>
        </w:rPr>
        <w:t>Hamilton and Sprint Waiver Extension</w:t>
      </w:r>
      <w:r>
        <w:t>, 33 FCC Rcd at 8065-66, paras. 5-6</w:t>
      </w:r>
      <w:r w:rsidR="00330EAD">
        <w:t>; Hamilton Extension Petition at 2-4</w:t>
      </w:r>
      <w:r>
        <w:rPr>
          <w:bCs/>
        </w:rPr>
        <w:t>.</w:t>
      </w:r>
    </w:p>
  </w:footnote>
  <w:footnote w:id="23">
    <w:p w:rsidR="00330EAD" w:rsidP="00330EAD" w14:paraId="6B6C680A" w14:textId="025B60E3">
      <w:pPr>
        <w:pStyle w:val="FootnoteText"/>
      </w:pPr>
      <w:r>
        <w:rPr>
          <w:rStyle w:val="FootnoteReference"/>
        </w:rPr>
        <w:footnoteRef/>
      </w:r>
      <w:r>
        <w:t xml:space="preserve"> </w:t>
      </w:r>
      <w:r w:rsidRPr="00176F7E">
        <w:rPr>
          <w:i/>
        </w:rPr>
        <w:t>See</w:t>
      </w:r>
      <w:r>
        <w:rPr>
          <w:i/>
        </w:rPr>
        <w:t xml:space="preserve"> </w:t>
      </w:r>
      <w:r w:rsidRPr="00176F7E">
        <w:rPr>
          <w:i/>
        </w:rPr>
        <w:t>Hamilton and Sprint Waiver Order</w:t>
      </w:r>
      <w:r w:rsidRPr="00176F7E">
        <w:t>, 31 FCC Rcd at 9515, para. 11 (noting</w:t>
      </w:r>
      <w:r w:rsidRPr="00176F7E">
        <w:rPr>
          <w:snapToGrid w:val="0"/>
          <w:kern w:val="28"/>
        </w:rPr>
        <w:t xml:space="preserve"> that application of the equal access rule </w:t>
      </w:r>
      <w:r w:rsidRPr="00176F7E">
        <w:t>compels TRS providers to expend resources to maintain and replicate equal access capabilities)</w:t>
      </w:r>
      <w:r>
        <w:t xml:space="preserve">; </w:t>
      </w:r>
      <w:r w:rsidRPr="00330EAD">
        <w:t xml:space="preserve">Hamilton Extension Petition at </w:t>
      </w:r>
      <w:r>
        <w:t>3 (</w:t>
      </w:r>
      <w:r w:rsidRPr="00330EAD">
        <w:t>forcing Hamilton and other</w:t>
      </w:r>
      <w:r>
        <w:t xml:space="preserve"> </w:t>
      </w:r>
      <w:r w:rsidRPr="00330EAD">
        <w:t>providers to build and maintain the infrastructure necessary to come into compliance with the</w:t>
      </w:r>
      <w:r>
        <w:t xml:space="preserve"> </w:t>
      </w:r>
      <w:r w:rsidRPr="00330EAD">
        <w:t>currently-waived requirements would impose an unnecessary burden on providers and</w:t>
      </w:r>
      <w:r>
        <w:t xml:space="preserve"> </w:t>
      </w:r>
      <w:r w:rsidRPr="00330EAD">
        <w:t>consumers alike</w:t>
      </w:r>
      <w:r>
        <w:t>)</w:t>
      </w:r>
      <w:r w:rsidRPr="00176F7E">
        <w:t>.</w:t>
      </w:r>
    </w:p>
  </w:footnote>
  <w:footnote w:id="24">
    <w:p w:rsidR="000A4B60" w:rsidP="00D17E95" w14:paraId="50BD53B7" w14:textId="77777777">
      <w:pPr>
        <w:pStyle w:val="FootnoteText"/>
      </w:pPr>
      <w:r>
        <w:rPr>
          <w:rStyle w:val="FootnoteReference"/>
        </w:rPr>
        <w:footnoteRef/>
      </w:r>
      <w:r>
        <w:t xml:space="preserve"> </w:t>
      </w:r>
      <w:bookmarkStart w:id="2" w:name="_Hlk14788411"/>
      <w:r>
        <w:rPr>
          <w:i/>
        </w:rPr>
        <w:t>Hamilton and Sprint Waiver Order</w:t>
      </w:r>
      <w:r>
        <w:t>, 31 FCC Rcd at 9515-16, para. 13</w:t>
      </w:r>
      <w:bookmarkEnd w:id="2"/>
      <w:r>
        <w:t xml:space="preserve">; </w:t>
      </w:r>
      <w:r>
        <w:rPr>
          <w:i/>
        </w:rPr>
        <w:t>see also Hamilton and Sprint Waiver Extension</w:t>
      </w:r>
      <w:r>
        <w:t>, 33 FCC Rcd at 8065, para. 5.</w:t>
      </w:r>
    </w:p>
  </w:footnote>
  <w:footnote w:id="25">
    <w:p w:rsidR="000A4B60" w:rsidP="00D17E95" w14:paraId="09794692" w14:textId="77777777">
      <w:pPr>
        <w:pStyle w:val="FootnoteText"/>
      </w:pPr>
      <w:r>
        <w:rPr>
          <w:rStyle w:val="FootnoteReference"/>
        </w:rPr>
        <w:footnoteRef/>
      </w:r>
      <w:r>
        <w:t xml:space="preserve"> As with the initial grant of waivers, Sprint and Hamilton, as TRS providers, must continue to handle and complete inmate calls in a manner that is consistent with the applicable billing methods allowed by a correctional facility for any charges lawfully assessed by an inmate calling services provider. </w:t>
      </w:r>
      <w:r w:rsidRPr="000D4930">
        <w:rPr>
          <w:i/>
          <w:snapToGrid w:val="0"/>
          <w:kern w:val="28"/>
          <w:sz w:val="22"/>
        </w:rPr>
        <w:t xml:space="preserve"> </w:t>
      </w:r>
      <w:r w:rsidRPr="000D4930">
        <w:rPr>
          <w:i/>
        </w:rPr>
        <w:t>Hamilton and Sprint Waiver Order</w:t>
      </w:r>
      <w:r w:rsidRPr="000D4930">
        <w:t>, 31 FCC Rcd at 9516, para. 1</w:t>
      </w:r>
      <w:r>
        <w:t xml:space="preserve">5; </w:t>
      </w:r>
      <w:r>
        <w:rPr>
          <w:i/>
        </w:rPr>
        <w:t>Hamilton and Sprint Waiver Extension</w:t>
      </w:r>
      <w:r>
        <w:t>, 33 FCC Rcd at 8066, n.24.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B60" w:rsidP="00810B6F" w14:paraId="0DA1374E" w14:textId="3116A787">
    <w:pPr>
      <w:pStyle w:val="Header"/>
      <w:rPr>
        <w:b w:val="0"/>
      </w:rPr>
    </w:pPr>
    <w:r>
      <w:tab/>
      <w:t>Federal Communications Commission</w:t>
    </w:r>
    <w:r>
      <w:tab/>
    </w:r>
    <w:r w:rsidR="00156A90">
      <w:t>DA 19-</w:t>
    </w:r>
    <w:r w:rsidR="00EF1727">
      <w:t>789</w:t>
    </w:r>
  </w:p>
  <w:p w:rsidR="000A4B60" w14:paraId="7CD36746"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0A4B60" w14:paraId="552DF49F"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B60" w:rsidP="00810B6F" w14:paraId="3FA9CEB3" w14:textId="68955D94">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156A90">
      <w:rPr>
        <w:spacing w:val="-2"/>
      </w:rPr>
      <w:t>DA 19-</w:t>
    </w:r>
    <w:r w:rsidR="00EF1727">
      <w:rPr>
        <w:spacing w:val="-2"/>
      </w:rPr>
      <w:t>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B114F1AC"/>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0210682"/>
    <w:multiLevelType w:val="hybridMultilevel"/>
    <w:tmpl w:val="8F228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76AAF22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4CAF0BFE"/>
    <w:multiLevelType w:val="hybridMultilevel"/>
    <w:tmpl w:val="8F228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4E0140B8"/>
    <w:multiLevelType w:val="hybridMultilevel"/>
    <w:tmpl w:val="C948575A"/>
    <w:lvl w:ilvl="0">
      <w:start w:val="1"/>
      <w:numFmt w:val="bullet"/>
      <w:lvlText w:val=""/>
      <w:lvlJc w:val="left"/>
      <w:pPr>
        <w:ind w:left="1800" w:hanging="360"/>
      </w:pPr>
      <w:rPr>
        <w:rFonts w:ascii="Wingdings" w:hAnsi="Wingdings" w:hint="default"/>
      </w:rPr>
    </w:lvl>
    <w:lvl w:ilvl="1">
      <w:start w:val="1"/>
      <w:numFmt w:val="bullet"/>
      <w:lvlText w:val=""/>
      <w:lvlJc w:val="left"/>
      <w:pPr>
        <w:ind w:left="2520" w:hanging="360"/>
      </w:pPr>
      <w:rPr>
        <w:rFonts w:ascii="Wingdings" w:hAnsi="Wingdings"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3"/>
  </w:num>
  <w:num w:numId="2">
    <w:abstractNumId w:val="9"/>
  </w:num>
  <w:num w:numId="3">
    <w:abstractNumId w:val="5"/>
  </w:num>
  <w:num w:numId="4">
    <w:abstractNumId w:val="7"/>
  </w:num>
  <w:num w:numId="5">
    <w:abstractNumId w:val="4"/>
  </w:num>
  <w:num w:numId="6">
    <w:abstractNumId w:val="1"/>
  </w:num>
  <w:num w:numId="7">
    <w:abstractNumId w:val="0"/>
  </w:num>
  <w:num w:numId="8">
    <w:abstractNumId w:val="8"/>
  </w:num>
  <w:num w:numId="9">
    <w:abstractNumId w:val="9"/>
    <w:lvlOverride w:ilvl="0">
      <w:startOverride w:val="1"/>
    </w:lvlOverride>
  </w:num>
  <w:num w:numId="10">
    <w:abstractNumId w:val="9"/>
    <w:lvlOverride w:ilvl="0">
      <w:startOverride w:val="1"/>
    </w:lvlOverride>
  </w:num>
  <w:num w:numId="11">
    <w:abstractNumId w:val="6"/>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9"/>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95"/>
    <w:rsid w:val="00004FE5"/>
    <w:rsid w:val="000117C2"/>
    <w:rsid w:val="000164E5"/>
    <w:rsid w:val="00021B8F"/>
    <w:rsid w:val="00036039"/>
    <w:rsid w:val="00037F90"/>
    <w:rsid w:val="00054809"/>
    <w:rsid w:val="000654FF"/>
    <w:rsid w:val="000875BF"/>
    <w:rsid w:val="00096D8C"/>
    <w:rsid w:val="000A3528"/>
    <w:rsid w:val="000A4B60"/>
    <w:rsid w:val="000C0B65"/>
    <w:rsid w:val="000D4930"/>
    <w:rsid w:val="000E05FE"/>
    <w:rsid w:val="000E3D42"/>
    <w:rsid w:val="000E64DD"/>
    <w:rsid w:val="000F1AB8"/>
    <w:rsid w:val="000F33BA"/>
    <w:rsid w:val="00122BD5"/>
    <w:rsid w:val="001253C9"/>
    <w:rsid w:val="00133F79"/>
    <w:rsid w:val="00156A90"/>
    <w:rsid w:val="001642C3"/>
    <w:rsid w:val="00176F7E"/>
    <w:rsid w:val="00194A66"/>
    <w:rsid w:val="001A3CF7"/>
    <w:rsid w:val="001C5AE4"/>
    <w:rsid w:val="001D6BCF"/>
    <w:rsid w:val="001E01CA"/>
    <w:rsid w:val="001E6D7E"/>
    <w:rsid w:val="00204A4D"/>
    <w:rsid w:val="0020703F"/>
    <w:rsid w:val="00225FEE"/>
    <w:rsid w:val="00253481"/>
    <w:rsid w:val="002543D7"/>
    <w:rsid w:val="00266ADA"/>
    <w:rsid w:val="002706D7"/>
    <w:rsid w:val="00275CF5"/>
    <w:rsid w:val="0028301F"/>
    <w:rsid w:val="00285017"/>
    <w:rsid w:val="002A2D2E"/>
    <w:rsid w:val="002C00E8"/>
    <w:rsid w:val="003107A0"/>
    <w:rsid w:val="00310851"/>
    <w:rsid w:val="003232AC"/>
    <w:rsid w:val="00330EAD"/>
    <w:rsid w:val="00343749"/>
    <w:rsid w:val="0036491E"/>
    <w:rsid w:val="003660ED"/>
    <w:rsid w:val="003755D4"/>
    <w:rsid w:val="00382300"/>
    <w:rsid w:val="0039661F"/>
    <w:rsid w:val="003A0ACB"/>
    <w:rsid w:val="003B0550"/>
    <w:rsid w:val="003B694F"/>
    <w:rsid w:val="003C662B"/>
    <w:rsid w:val="003F171C"/>
    <w:rsid w:val="00412FC5"/>
    <w:rsid w:val="00421E8C"/>
    <w:rsid w:val="00422276"/>
    <w:rsid w:val="004242EA"/>
    <w:rsid w:val="004242F1"/>
    <w:rsid w:val="00427D7E"/>
    <w:rsid w:val="0044290C"/>
    <w:rsid w:val="00445A00"/>
    <w:rsid w:val="00446170"/>
    <w:rsid w:val="00451B0F"/>
    <w:rsid w:val="00481D42"/>
    <w:rsid w:val="004B0EDA"/>
    <w:rsid w:val="004C2EE3"/>
    <w:rsid w:val="004C361C"/>
    <w:rsid w:val="004E4A22"/>
    <w:rsid w:val="004F04CA"/>
    <w:rsid w:val="0050463F"/>
    <w:rsid w:val="00511968"/>
    <w:rsid w:val="0052194A"/>
    <w:rsid w:val="00532D0B"/>
    <w:rsid w:val="00534831"/>
    <w:rsid w:val="0055614C"/>
    <w:rsid w:val="00562C3A"/>
    <w:rsid w:val="00566D06"/>
    <w:rsid w:val="005B2309"/>
    <w:rsid w:val="005E14C2"/>
    <w:rsid w:val="005E5269"/>
    <w:rsid w:val="005E5651"/>
    <w:rsid w:val="00607BA5"/>
    <w:rsid w:val="0061180A"/>
    <w:rsid w:val="00617F43"/>
    <w:rsid w:val="00626E90"/>
    <w:rsid w:val="00626EB6"/>
    <w:rsid w:val="00646262"/>
    <w:rsid w:val="00655D03"/>
    <w:rsid w:val="00683388"/>
    <w:rsid w:val="00683F84"/>
    <w:rsid w:val="00690518"/>
    <w:rsid w:val="006A6A81"/>
    <w:rsid w:val="006B7551"/>
    <w:rsid w:val="006F7393"/>
    <w:rsid w:val="0070224F"/>
    <w:rsid w:val="007115F7"/>
    <w:rsid w:val="00715141"/>
    <w:rsid w:val="00775DD7"/>
    <w:rsid w:val="00777E54"/>
    <w:rsid w:val="00785689"/>
    <w:rsid w:val="0079754B"/>
    <w:rsid w:val="007A1E6D"/>
    <w:rsid w:val="007A206F"/>
    <w:rsid w:val="007B0EB2"/>
    <w:rsid w:val="007E1039"/>
    <w:rsid w:val="007E1880"/>
    <w:rsid w:val="007E6808"/>
    <w:rsid w:val="00810B6F"/>
    <w:rsid w:val="00812274"/>
    <w:rsid w:val="00822CE0"/>
    <w:rsid w:val="00841AB1"/>
    <w:rsid w:val="008C68F1"/>
    <w:rsid w:val="008D3672"/>
    <w:rsid w:val="00921803"/>
    <w:rsid w:val="00923C24"/>
    <w:rsid w:val="009240C5"/>
    <w:rsid w:val="0092415C"/>
    <w:rsid w:val="00926503"/>
    <w:rsid w:val="00934AD8"/>
    <w:rsid w:val="009726D8"/>
    <w:rsid w:val="009C7431"/>
    <w:rsid w:val="009D3FCA"/>
    <w:rsid w:val="009D7308"/>
    <w:rsid w:val="009F76DB"/>
    <w:rsid w:val="00A13AAD"/>
    <w:rsid w:val="00A32C3B"/>
    <w:rsid w:val="00A440A6"/>
    <w:rsid w:val="00A45F4F"/>
    <w:rsid w:val="00A600A9"/>
    <w:rsid w:val="00A6200A"/>
    <w:rsid w:val="00A62FFE"/>
    <w:rsid w:val="00A878E6"/>
    <w:rsid w:val="00AA55B7"/>
    <w:rsid w:val="00AA5B9E"/>
    <w:rsid w:val="00AB2407"/>
    <w:rsid w:val="00AB53DF"/>
    <w:rsid w:val="00AC1A41"/>
    <w:rsid w:val="00AF562A"/>
    <w:rsid w:val="00AF6B62"/>
    <w:rsid w:val="00B07E5C"/>
    <w:rsid w:val="00B37002"/>
    <w:rsid w:val="00B51764"/>
    <w:rsid w:val="00B811F7"/>
    <w:rsid w:val="00BA5DC6"/>
    <w:rsid w:val="00BA6196"/>
    <w:rsid w:val="00BC3FA5"/>
    <w:rsid w:val="00BC6D8C"/>
    <w:rsid w:val="00BF3B9F"/>
    <w:rsid w:val="00C34006"/>
    <w:rsid w:val="00C36B4C"/>
    <w:rsid w:val="00C426B1"/>
    <w:rsid w:val="00C66160"/>
    <w:rsid w:val="00C721AC"/>
    <w:rsid w:val="00C90D6A"/>
    <w:rsid w:val="00CA247E"/>
    <w:rsid w:val="00CA4ACA"/>
    <w:rsid w:val="00CA6D21"/>
    <w:rsid w:val="00CC72B6"/>
    <w:rsid w:val="00CD6D5A"/>
    <w:rsid w:val="00CF5BDD"/>
    <w:rsid w:val="00D0218D"/>
    <w:rsid w:val="00D17E95"/>
    <w:rsid w:val="00D25FB5"/>
    <w:rsid w:val="00D31953"/>
    <w:rsid w:val="00D406A1"/>
    <w:rsid w:val="00D43DBC"/>
    <w:rsid w:val="00D44223"/>
    <w:rsid w:val="00D94894"/>
    <w:rsid w:val="00DA2529"/>
    <w:rsid w:val="00DB1174"/>
    <w:rsid w:val="00DB130A"/>
    <w:rsid w:val="00DB2EBB"/>
    <w:rsid w:val="00DB4CD9"/>
    <w:rsid w:val="00DC10A1"/>
    <w:rsid w:val="00DC655F"/>
    <w:rsid w:val="00DD0B59"/>
    <w:rsid w:val="00DD35D4"/>
    <w:rsid w:val="00DD7EBD"/>
    <w:rsid w:val="00DE18FB"/>
    <w:rsid w:val="00DF62B6"/>
    <w:rsid w:val="00E07225"/>
    <w:rsid w:val="00E116A3"/>
    <w:rsid w:val="00E5409F"/>
    <w:rsid w:val="00E66AF1"/>
    <w:rsid w:val="00EE6488"/>
    <w:rsid w:val="00EF1727"/>
    <w:rsid w:val="00F021FA"/>
    <w:rsid w:val="00F603A4"/>
    <w:rsid w:val="00F62E97"/>
    <w:rsid w:val="00F64209"/>
    <w:rsid w:val="00F72C40"/>
    <w:rsid w:val="00F91A67"/>
    <w:rsid w:val="00F93BF5"/>
    <w:rsid w:val="00FE1F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1E856E4-BA0A-43D7-B342-CA4F02F5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5E5651"/>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4F04CA"/>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 Char,f Char"/>
    <w:link w:val="FootnoteText"/>
    <w:rsid w:val="00D17E95"/>
  </w:style>
  <w:style w:type="character" w:customStyle="1" w:styleId="HeaderChar">
    <w:name w:val="Header Char"/>
    <w:link w:val="Header"/>
    <w:rsid w:val="00D17E95"/>
    <w:rPr>
      <w:b/>
      <w:snapToGrid w:val="0"/>
      <w:kern w:val="28"/>
      <w:sz w:val="22"/>
    </w:rPr>
  </w:style>
  <w:style w:type="character" w:customStyle="1" w:styleId="FootnoteTextChar1Char1">
    <w:name w:val="Footnote Text Char1 Char1"/>
    <w:aliases w:val="Footnote Text Char Char Char Char Char1,Footnote Text Char Char Char1,Footnote Text Char2 Char Char2 Char2 Char Char Char1,Footnote Text Char4 Char Char1 Char Char Char1,Footnote Text Char5 Char Char Char1"/>
    <w:rsid w:val="00D17E95"/>
    <w:rPr>
      <w:noProof w:val="0"/>
      <w:lang w:val="en-US" w:eastAsia="en-US" w:bidi="ar-SA"/>
    </w:rPr>
  </w:style>
  <w:style w:type="paragraph" w:styleId="BalloonText">
    <w:name w:val="Balloon Text"/>
    <w:basedOn w:val="Normal"/>
    <w:link w:val="BalloonTextChar"/>
    <w:rsid w:val="00CF5BDD"/>
    <w:rPr>
      <w:rFonts w:ascii="Segoe UI" w:hAnsi="Segoe UI" w:cs="Segoe UI"/>
      <w:sz w:val="18"/>
      <w:szCs w:val="18"/>
    </w:rPr>
  </w:style>
  <w:style w:type="character" w:customStyle="1" w:styleId="BalloonTextChar">
    <w:name w:val="Balloon Text Char"/>
    <w:link w:val="BalloonText"/>
    <w:rsid w:val="00CF5BDD"/>
    <w:rPr>
      <w:rFonts w:ascii="Segoe UI" w:hAnsi="Segoe UI" w:cs="Segoe UI"/>
      <w:snapToGrid w:val="0"/>
      <w:kern w:val="28"/>
      <w:sz w:val="18"/>
      <w:szCs w:val="18"/>
    </w:rPr>
  </w:style>
  <w:style w:type="character" w:styleId="CommentReference">
    <w:name w:val="annotation reference"/>
    <w:rsid w:val="001253C9"/>
    <w:rPr>
      <w:sz w:val="16"/>
      <w:szCs w:val="16"/>
    </w:rPr>
  </w:style>
  <w:style w:type="paragraph" w:styleId="CommentText">
    <w:name w:val="annotation text"/>
    <w:basedOn w:val="Normal"/>
    <w:link w:val="CommentTextChar"/>
    <w:rsid w:val="001253C9"/>
    <w:rPr>
      <w:sz w:val="20"/>
    </w:rPr>
  </w:style>
  <w:style w:type="character" w:customStyle="1" w:styleId="CommentTextChar">
    <w:name w:val="Comment Text Char"/>
    <w:link w:val="CommentText"/>
    <w:rsid w:val="001253C9"/>
    <w:rPr>
      <w:snapToGrid w:val="0"/>
      <w:kern w:val="28"/>
    </w:rPr>
  </w:style>
  <w:style w:type="paragraph" w:styleId="CommentSubject">
    <w:name w:val="annotation subject"/>
    <w:basedOn w:val="CommentText"/>
    <w:next w:val="CommentText"/>
    <w:link w:val="CommentSubjectChar"/>
    <w:rsid w:val="001253C9"/>
    <w:rPr>
      <w:b/>
      <w:bCs/>
    </w:rPr>
  </w:style>
  <w:style w:type="character" w:customStyle="1" w:styleId="CommentSubjectChar">
    <w:name w:val="Comment Subject Char"/>
    <w:link w:val="CommentSubject"/>
    <w:rsid w:val="001253C9"/>
    <w:rPr>
      <w:b/>
      <w:bCs/>
      <w:snapToGrid w:val="0"/>
      <w:kern w:val="28"/>
    </w:rPr>
  </w:style>
  <w:style w:type="paragraph" w:styleId="Revision">
    <w:name w:val="Revision"/>
    <w:hidden/>
    <w:uiPriority w:val="99"/>
    <w:semiHidden/>
    <w:rsid w:val="008D3672"/>
    <w:rPr>
      <w:snapToGrid w:val="0"/>
      <w:kern w:val="28"/>
      <w:sz w:val="22"/>
    </w:rPr>
  </w:style>
  <w:style w:type="character" w:customStyle="1" w:styleId="ParaNumChar1">
    <w:name w:val="ParaNum Char1"/>
    <w:link w:val="ParaNum"/>
    <w:rsid w:val="004B0EDA"/>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fcc504@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