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4 -->
  <w:body>
    <w:p w:rsidR="00E54693" w:rsidRPr="00E54693" w:rsidP="00E54693" w14:paraId="0802FA24" w14:textId="77777777">
      <w:pPr>
        <w:jc w:val="center"/>
        <w:rPr>
          <w:b/>
        </w:rPr>
      </w:pPr>
      <w:bookmarkStart w:id="0" w:name="_GoBack"/>
      <w:bookmarkEnd w:id="0"/>
      <w:r w:rsidRPr="00E54693">
        <w:rPr>
          <w:rFonts w:ascii="Times New Roman Bold" w:hAnsi="Times New Roman Bold"/>
          <w:b/>
          <w:kern w:val="0"/>
          <w:szCs w:val="22"/>
        </w:rPr>
        <w:t>Before</w:t>
      </w:r>
      <w:r w:rsidRPr="00E54693">
        <w:rPr>
          <w:b/>
        </w:rPr>
        <w:t xml:space="preserve"> the</w:t>
      </w:r>
    </w:p>
    <w:p w:rsidR="00E54693" w:rsidRPr="00E54693" w:rsidP="00E54693" w14:paraId="7542EA53" w14:textId="77777777">
      <w:pPr>
        <w:jc w:val="center"/>
        <w:rPr>
          <w:rFonts w:ascii="Times New Roman Bold" w:hAnsi="Times New Roman Bold"/>
          <w:b/>
          <w:bCs/>
          <w:caps/>
          <w:szCs w:val="22"/>
        </w:rPr>
      </w:pPr>
      <w:r w:rsidRPr="00E54693">
        <w:rPr>
          <w:rFonts w:ascii="Times New Roman Bold" w:hAnsi="Times New Roman Bold"/>
          <w:b/>
          <w:bCs/>
          <w:caps/>
          <w:szCs w:val="22"/>
        </w:rPr>
        <w:t>F</w:t>
      </w:r>
      <w:r w:rsidRPr="00E54693">
        <w:rPr>
          <w:rFonts w:ascii="Times New Roman Bold" w:hAnsi="Times New Roman Bold"/>
          <w:b/>
          <w:bCs/>
          <w:szCs w:val="22"/>
        </w:rPr>
        <w:t>ederal Communications Commission</w:t>
      </w:r>
    </w:p>
    <w:p w:rsidR="00E54693" w:rsidRPr="00E54693" w:rsidP="00E54693" w14:paraId="23247BA6" w14:textId="77777777">
      <w:pPr>
        <w:jc w:val="center"/>
        <w:rPr>
          <w:rFonts w:ascii="Times New Roman Bold" w:hAnsi="Times New Roman Bold"/>
          <w:b/>
          <w:bCs/>
          <w:caps/>
          <w:szCs w:val="22"/>
        </w:rPr>
      </w:pPr>
      <w:r w:rsidRPr="00E54693">
        <w:rPr>
          <w:rFonts w:ascii="Times New Roman Bold" w:hAnsi="Times New Roman Bold"/>
          <w:b/>
          <w:bCs/>
          <w:szCs w:val="22"/>
        </w:rPr>
        <w:t>Washington, D.C. 20554</w:t>
      </w:r>
    </w:p>
    <w:p w:rsidR="00E54693" w:rsidRPr="00E54693" w:rsidP="00E54693" w14:paraId="49A84EC5" w14:textId="77777777"/>
    <w:p w:rsidR="00E54693" w:rsidRPr="00E54693" w:rsidP="00E54693" w14:paraId="58E2AFA2" w14:textId="77777777"/>
    <w:tbl>
      <w:tblPr>
        <w:tblW w:w="0" w:type="auto"/>
        <w:tblLayout w:type="fixed"/>
        <w:tblLook w:val="0000"/>
      </w:tblPr>
      <w:tblGrid>
        <w:gridCol w:w="4698"/>
        <w:gridCol w:w="630"/>
        <w:gridCol w:w="4248"/>
      </w:tblGrid>
      <w:tr w14:paraId="5F6D7742" w14:textId="77777777" w:rsidTr="00444120">
        <w:tblPrEx>
          <w:tblW w:w="0" w:type="auto"/>
          <w:tblLayout w:type="fixed"/>
          <w:tblLook w:val="0000"/>
        </w:tblPrEx>
        <w:tc>
          <w:tcPr>
            <w:tcW w:w="4698" w:type="dxa"/>
          </w:tcPr>
          <w:p w:rsidR="00E54693" w:rsidRPr="00E54693" w:rsidP="00E54693" w14:paraId="0B78D26A" w14:textId="77777777">
            <w:pPr>
              <w:tabs>
                <w:tab w:val="center" w:pos="4680"/>
              </w:tabs>
              <w:suppressAutoHyphens/>
              <w:rPr>
                <w:spacing w:val="-2"/>
              </w:rPr>
            </w:pPr>
            <w:r w:rsidRPr="00E54693">
              <w:rPr>
                <w:spacing w:val="-2"/>
              </w:rPr>
              <w:t>In the Matter of</w:t>
            </w:r>
          </w:p>
          <w:p w:rsidR="00E54693" w:rsidRPr="00E54693" w:rsidP="00E54693" w14:paraId="352CE9F3" w14:textId="77777777">
            <w:pPr>
              <w:tabs>
                <w:tab w:val="center" w:pos="4680"/>
              </w:tabs>
              <w:suppressAutoHyphens/>
              <w:rPr>
                <w:spacing w:val="-2"/>
              </w:rPr>
            </w:pPr>
          </w:p>
          <w:p w:rsidR="00E54693" w:rsidRPr="00E54693" w:rsidP="00E54693" w14:paraId="1717E705" w14:textId="77777777">
            <w:pPr>
              <w:keepNext/>
            </w:pPr>
            <w:r w:rsidRPr="00E54693">
              <w:t>Telecommunications Relay Services and Speech-to-Speech Services for Individuals with Hearing and Speech Disabilities</w:t>
            </w:r>
          </w:p>
          <w:p w:rsidR="00E54693" w:rsidRPr="00E54693" w:rsidP="00E54693" w14:paraId="0B067932" w14:textId="77777777">
            <w:pPr>
              <w:keepNext/>
            </w:pPr>
          </w:p>
          <w:p w:rsidR="00E54693" w:rsidRPr="00E54693" w:rsidP="00E54693" w14:paraId="1264267E" w14:textId="77777777">
            <w:pPr>
              <w:keepNext/>
            </w:pPr>
            <w:r w:rsidRPr="00E54693">
              <w:t xml:space="preserve">Structure and Practices of the Video Relay </w:t>
            </w:r>
            <w:r w:rsidRPr="00E54693">
              <w:t>Service Program</w:t>
            </w:r>
          </w:p>
          <w:p w:rsidR="00E54693" w:rsidRPr="00E54693" w:rsidP="00E54693" w14:paraId="27257383" w14:textId="77777777">
            <w:pPr>
              <w:tabs>
                <w:tab w:val="center" w:pos="4680"/>
              </w:tabs>
              <w:suppressAutoHyphens/>
              <w:rPr>
                <w:spacing w:val="-2"/>
              </w:rPr>
            </w:pPr>
          </w:p>
        </w:tc>
        <w:tc>
          <w:tcPr>
            <w:tcW w:w="630" w:type="dxa"/>
          </w:tcPr>
          <w:p w:rsidR="00E54693" w:rsidRPr="00E54693" w:rsidP="00E54693" w14:paraId="62CD23DB" w14:textId="77777777">
            <w:pPr>
              <w:tabs>
                <w:tab w:val="center" w:pos="4680"/>
              </w:tabs>
              <w:suppressAutoHyphens/>
              <w:rPr>
                <w:b/>
                <w:spacing w:val="-2"/>
              </w:rPr>
            </w:pPr>
            <w:r w:rsidRPr="00E54693">
              <w:rPr>
                <w:b/>
                <w:spacing w:val="-2"/>
              </w:rPr>
              <w:t>)</w:t>
            </w:r>
          </w:p>
          <w:p w:rsidR="00E54693" w:rsidRPr="00E54693" w:rsidP="00E54693" w14:paraId="72E57C65" w14:textId="77777777">
            <w:pPr>
              <w:tabs>
                <w:tab w:val="center" w:pos="4680"/>
              </w:tabs>
              <w:suppressAutoHyphens/>
              <w:rPr>
                <w:b/>
                <w:spacing w:val="-2"/>
              </w:rPr>
            </w:pPr>
            <w:r w:rsidRPr="00E54693">
              <w:rPr>
                <w:b/>
                <w:spacing w:val="-2"/>
              </w:rPr>
              <w:t>)</w:t>
            </w:r>
          </w:p>
          <w:p w:rsidR="00E54693" w:rsidRPr="00E54693" w:rsidP="00E54693" w14:paraId="68E227D9" w14:textId="77777777">
            <w:pPr>
              <w:tabs>
                <w:tab w:val="center" w:pos="4680"/>
              </w:tabs>
              <w:suppressAutoHyphens/>
              <w:rPr>
                <w:b/>
                <w:spacing w:val="-2"/>
              </w:rPr>
            </w:pPr>
            <w:r w:rsidRPr="00E54693">
              <w:rPr>
                <w:b/>
                <w:spacing w:val="-2"/>
              </w:rPr>
              <w:t>)</w:t>
            </w:r>
          </w:p>
          <w:p w:rsidR="00E54693" w:rsidRPr="00E54693" w:rsidP="00E54693" w14:paraId="471FA518" w14:textId="77777777">
            <w:pPr>
              <w:tabs>
                <w:tab w:val="center" w:pos="4680"/>
              </w:tabs>
              <w:suppressAutoHyphens/>
              <w:rPr>
                <w:b/>
                <w:spacing w:val="-2"/>
              </w:rPr>
            </w:pPr>
            <w:r w:rsidRPr="00E54693">
              <w:rPr>
                <w:b/>
                <w:spacing w:val="-2"/>
              </w:rPr>
              <w:t>)</w:t>
            </w:r>
          </w:p>
          <w:p w:rsidR="00E54693" w:rsidRPr="00E54693" w:rsidP="00E54693" w14:paraId="240D6DD3" w14:textId="77777777">
            <w:pPr>
              <w:tabs>
                <w:tab w:val="center" w:pos="4680"/>
              </w:tabs>
              <w:suppressAutoHyphens/>
              <w:rPr>
                <w:b/>
                <w:spacing w:val="-2"/>
              </w:rPr>
            </w:pPr>
            <w:r w:rsidRPr="00E54693">
              <w:rPr>
                <w:b/>
                <w:spacing w:val="-2"/>
              </w:rPr>
              <w:t>)</w:t>
            </w:r>
          </w:p>
          <w:p w:rsidR="00E54693" w:rsidRPr="00E54693" w:rsidP="00E54693" w14:paraId="323B04E8" w14:textId="77777777">
            <w:pPr>
              <w:tabs>
                <w:tab w:val="center" w:pos="4680"/>
              </w:tabs>
              <w:suppressAutoHyphens/>
              <w:rPr>
                <w:b/>
                <w:spacing w:val="-2"/>
              </w:rPr>
            </w:pPr>
            <w:r w:rsidRPr="00E54693">
              <w:rPr>
                <w:b/>
                <w:spacing w:val="-2"/>
              </w:rPr>
              <w:t>)</w:t>
            </w:r>
          </w:p>
          <w:p w:rsidR="00E54693" w:rsidRPr="00E54693" w:rsidP="00E54693" w14:paraId="1D37F62D" w14:textId="77777777">
            <w:pPr>
              <w:tabs>
                <w:tab w:val="center" w:pos="4680"/>
              </w:tabs>
              <w:suppressAutoHyphens/>
              <w:rPr>
                <w:b/>
                <w:spacing w:val="-2"/>
              </w:rPr>
            </w:pPr>
            <w:r w:rsidRPr="00E54693">
              <w:rPr>
                <w:b/>
                <w:spacing w:val="-2"/>
              </w:rPr>
              <w:t>)</w:t>
            </w:r>
          </w:p>
          <w:p w:rsidR="00E54693" w:rsidRPr="00E54693" w:rsidP="00E54693" w14:paraId="06EBD12D" w14:textId="77777777">
            <w:pPr>
              <w:tabs>
                <w:tab w:val="center" w:pos="4680"/>
              </w:tabs>
              <w:suppressAutoHyphens/>
              <w:rPr>
                <w:b/>
                <w:spacing w:val="-2"/>
              </w:rPr>
            </w:pPr>
            <w:r w:rsidRPr="00E54693">
              <w:rPr>
                <w:b/>
                <w:spacing w:val="-2"/>
              </w:rPr>
              <w:t>)</w:t>
            </w:r>
          </w:p>
          <w:p w:rsidR="00E54693" w:rsidRPr="00E54693" w:rsidP="00E54693" w14:paraId="1FC46100" w14:textId="77777777">
            <w:pPr>
              <w:tabs>
                <w:tab w:val="center" w:pos="4680"/>
              </w:tabs>
              <w:suppressAutoHyphens/>
              <w:rPr>
                <w:spacing w:val="-2"/>
              </w:rPr>
            </w:pPr>
            <w:r w:rsidRPr="00E54693">
              <w:rPr>
                <w:b/>
                <w:spacing w:val="-2"/>
              </w:rPr>
              <w:t>)</w:t>
            </w:r>
          </w:p>
        </w:tc>
        <w:tc>
          <w:tcPr>
            <w:tcW w:w="4248" w:type="dxa"/>
          </w:tcPr>
          <w:p w:rsidR="00E54693" w:rsidRPr="00E54693" w:rsidP="00E54693" w14:paraId="4BC9F293" w14:textId="77777777">
            <w:pPr>
              <w:tabs>
                <w:tab w:val="center" w:pos="4680"/>
              </w:tabs>
              <w:suppressAutoHyphens/>
              <w:rPr>
                <w:spacing w:val="-2"/>
              </w:rPr>
            </w:pPr>
          </w:p>
          <w:p w:rsidR="00E54693" w:rsidRPr="00E54693" w:rsidP="00E54693" w14:paraId="1D6BC660" w14:textId="77777777">
            <w:pPr>
              <w:tabs>
                <w:tab w:val="center" w:pos="4680"/>
              </w:tabs>
              <w:suppressAutoHyphens/>
              <w:rPr>
                <w:spacing w:val="-2"/>
              </w:rPr>
            </w:pPr>
          </w:p>
          <w:p w:rsidR="00E54693" w:rsidRPr="00E54693" w:rsidP="00E54693" w14:paraId="4AA6039A" w14:textId="77777777">
            <w:pPr>
              <w:keepNext/>
            </w:pPr>
            <w:r w:rsidRPr="00E54693">
              <w:t>CG Docket No. 03-123</w:t>
            </w:r>
          </w:p>
          <w:p w:rsidR="00E54693" w:rsidRPr="00E54693" w:rsidP="00E54693" w14:paraId="5DE503A9" w14:textId="77777777">
            <w:pPr>
              <w:keepNext/>
            </w:pPr>
          </w:p>
          <w:p w:rsidR="00E54693" w:rsidRPr="00E54693" w:rsidP="00E54693" w14:paraId="35CA46A2" w14:textId="77777777">
            <w:pPr>
              <w:keepNext/>
            </w:pPr>
          </w:p>
          <w:p w:rsidR="00E54693" w:rsidRPr="00E54693" w:rsidP="00E54693" w14:paraId="2C047F55" w14:textId="77777777">
            <w:pPr>
              <w:keepNext/>
            </w:pPr>
          </w:p>
          <w:p w:rsidR="00E54693" w:rsidRPr="00E54693" w:rsidP="00E54693" w14:paraId="4395A87C" w14:textId="77777777">
            <w:pPr>
              <w:tabs>
                <w:tab w:val="center" w:pos="4680"/>
              </w:tabs>
              <w:suppressAutoHyphens/>
              <w:rPr>
                <w:spacing w:val="-2"/>
              </w:rPr>
            </w:pPr>
            <w:r w:rsidRPr="00E54693">
              <w:t>CG Docket No. 10-51</w:t>
            </w:r>
          </w:p>
        </w:tc>
      </w:tr>
    </w:tbl>
    <w:p w:rsidR="00E54693" w:rsidRPr="00E54693" w:rsidP="00E54693" w14:paraId="0585137E" w14:textId="77777777"/>
    <w:p w:rsidR="00E54693" w:rsidRPr="00E54693" w:rsidP="00E54693" w14:paraId="5D498D8E" w14:textId="77777777">
      <w:pPr>
        <w:jc w:val="center"/>
        <w:rPr>
          <w:rFonts w:ascii="Times New Roman Bold" w:hAnsi="Times New Roman Bold"/>
          <w:b/>
          <w:bCs/>
          <w:caps/>
          <w:szCs w:val="22"/>
        </w:rPr>
      </w:pPr>
      <w:r w:rsidRPr="00E54693">
        <w:rPr>
          <w:rFonts w:ascii="Times New Roman Bold" w:hAnsi="Times New Roman Bold"/>
          <w:b/>
          <w:bCs/>
          <w:caps/>
          <w:szCs w:val="22"/>
        </w:rPr>
        <w:t>Order</w:t>
      </w:r>
    </w:p>
    <w:p w:rsidR="00E54693" w:rsidRPr="00E54693" w:rsidP="00E54693" w14:paraId="69C8770C" w14:textId="77777777">
      <w:pPr>
        <w:tabs>
          <w:tab w:val="left" w:pos="-720"/>
        </w:tabs>
        <w:suppressAutoHyphens/>
        <w:spacing w:line="227" w:lineRule="auto"/>
        <w:rPr>
          <w:spacing w:val="-2"/>
        </w:rPr>
      </w:pPr>
    </w:p>
    <w:p w:rsidR="00E54693" w:rsidRPr="00E54693" w:rsidP="00E54693" w14:paraId="4A8BE7DE" w14:textId="78A4CE74">
      <w:pPr>
        <w:tabs>
          <w:tab w:val="left" w:pos="720"/>
          <w:tab w:val="right" w:pos="9360"/>
        </w:tabs>
        <w:suppressAutoHyphens/>
        <w:spacing w:line="227" w:lineRule="auto"/>
        <w:rPr>
          <w:spacing w:val="-2"/>
        </w:rPr>
      </w:pPr>
      <w:r w:rsidRPr="00E54693">
        <w:rPr>
          <w:b/>
          <w:spacing w:val="-2"/>
        </w:rPr>
        <w:t xml:space="preserve">Adopted:  May </w:t>
      </w:r>
      <w:r w:rsidR="002F1571">
        <w:rPr>
          <w:b/>
          <w:spacing w:val="-2"/>
        </w:rPr>
        <w:t>29</w:t>
      </w:r>
      <w:r w:rsidRPr="00E54693">
        <w:rPr>
          <w:b/>
          <w:spacing w:val="-2"/>
        </w:rPr>
        <w:t>, 2020</w:t>
      </w:r>
      <w:r w:rsidRPr="00E54693">
        <w:rPr>
          <w:b/>
          <w:spacing w:val="-2"/>
        </w:rPr>
        <w:tab/>
        <w:t xml:space="preserve">Released:  May </w:t>
      </w:r>
      <w:r w:rsidR="002F1571">
        <w:rPr>
          <w:b/>
          <w:spacing w:val="-2"/>
        </w:rPr>
        <w:t>29</w:t>
      </w:r>
      <w:r w:rsidRPr="00E54693">
        <w:rPr>
          <w:b/>
          <w:spacing w:val="-2"/>
        </w:rPr>
        <w:t>, 2020</w:t>
      </w:r>
    </w:p>
    <w:p w:rsidR="00E54693" w:rsidRPr="00E54693" w:rsidP="00E54693" w14:paraId="744B07B0" w14:textId="77777777"/>
    <w:p w:rsidR="00E54693" w:rsidRPr="00E54693" w:rsidP="00E54693" w14:paraId="7D72D52F" w14:textId="77777777">
      <w:pPr>
        <w:rPr>
          <w:spacing w:val="-2"/>
        </w:rPr>
      </w:pPr>
      <w:r w:rsidRPr="00E54693">
        <w:t xml:space="preserve">By the </w:t>
      </w:r>
      <w:r w:rsidRPr="00E54693">
        <w:rPr>
          <w:spacing w:val="-2"/>
        </w:rPr>
        <w:t>Chief, Consumer and Governmental Affairs Bureau:</w:t>
      </w:r>
    </w:p>
    <w:p w:rsidR="00E54693" w:rsidRPr="00E54693" w:rsidP="00E54693" w14:paraId="39695BCB" w14:textId="77777777">
      <w:pPr>
        <w:rPr>
          <w:spacing w:val="-2"/>
        </w:rPr>
      </w:pPr>
    </w:p>
    <w:p w:rsidR="00E54693" w:rsidRPr="00E54693" w:rsidP="00E54693" w14:paraId="19F34DFE" w14:textId="77777777">
      <w:pPr>
        <w:keepNext/>
        <w:numPr>
          <w:ilvl w:val="0"/>
          <w:numId w:val="3"/>
        </w:numPr>
        <w:tabs>
          <w:tab w:val="left" w:pos="720"/>
        </w:tabs>
        <w:suppressAutoHyphens/>
        <w:spacing w:after="120"/>
        <w:outlineLvl w:val="0"/>
        <w:rPr>
          <w:rFonts w:ascii="Times New Roman Bold" w:hAnsi="Times New Roman Bold"/>
          <w:b/>
          <w:caps/>
        </w:rPr>
      </w:pPr>
      <w:r w:rsidRPr="00E54693">
        <w:rPr>
          <w:rFonts w:ascii="Times New Roman Bold" w:hAnsi="Times New Roman Bold"/>
          <w:b/>
          <w:caps/>
        </w:rPr>
        <w:t>Introduction</w:t>
      </w:r>
    </w:p>
    <w:p w:rsidR="00E54693" w:rsidRPr="00E54693" w:rsidP="00E54693" w14:paraId="2603DB8C" w14:textId="77777777">
      <w:pPr>
        <w:numPr>
          <w:ilvl w:val="0"/>
          <w:numId w:val="2"/>
        </w:numPr>
        <w:tabs>
          <w:tab w:val="clear" w:pos="1080"/>
          <w:tab w:val="left" w:pos="1440"/>
        </w:tabs>
        <w:spacing w:after="120"/>
      </w:pPr>
      <w:r w:rsidRPr="00E54693">
        <w:t xml:space="preserve">The Consumer and Governmental Affairs </w:t>
      </w:r>
      <w:r w:rsidRPr="00E54693">
        <w:t>Bureau (Bureau) of the Federal Communications Commission (Commission), on its own motion, grants a limited waiver of the June 30, 2020 expiration of the current TRS Fund compensation rate for Internet Protocol Captioned Telephone Service (IP CTS).</w:t>
      </w:r>
      <w:r>
        <w:rPr>
          <w:sz w:val="20"/>
          <w:vertAlign w:val="superscript"/>
        </w:rPr>
        <w:footnoteReference w:id="3"/>
      </w:r>
      <w:r w:rsidRPr="00E54693">
        <w:t xml:space="preserve">  The in</w:t>
      </w:r>
      <w:r w:rsidRPr="00E54693">
        <w:t xml:space="preserve">terim rate of $1.58 per minute is extended through September 30, 2020 (unless the Commission takes action with an earlier effective date).  This action will allow additional time for the TRS Fund administrator to collect updated data from IP CTS providers </w:t>
      </w:r>
      <w:r w:rsidRPr="00E54693">
        <w:t>to take account of the effects of the COVID-19 pandemic on IP CTS costs and demand, and for the Commission to consider such data in adopting a new compensation rate for IP CTS.</w:t>
      </w:r>
    </w:p>
    <w:p w:rsidR="00E54693" w:rsidRPr="00E54693" w:rsidP="00E54693" w14:paraId="7D0A4E44" w14:textId="77777777">
      <w:pPr>
        <w:keepNext/>
        <w:numPr>
          <w:ilvl w:val="0"/>
          <w:numId w:val="3"/>
        </w:numPr>
        <w:tabs>
          <w:tab w:val="left" w:pos="720"/>
        </w:tabs>
        <w:suppressAutoHyphens/>
        <w:spacing w:after="120"/>
        <w:outlineLvl w:val="0"/>
        <w:rPr>
          <w:rFonts w:ascii="Times New Roman Bold" w:hAnsi="Times New Roman Bold"/>
          <w:b/>
          <w:caps/>
        </w:rPr>
      </w:pPr>
      <w:r w:rsidRPr="00E54693">
        <w:rPr>
          <w:rFonts w:ascii="Times New Roman Bold" w:hAnsi="Times New Roman Bold"/>
          <w:b/>
          <w:caps/>
        </w:rPr>
        <w:t>Background</w:t>
      </w:r>
    </w:p>
    <w:p w:rsidR="00E54693" w:rsidRPr="00E54693" w:rsidP="00E54693" w14:paraId="0F6980B1" w14:textId="77777777">
      <w:pPr>
        <w:numPr>
          <w:ilvl w:val="0"/>
          <w:numId w:val="2"/>
        </w:numPr>
        <w:tabs>
          <w:tab w:val="clear" w:pos="1080"/>
          <w:tab w:val="left" w:pos="1440"/>
        </w:tabs>
        <w:spacing w:after="120"/>
      </w:pPr>
      <w:r w:rsidRPr="00E54693">
        <w:t>In June 2018, the Commission adopted a notice of proposed rulemaking</w:t>
      </w:r>
      <w:r w:rsidRPr="00E54693">
        <w:t xml:space="preserve"> to establish a new TRS Fund compensation methodology for IP CTS providers.</w:t>
      </w:r>
      <w:r>
        <w:rPr>
          <w:sz w:val="20"/>
          <w:vertAlign w:val="superscript"/>
        </w:rPr>
        <w:footnoteReference w:id="4"/>
      </w:r>
      <w:r w:rsidRPr="00E54693">
        <w:t xml:space="preserve">  To allow time for completion of that rulemaking, the Commission set interim compensation rates for Fund Years 2018-19 and 2019-20, which moved the compensation rate closer to the</w:t>
      </w:r>
      <w:r w:rsidRPr="00E54693">
        <w:t xml:space="preserve"> average reasonable cost of providing IP CTS.</w:t>
      </w:r>
      <w:r>
        <w:rPr>
          <w:sz w:val="20"/>
          <w:vertAlign w:val="superscript"/>
        </w:rPr>
        <w:footnoteReference w:id="5"/>
      </w:r>
      <w:r w:rsidRPr="00E54693">
        <w:t xml:space="preserve">  The second-year interim compensation rate of $1.58 per minute ends June 30, 2020,</w:t>
      </w:r>
      <w:r>
        <w:rPr>
          <w:sz w:val="20"/>
          <w:vertAlign w:val="superscript"/>
        </w:rPr>
        <w:footnoteReference w:id="6"/>
      </w:r>
      <w:r w:rsidRPr="00E54693">
        <w:t xml:space="preserve"> and the Commission has not yet issued a determination regarding the rate that should apply after that date.</w:t>
      </w:r>
    </w:p>
    <w:p w:rsidR="00E54693" w:rsidRPr="00E54693" w:rsidP="00E54693" w14:paraId="5D7AAEB0" w14:textId="77777777">
      <w:pPr>
        <w:numPr>
          <w:ilvl w:val="0"/>
          <w:numId w:val="2"/>
        </w:numPr>
        <w:tabs>
          <w:tab w:val="clear" w:pos="1080"/>
          <w:tab w:val="left" w:pos="1440"/>
        </w:tabs>
        <w:spacing w:after="120"/>
      </w:pPr>
      <w:r w:rsidRPr="00E54693">
        <w:t>While the issue o</w:t>
      </w:r>
      <w:r w:rsidRPr="00E54693">
        <w:t>f IP CTS compensation awaits Commission action, the outbreak of the coronavirus (COVID-19) pandemic has substantially affected how IP CTS is provided and used.</w:t>
      </w:r>
      <w:r>
        <w:rPr>
          <w:sz w:val="20"/>
          <w:szCs w:val="22"/>
          <w:vertAlign w:val="superscript"/>
        </w:rPr>
        <w:footnoteReference w:id="7"/>
      </w:r>
      <w:r w:rsidRPr="00E54693">
        <w:t xml:space="preserve">  As a result of the outbreak and efforts to slow its spread (including measures to promote “soc</w:t>
      </w:r>
      <w:r w:rsidRPr="00E54693">
        <w:t>ial distancing”), there has been an unanticipated increase in IP CTS traffic levels as well as, simultaneously, a sharp reduction in the number of communications assistants (CAs) able to work at call centers (which can require CAs to work in close quarters</w:t>
      </w:r>
      <w:r w:rsidRPr="00E54693">
        <w:t xml:space="preserve"> without social distancing).</w:t>
      </w:r>
      <w:r>
        <w:rPr>
          <w:sz w:val="20"/>
          <w:vertAlign w:val="superscript"/>
        </w:rPr>
        <w:footnoteReference w:id="8"/>
      </w:r>
      <w:r w:rsidRPr="00E54693">
        <w:t xml:space="preserve">  IP CTS providers and the TRS Fund administrator have raised concerns about whether pre-COVID-19 cost and demand data reported to the TRS Fund administrator provide a sufficient basis to determine a new compensation methodolog</w:t>
      </w:r>
      <w:r w:rsidRPr="00E54693">
        <w:t>y and rate for this service.</w:t>
      </w:r>
      <w:r>
        <w:rPr>
          <w:sz w:val="20"/>
          <w:vertAlign w:val="superscript"/>
        </w:rPr>
        <w:footnoteReference w:id="9"/>
      </w:r>
    </w:p>
    <w:p w:rsidR="00E54693" w:rsidRPr="00E54693" w:rsidP="00E54693" w14:paraId="468C6C1B" w14:textId="77777777">
      <w:pPr>
        <w:keepNext/>
        <w:numPr>
          <w:ilvl w:val="0"/>
          <w:numId w:val="3"/>
        </w:numPr>
        <w:tabs>
          <w:tab w:val="left" w:pos="720"/>
        </w:tabs>
        <w:suppressAutoHyphens/>
        <w:spacing w:after="120"/>
        <w:outlineLvl w:val="0"/>
        <w:rPr>
          <w:rFonts w:ascii="Times New Roman Bold" w:hAnsi="Times New Roman Bold"/>
          <w:b/>
          <w:caps/>
        </w:rPr>
      </w:pPr>
      <w:r w:rsidRPr="00E54693">
        <w:rPr>
          <w:rFonts w:ascii="Times New Roman Bold" w:hAnsi="Times New Roman Bold"/>
          <w:b/>
          <w:caps/>
        </w:rPr>
        <w:t>Waiver of expiration date for ip cts compensation</w:t>
      </w:r>
    </w:p>
    <w:p w:rsidR="00E54693" w:rsidRPr="00E54693" w:rsidP="00E54693" w14:paraId="141C1D4E" w14:textId="77777777">
      <w:pPr>
        <w:numPr>
          <w:ilvl w:val="0"/>
          <w:numId w:val="2"/>
        </w:numPr>
        <w:tabs>
          <w:tab w:val="clear" w:pos="1080"/>
          <w:tab w:val="left" w:pos="1440"/>
        </w:tabs>
        <w:spacing w:after="120"/>
      </w:pPr>
      <w:r w:rsidRPr="00E54693">
        <w:rPr>
          <w:i/>
        </w:rPr>
        <w:t>Waiver standard</w:t>
      </w:r>
      <w:r w:rsidRPr="00E54693">
        <w:t>.  A Commission rule may be waived for “good cause shown.”</w:t>
      </w:r>
      <w:r>
        <w:rPr>
          <w:sz w:val="20"/>
          <w:szCs w:val="22"/>
          <w:vertAlign w:val="superscript"/>
        </w:rPr>
        <w:footnoteReference w:id="10"/>
      </w:r>
      <w:r w:rsidRPr="00E54693">
        <w:t xml:space="preserve">  In particular, a waiver is appropriate where the particular facts make strict compliance inconsisten</w:t>
      </w:r>
      <w:r w:rsidRPr="00E54693">
        <w:t>t with the public interest.</w:t>
      </w:r>
      <w:r>
        <w:rPr>
          <w:sz w:val="20"/>
          <w:szCs w:val="22"/>
          <w:vertAlign w:val="superscript"/>
        </w:rPr>
        <w:footnoteReference w:id="11"/>
      </w:r>
      <w:r w:rsidRPr="00E54693">
        <w:t xml:space="preserve">  In addition, we may take into account considerations of hardship, equity, or more effective implementation of overall policy on an individual basis.</w:t>
      </w:r>
      <w:r>
        <w:rPr>
          <w:sz w:val="20"/>
          <w:szCs w:val="22"/>
          <w:vertAlign w:val="superscript"/>
        </w:rPr>
        <w:footnoteReference w:id="12"/>
      </w:r>
      <w:r w:rsidRPr="00E54693">
        <w:t xml:space="preserve">  Such a waiver is appropriate if special circumstances warrant a deviation f</w:t>
      </w:r>
      <w:r w:rsidRPr="00E54693">
        <w:t>rom the general rule and such deviation will serve the public interest.</w:t>
      </w:r>
      <w:r>
        <w:rPr>
          <w:sz w:val="20"/>
          <w:szCs w:val="22"/>
          <w:vertAlign w:val="superscript"/>
        </w:rPr>
        <w:footnoteReference w:id="13"/>
      </w:r>
    </w:p>
    <w:p w:rsidR="00E54693" w:rsidRPr="00E54693" w:rsidP="00E54693" w14:paraId="159CF67B" w14:textId="77777777">
      <w:pPr>
        <w:numPr>
          <w:ilvl w:val="0"/>
          <w:numId w:val="2"/>
        </w:numPr>
        <w:tabs>
          <w:tab w:val="clear" w:pos="1080"/>
          <w:tab w:val="left" w:pos="1440"/>
        </w:tabs>
        <w:spacing w:after="120"/>
      </w:pPr>
      <w:r w:rsidRPr="00E54693">
        <w:rPr>
          <w:i/>
          <w:iCs/>
        </w:rPr>
        <w:t>Discussion</w:t>
      </w:r>
      <w:r w:rsidRPr="00E54693">
        <w:t>.</w:t>
      </w:r>
      <w:r w:rsidRPr="00E54693">
        <w:rPr>
          <w:i/>
          <w:iCs/>
        </w:rPr>
        <w:t xml:space="preserve">  </w:t>
      </w:r>
      <w:r w:rsidRPr="00E54693">
        <w:t>We find good cause to waive the June 30, 2020 expiration of the current IP CTS compensation rate.</w:t>
      </w:r>
      <w:r>
        <w:rPr>
          <w:sz w:val="20"/>
          <w:vertAlign w:val="superscript"/>
        </w:rPr>
        <w:footnoteReference w:id="14"/>
      </w:r>
      <w:r w:rsidRPr="00E54693">
        <w:t xml:space="preserve">  While waivers of Commission-set deadlines are subject to a high bar, t</w:t>
      </w:r>
      <w:r w:rsidRPr="00E54693">
        <w:t xml:space="preserve">he </w:t>
      </w:r>
      <w:r w:rsidRPr="00E54693">
        <w:t>COVID-19 pandemic is an unprecedented crisis that was unforeseen when the Commission adopted the interim rate plan in 2018.  This crisis has substantially increased the demand for IP CTS and has likely affected costs as well.  According to IP CTS provid</w:t>
      </w:r>
      <w:r w:rsidRPr="00E54693">
        <w:t>ers, they have made substantial expenditures on interim measures to keep IP CTS operational, including enabling CAs to work from home, temporarily closing call centers, providing overtime compensation and hazard pay, purchasing new technology, hiring and t</w:t>
      </w:r>
      <w:r w:rsidRPr="00E54693">
        <w:t>raining new CAs on an expedited basis, and addressing other pandemic-related staffing challenges.</w:t>
      </w:r>
      <w:r>
        <w:rPr>
          <w:sz w:val="20"/>
          <w:vertAlign w:val="superscript"/>
        </w:rPr>
        <w:footnoteReference w:id="15"/>
      </w:r>
      <w:r w:rsidRPr="00E54693">
        <w:t xml:space="preserve">  Providers also report significant increases in both the volume of calls and the average length of calls.</w:t>
      </w:r>
      <w:r>
        <w:rPr>
          <w:sz w:val="20"/>
          <w:vertAlign w:val="superscript"/>
        </w:rPr>
        <w:footnoteReference w:id="16"/>
      </w:r>
      <w:r w:rsidRPr="00E54693">
        <w:t xml:space="preserve">  However, these recent changes are not reflected i</w:t>
      </w:r>
      <w:r w:rsidRPr="00E54693">
        <w:t>n the annual provider reports on which the TRS Fund administrator ordinarily relies to estimate average cost and demand for IP CTS.</w:t>
      </w:r>
      <w:r>
        <w:rPr>
          <w:sz w:val="20"/>
          <w:vertAlign w:val="superscript"/>
        </w:rPr>
        <w:footnoteReference w:id="17"/>
      </w:r>
      <w:r w:rsidRPr="00E54693">
        <w:t xml:space="preserve"> </w:t>
      </w:r>
    </w:p>
    <w:p w:rsidR="00E54693" w:rsidRPr="00E54693" w:rsidP="00E54693" w14:paraId="41A8888D" w14:textId="77777777">
      <w:pPr>
        <w:numPr>
          <w:ilvl w:val="0"/>
          <w:numId w:val="2"/>
        </w:numPr>
        <w:tabs>
          <w:tab w:val="clear" w:pos="1080"/>
          <w:tab w:val="left" w:pos="1440"/>
        </w:tabs>
        <w:spacing w:after="120"/>
      </w:pPr>
      <w:r w:rsidRPr="00E54693">
        <w:t>In light of these unanticipated developments, the TRS Fund administrator cautions that the annual cost and demand projecti</w:t>
      </w:r>
      <w:r w:rsidRPr="00E54693">
        <w:t>ons submitted by the IP CTS providers in early February are likely unreliable.</w:t>
      </w:r>
      <w:r>
        <w:rPr>
          <w:sz w:val="20"/>
          <w:vertAlign w:val="superscript"/>
        </w:rPr>
        <w:footnoteReference w:id="18"/>
      </w:r>
      <w:r w:rsidRPr="00E54693">
        <w:t xml:space="preserve">  The administrator has invited TRS providers to report any material changes to costs and demand for the service.</w:t>
      </w:r>
      <w:r>
        <w:rPr>
          <w:sz w:val="20"/>
          <w:vertAlign w:val="superscript"/>
        </w:rPr>
        <w:footnoteReference w:id="19"/>
      </w:r>
      <w:r w:rsidRPr="00E54693">
        <w:t xml:space="preserve">  However, as the pandemic is an ongoing event, providers may c</w:t>
      </w:r>
      <w:r w:rsidRPr="00E54693">
        <w:t>ontinue to experience fluctuations in costs and demand.  Therefore, we anticipate that a few more months may be needed before reasonably reliable COVID-19 related cost and demand data are available as a basis to estimate average current costs and demand.</w:t>
      </w:r>
      <w:r>
        <w:rPr>
          <w:sz w:val="20"/>
          <w:vertAlign w:val="superscript"/>
        </w:rPr>
        <w:footnoteReference w:id="20"/>
      </w:r>
      <w:r w:rsidRPr="00E54693">
        <w:t xml:space="preserve"> </w:t>
      </w:r>
      <w:r w:rsidRPr="00E54693">
        <w:t xml:space="preserve"> We further conclude that these data uncertainties will complicate the Commission’s task of adopting a compensation methodology and rate that aligns with the reasonable costs of providing IP CTS.</w:t>
      </w:r>
      <w:r>
        <w:rPr>
          <w:sz w:val="20"/>
          <w:vertAlign w:val="superscript"/>
        </w:rPr>
        <w:footnoteReference w:id="21"/>
      </w:r>
      <w:r w:rsidRPr="00E54693">
        <w:t xml:space="preserve">  Temporarily suspending the June 30 expiration of the curre</w:t>
      </w:r>
      <w:r w:rsidRPr="00E54693">
        <w:t xml:space="preserve">nt rate helps alleviate these concerns by allowing the compensation methodology to be established with a </w:t>
      </w:r>
      <w:r w:rsidRPr="00E54693">
        <w:t xml:space="preserve">better understanding of how the pandemic has and will continue to impact the costs of providing IP CTS and the demand for service.      </w:t>
      </w:r>
    </w:p>
    <w:p w:rsidR="00E54693" w:rsidRPr="00E54693" w:rsidP="00E54693" w14:paraId="798B6814" w14:textId="77777777">
      <w:pPr>
        <w:numPr>
          <w:ilvl w:val="0"/>
          <w:numId w:val="2"/>
        </w:numPr>
        <w:tabs>
          <w:tab w:val="clear" w:pos="1080"/>
          <w:tab w:val="left" w:pos="1440"/>
        </w:tabs>
        <w:spacing w:after="120"/>
      </w:pPr>
      <w:r w:rsidRPr="00E54693">
        <w:t xml:space="preserve">Therefore, we </w:t>
      </w:r>
      <w:r w:rsidRPr="00E54693">
        <w:t>find good cause to waive, for a three-month period, the June 30 expiration date of the current IP CTS compensation rate.  By this action, whereby we provide for continuing payment of compensation to the IP CTS providers based on the $1.58 rate in effect on</w:t>
      </w:r>
      <w:r w:rsidRPr="00E54693">
        <w:t xml:space="preserve"> June 30, we allow additional time for the TRS Fund administrator to obtain more reliable cost and demand data from IP CTS providers, and thereby to provide the Commission a more reliable basis for setting IP CTS compensation rates for the 2020-21 Fund Yea</w:t>
      </w:r>
      <w:r w:rsidRPr="00E54693">
        <w:t>r and beyond.  Although cost projections inherently involve some degree of uncertainty, collecting cost data for this additional period will provide a reasonable opportunity for the Fund administrator to determine more reliable estimates of actual and proj</w:t>
      </w:r>
      <w:r w:rsidRPr="00E54693">
        <w:t>ected costs and demand for the current report periods, including COVID-19 related effects.</w:t>
      </w:r>
    </w:p>
    <w:p w:rsidR="00E54693" w:rsidRPr="00E54693" w:rsidP="00E54693" w14:paraId="7424C5D1" w14:textId="77777777">
      <w:pPr>
        <w:numPr>
          <w:ilvl w:val="0"/>
          <w:numId w:val="2"/>
        </w:numPr>
        <w:tabs>
          <w:tab w:val="clear" w:pos="1080"/>
          <w:tab w:val="left" w:pos="1440"/>
        </w:tabs>
        <w:spacing w:after="120"/>
      </w:pPr>
      <w:r w:rsidRPr="00E54693">
        <w:t>Our action will also provide additional certainty to IP CTS providers as to the near term availability of compensation for the provision of IP CTS during this emerge</w:t>
      </w:r>
      <w:r w:rsidRPr="00E54693">
        <w:t>ncy period.</w:t>
      </w:r>
      <w:r>
        <w:rPr>
          <w:sz w:val="20"/>
          <w:vertAlign w:val="superscript"/>
        </w:rPr>
        <w:footnoteReference w:id="22"/>
      </w:r>
      <w:r w:rsidRPr="00E54693">
        <w:t xml:space="preserve">  Further, because the $1.58 rate was set as a transitional rate that substantially exceeds average IP CTS provider costs (including a reasonable operating margin),</w:t>
      </w:r>
      <w:r>
        <w:rPr>
          <w:sz w:val="20"/>
          <w:vertAlign w:val="superscript"/>
        </w:rPr>
        <w:footnoteReference w:id="23"/>
      </w:r>
      <w:r w:rsidRPr="00E54693">
        <w:t xml:space="preserve"> we believe a three-month extension of this rate will prevent any adverse short</w:t>
      </w:r>
      <w:r w:rsidRPr="00E54693">
        <w:t>-term cost impact from the pandemic, pending Commission action to set the compensation rate going forward.</w:t>
      </w:r>
    </w:p>
    <w:p w:rsidR="00E54693" w:rsidRPr="00E54693" w:rsidP="00E54693" w14:paraId="41C5DB30" w14:textId="77777777">
      <w:pPr>
        <w:numPr>
          <w:ilvl w:val="0"/>
          <w:numId w:val="2"/>
        </w:numPr>
        <w:tabs>
          <w:tab w:val="clear" w:pos="1080"/>
          <w:tab w:val="left" w:pos="1440"/>
        </w:tabs>
        <w:spacing w:after="120"/>
      </w:pPr>
      <w:r w:rsidRPr="00E54693">
        <w:t>We decline to extend the current IP CTS rate for a longer period.</w:t>
      </w:r>
      <w:r>
        <w:rPr>
          <w:sz w:val="20"/>
          <w:vertAlign w:val="superscript"/>
        </w:rPr>
        <w:footnoteReference w:id="24"/>
      </w:r>
      <w:r w:rsidRPr="00E54693">
        <w:t xml:space="preserve">  We take this Bureau-level action because it is necessary, in extraordinary circumstances, to enable the Commission to reach a more informed rate-setting decision.  A three-month delay will provide the Commission with historical data on the cost and deman</w:t>
      </w:r>
      <w:r w:rsidRPr="00E54693">
        <w:t xml:space="preserve">d impacts of the COVID-19 crisis during the final four months of the current Fund year, as well as updated projections regarding costs and demand for 2020-21 and beyond.  We are not aware of any evidence showing that additional time or data will be needed </w:t>
      </w:r>
      <w:r w:rsidRPr="00E54693">
        <w:t>to allow the Commission to reach an informed decision.</w:t>
      </w:r>
    </w:p>
    <w:p w:rsidR="00E54693" w:rsidRPr="00E54693" w:rsidP="00D61936" w14:paraId="5E768871" w14:textId="00CCFB88">
      <w:pPr>
        <w:widowControl/>
        <w:numPr>
          <w:ilvl w:val="0"/>
          <w:numId w:val="2"/>
        </w:numPr>
        <w:tabs>
          <w:tab w:val="clear" w:pos="1080"/>
          <w:tab w:val="left" w:pos="1440"/>
        </w:tabs>
        <w:spacing w:after="120"/>
      </w:pPr>
      <w:r w:rsidRPr="00E54693">
        <w:t xml:space="preserve"> We direct the TRS Fund administrator to request the five currently operating IP CTS providers to submit:  (1) historical cost and demand data for each month from January 2020 through June 2020, to be </w:t>
      </w:r>
      <w:r w:rsidRPr="00E54693">
        <w:t>submitted on a monthly timetable or otherwise, as directed by the administrator, but in any event no later than August 1, 2020; and (2) updated cost and demand projections for the periods July 1 - December 31, 2020, and January 1 - December 31, 2021, to be</w:t>
      </w:r>
      <w:r w:rsidRPr="00E54693">
        <w:t xml:space="preserve"> submitted on date(s) designated by the administrator, but in any event no later than August 1, 2020.</w:t>
      </w:r>
      <w:r>
        <w:rPr>
          <w:sz w:val="20"/>
          <w:vertAlign w:val="superscript"/>
        </w:rPr>
        <w:footnoteReference w:id="25"/>
      </w:r>
      <w:r w:rsidRPr="00E54693">
        <w:t xml:space="preserve">  The administrator is authorized to determine appropriate formats for the submission of such information, and to request such additional and back-up data</w:t>
      </w:r>
      <w:r w:rsidRPr="00E54693">
        <w:t xml:space="preserve"> as the administrator deems necessary.</w:t>
      </w:r>
      <w:r>
        <w:rPr>
          <w:sz w:val="20"/>
          <w:vertAlign w:val="superscript"/>
        </w:rPr>
        <w:footnoteReference w:id="26"/>
      </w:r>
      <w:r w:rsidRPr="00E54693">
        <w:t xml:space="preserve"> </w:t>
      </w:r>
      <w:r w:rsidR="00830D71">
        <w:t xml:space="preserve"> </w:t>
      </w:r>
      <w:r w:rsidRPr="00E54693">
        <w:t xml:space="preserve">We also direct the administrator to file an update to the IP CTS data contained in the exhibits to the 2020 TRS annual report no later than September 1, 2020.   </w:t>
      </w:r>
    </w:p>
    <w:p w:rsidR="00E54693" w:rsidRPr="00E54693" w:rsidP="00E54693" w14:paraId="045D4640" w14:textId="77777777">
      <w:pPr>
        <w:numPr>
          <w:ilvl w:val="0"/>
          <w:numId w:val="2"/>
        </w:numPr>
        <w:tabs>
          <w:tab w:val="clear" w:pos="1080"/>
          <w:tab w:val="left" w:pos="1440"/>
        </w:tabs>
        <w:spacing w:after="120"/>
      </w:pPr>
      <w:r w:rsidRPr="00E54693">
        <w:t>This action by the Bureau to temporarily waive the Ju</w:t>
      </w:r>
      <w:r w:rsidRPr="00E54693">
        <w:t>ne 30 expiration date does not predetermine the compensation methodology or rate that will ultimately apply to any particular time period, and does not preclude a true-up of compensation, should the Commission deem that to be necessary after adopting an IP</w:t>
      </w:r>
      <w:r w:rsidRPr="00E54693">
        <w:t xml:space="preserve"> CTS compensation methodology and rate.</w:t>
      </w:r>
      <w:r>
        <w:rPr>
          <w:sz w:val="20"/>
          <w:vertAlign w:val="superscript"/>
        </w:rPr>
        <w:footnoteReference w:id="27"/>
      </w:r>
      <w:r w:rsidRPr="00E54693">
        <w:t>  The waiver we issue today simply suspends the June 30 expiration date for the current IP CTS compensation rate, thereby ensuring that compensation will be paid for IP CTS provided after that date.  The Commission r</w:t>
      </w:r>
      <w:r w:rsidRPr="00E54693">
        <w:t>etains discretion to adopt a compensation methodology and corresponding rate for IP CTS and to specify when such rate shall be deemed applicable.  Therefore, we direct the TRS Fund administrator to continue compensating IP CTS providers for the provision o</w:t>
      </w:r>
      <w:r w:rsidRPr="00E54693">
        <w:t>f IP CTS at the $1.58 per minute rate level in effect on June 30, 2020, through September 30, 2020.</w:t>
      </w:r>
      <w:r>
        <w:rPr>
          <w:sz w:val="20"/>
          <w:vertAlign w:val="superscript"/>
        </w:rPr>
        <w:footnoteReference w:id="28"/>
      </w:r>
      <w:r w:rsidRPr="00E54693">
        <w:t xml:space="preserve"> </w:t>
      </w:r>
    </w:p>
    <w:p w:rsidR="00E54693" w:rsidRPr="00E54693" w:rsidP="00E54693" w14:paraId="095CA7A5" w14:textId="77777777">
      <w:pPr>
        <w:keepNext/>
        <w:numPr>
          <w:ilvl w:val="0"/>
          <w:numId w:val="3"/>
        </w:numPr>
        <w:tabs>
          <w:tab w:val="left" w:pos="720"/>
        </w:tabs>
        <w:suppressAutoHyphens/>
        <w:spacing w:after="120"/>
        <w:outlineLvl w:val="0"/>
        <w:rPr>
          <w:rFonts w:ascii="Times New Roman Bold" w:hAnsi="Times New Roman Bold"/>
          <w:b/>
          <w:caps/>
        </w:rPr>
      </w:pPr>
      <w:r w:rsidRPr="00E54693">
        <w:rPr>
          <w:rFonts w:ascii="Times New Roman Bold" w:hAnsi="Times New Roman Bold"/>
          <w:b/>
          <w:caps/>
        </w:rPr>
        <w:t>Procedural Matters</w:t>
      </w:r>
    </w:p>
    <w:p w:rsidR="00E54693" w:rsidRPr="00E54693" w:rsidP="00E54693" w14:paraId="429826BB" w14:textId="77777777">
      <w:pPr>
        <w:numPr>
          <w:ilvl w:val="0"/>
          <w:numId w:val="2"/>
        </w:numPr>
        <w:tabs>
          <w:tab w:val="clear" w:pos="1080"/>
          <w:tab w:val="left" w:pos="1440"/>
        </w:tabs>
        <w:spacing w:after="120"/>
      </w:pPr>
      <w:r w:rsidRPr="00E54693">
        <w:rPr>
          <w:i/>
        </w:rPr>
        <w:t>People with Disabilities</w:t>
      </w:r>
      <w:r w:rsidRPr="00E54693">
        <w:t>:  To request materials in accessible formats for people with disabilities (Braille, large print, electronic fi</w:t>
      </w:r>
      <w:r w:rsidRPr="00E54693">
        <w:t>les, audio format), send an e-mail to fcc504@fcc.gov or call the Consumer &amp; Governmental Affairs Bureau at 202-418-0530 (voice) or 202-418-0432 (TTY).</w:t>
      </w:r>
    </w:p>
    <w:p w:rsidR="00E54693" w:rsidRPr="00E54693" w:rsidP="00E54693" w14:paraId="621299D7" w14:textId="77777777">
      <w:pPr>
        <w:numPr>
          <w:ilvl w:val="0"/>
          <w:numId w:val="2"/>
        </w:numPr>
        <w:tabs>
          <w:tab w:val="clear" w:pos="1080"/>
          <w:tab w:val="left" w:pos="1440"/>
        </w:tabs>
        <w:spacing w:after="120"/>
      </w:pPr>
      <w:r w:rsidRPr="00E54693">
        <w:rPr>
          <w:i/>
        </w:rPr>
        <w:t xml:space="preserve">Additional Information.  </w:t>
      </w:r>
      <w:r w:rsidRPr="00E54693">
        <w:t>For further information regarding this item, please contact Michael Scott, Disab</w:t>
      </w:r>
      <w:r w:rsidRPr="00E54693">
        <w:t xml:space="preserve">ility Rights Office, Consumer and Governmental Affairs Bureau, at 202-418-1264 or by e-mail to </w:t>
      </w:r>
      <w:hyperlink r:id="rId5" w:history="1">
        <w:r w:rsidRPr="00E54693">
          <w:rPr>
            <w:color w:val="0000FF"/>
            <w:szCs w:val="22"/>
            <w:u w:val="single"/>
          </w:rPr>
          <w:t>Michael.Scott@fcc.gov</w:t>
        </w:r>
      </w:hyperlink>
      <w:r w:rsidRPr="00E54693">
        <w:t xml:space="preserve">. </w:t>
      </w:r>
    </w:p>
    <w:p w:rsidR="00E54693" w:rsidRPr="00E54693" w:rsidP="00E54693" w14:paraId="7EA4B900" w14:textId="77777777">
      <w:pPr>
        <w:keepNext/>
        <w:numPr>
          <w:ilvl w:val="0"/>
          <w:numId w:val="3"/>
        </w:numPr>
        <w:tabs>
          <w:tab w:val="left" w:pos="720"/>
        </w:tabs>
        <w:suppressAutoHyphens/>
        <w:spacing w:after="120"/>
        <w:outlineLvl w:val="0"/>
        <w:rPr>
          <w:rFonts w:ascii="Times New Roman Bold" w:hAnsi="Times New Roman Bold"/>
          <w:b/>
          <w:caps/>
        </w:rPr>
      </w:pPr>
      <w:r w:rsidRPr="00E54693">
        <w:rPr>
          <w:rFonts w:ascii="Times New Roman Bold" w:hAnsi="Times New Roman Bold"/>
          <w:b/>
          <w:caps/>
        </w:rPr>
        <w:t>Ordering Clauses</w:t>
      </w:r>
    </w:p>
    <w:p w:rsidR="00E54693" w:rsidRPr="00E54693" w:rsidP="00E54693" w14:paraId="105A246C" w14:textId="77777777">
      <w:pPr>
        <w:numPr>
          <w:ilvl w:val="0"/>
          <w:numId w:val="2"/>
        </w:numPr>
        <w:tabs>
          <w:tab w:val="clear" w:pos="1080"/>
          <w:tab w:val="left" w:pos="1440"/>
        </w:tabs>
        <w:spacing w:after="120"/>
      </w:pPr>
      <w:r w:rsidRPr="00E54693">
        <w:t xml:space="preserve">Accordingly, IT IS ORDERED that, pursuant to sections 1, 2, 4(i), 4(j) and </w:t>
      </w:r>
      <w:r w:rsidRPr="00E54693">
        <w:t xml:space="preserve">225 of the Communications Act of 1934, as amended, 47 U.S.C. §§ 151, 152, 154(i), 154(j), 225, and sections 0.141, 0.361, 1.3, and 64.604(c)(5)(iii) of the Commission’s rules, 47 CFR §§ 0.141, 0.361, 1.3, 64.604(c)(5)(iii), this Order IS ADOPTED. </w:t>
      </w:r>
    </w:p>
    <w:p w:rsidR="00E54693" w:rsidRPr="00E54693" w:rsidP="00E54693" w14:paraId="6D33FA9B" w14:textId="77777777">
      <w:pPr>
        <w:numPr>
          <w:ilvl w:val="0"/>
          <w:numId w:val="2"/>
        </w:numPr>
        <w:tabs>
          <w:tab w:val="clear" w:pos="1080"/>
          <w:tab w:val="left" w:pos="1440"/>
        </w:tabs>
        <w:spacing w:after="120"/>
      </w:pPr>
      <w:r w:rsidRPr="00E54693">
        <w:t>IT IS FU</w:t>
      </w:r>
      <w:r w:rsidRPr="00E54693">
        <w:t>RTHER ORDERED that the TRS Fund administrator shall compensate eligible providers of IP CTS, through September 30, 2020, at the rate of $1.58 per completed conversation minute.</w:t>
      </w:r>
    </w:p>
    <w:p w:rsidR="00E54693" w:rsidRPr="00E54693" w:rsidP="00E54693" w14:paraId="7E21EF10" w14:textId="77777777">
      <w:pPr>
        <w:numPr>
          <w:ilvl w:val="0"/>
          <w:numId w:val="2"/>
        </w:numPr>
        <w:tabs>
          <w:tab w:val="clear" w:pos="1080"/>
          <w:tab w:val="left" w:pos="1440"/>
        </w:tabs>
        <w:spacing w:after="120"/>
      </w:pPr>
      <w:r w:rsidRPr="00E54693">
        <w:t>IT IS FURTHER ORDERED that, pursuant to section 1.102(b)(1) of the Commission’s</w:t>
      </w:r>
      <w:r w:rsidRPr="00E54693">
        <w:t xml:space="preserve"> rules, 47 CFR § 1.102(b)(1), this Order SHALL BE EFFECTIVE immediately upon release.</w:t>
      </w:r>
    </w:p>
    <w:p w:rsidR="00E54693" w:rsidRPr="00E54693" w:rsidP="00E54693" w14:paraId="76DD223C" w14:textId="77777777">
      <w:r w:rsidRPr="00E54693">
        <w:tab/>
      </w:r>
      <w:r w:rsidRPr="00E54693">
        <w:tab/>
      </w:r>
      <w:r w:rsidRPr="00E54693">
        <w:tab/>
      </w:r>
      <w:r w:rsidRPr="00E54693">
        <w:tab/>
      </w:r>
      <w:r w:rsidRPr="00E54693">
        <w:tab/>
      </w:r>
      <w:r w:rsidRPr="00E54693">
        <w:tab/>
        <w:t>FEDERAL COMMUNICATIONS COMMISSION</w:t>
      </w:r>
    </w:p>
    <w:p w:rsidR="00E54693" w:rsidRPr="00E54693" w:rsidP="00E54693" w14:paraId="1C774784" w14:textId="77777777"/>
    <w:p w:rsidR="00E54693" w:rsidRPr="00E54693" w:rsidP="00E54693" w14:paraId="26FF6633" w14:textId="77777777"/>
    <w:p w:rsidR="00E54693" w:rsidRPr="00E54693" w:rsidP="00E54693" w14:paraId="2F0084CD" w14:textId="77777777"/>
    <w:p w:rsidR="00E54693" w:rsidRPr="00E54693" w:rsidP="00E54693" w14:paraId="41F370E2" w14:textId="77777777"/>
    <w:p w:rsidR="00E54693" w:rsidRPr="00E54693" w:rsidP="00E54693" w14:paraId="333E61B9" w14:textId="77777777">
      <w:pPr>
        <w:ind w:left="3600" w:firstLine="720"/>
      </w:pPr>
      <w:r w:rsidRPr="00E54693">
        <w:t>Patrick Webre, Chief</w:t>
      </w:r>
    </w:p>
    <w:p w:rsidR="00E54693" w:rsidRPr="00E54693" w:rsidP="00E54693" w14:paraId="7B37C4F4" w14:textId="77777777">
      <w:pPr>
        <w:ind w:left="3600" w:firstLine="720"/>
      </w:pPr>
      <w:r w:rsidRPr="00E54693">
        <w:t>Consumer and Governmental Affairs Bureau</w:t>
      </w:r>
    </w:p>
    <w:p w:rsidR="00E54693" w:rsidRPr="00E54693" w:rsidP="00E54693" w14:paraId="258BC12C" w14:textId="77777777"/>
    <w:p w:rsidR="00412FC5" w:rsidRPr="00E54693" w:rsidP="00E54693" w14:paraId="566818AF" w14:textId="77777777"/>
    <w:sectPr w:rsidSect="0055614C">
      <w:headerReference w:type="default" r:id="rId6"/>
      <w:footerReference w:type="even" r:id="rId7"/>
      <w:footerReference w:type="default" r:id="rId8"/>
      <w:headerReference w:type="first" r:id="rId9"/>
      <w:footerReference w:type="first" r:id="rId10"/>
      <w:endnotePr>
        <w:numFmt w:val="decimal"/>
      </w:endnotePr>
      <w:pgSz w:w="12240" w:h="15840"/>
      <w:pgMar w:top="1440" w:right="1440" w:bottom="720" w:left="1440" w:header="720" w:footer="720" w:gutter="0"/>
      <w:pgNumType w:start="1"/>
      <w:cols w:space="72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25FB5" w:rsidP="0055614C" w14:paraId="3E7973D3" w14:textId="77777777">
    <w:pPr>
      <w:pStyle w:val="Footer"/>
      <w:framePr w:wrap="around" w:vAnchor="text" w:hAnchor="margin" w:xAlign="center" w:y="1"/>
    </w:pPr>
    <w:r>
      <w:fldChar w:fldCharType="begin"/>
    </w:r>
    <w:r>
      <w:instrText xml:space="preserve">PAGE  </w:instrText>
    </w:r>
    <w:r>
      <w:fldChar w:fldCharType="separate"/>
    </w:r>
    <w:r>
      <w:fldChar w:fldCharType="end"/>
    </w:r>
  </w:p>
  <w:p w:rsidR="00D25FB5" w14:paraId="545D2C75"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D7308" w14:paraId="56105C93" w14:textId="77777777">
    <w:pPr>
      <w:pStyle w:val="Footer"/>
      <w:jc w:val="center"/>
    </w:pPr>
    <w:r>
      <w:fldChar w:fldCharType="begin"/>
    </w:r>
    <w:r>
      <w:instrText xml:space="preserve"> PAGE   \* MERGEFORMAT </w:instrText>
    </w:r>
    <w:r>
      <w:fldChar w:fldCharType="separate"/>
    </w:r>
    <w:r>
      <w:rPr>
        <w:noProof/>
      </w:rPr>
      <w:t>2</w:t>
    </w:r>
    <w:r>
      <w:rPr>
        <w:noProof/>
      </w:rPr>
      <w:fldChar w:fldCharType="end"/>
    </w:r>
  </w:p>
  <w:p w:rsidR="00D25FB5" w14:paraId="4CBC558F" w14:textId="77777777">
    <w:pPr>
      <w:suppressAutoHyphens/>
      <w:spacing w:line="227"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25FB5" w14:paraId="7FA0B245" w14:textId="77777777">
    <w:pPr>
      <w:pStyle w:val="Footer"/>
      <w:tabs>
        <w:tab w:val="clear"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98153A" w14:paraId="11D16ADB" w14:textId="77777777">
      <w:r>
        <w:separator/>
      </w:r>
    </w:p>
  </w:footnote>
  <w:footnote w:type="continuationSeparator" w:id="1">
    <w:p w:rsidR="0098153A" w:rsidP="00C721AC" w14:paraId="6AA1FA56" w14:textId="77777777">
      <w:pPr>
        <w:spacing w:before="120"/>
        <w:rPr>
          <w:sz w:val="20"/>
        </w:rPr>
      </w:pPr>
      <w:r>
        <w:rPr>
          <w:sz w:val="20"/>
        </w:rPr>
        <w:t xml:space="preserve">(Continued from previous page)  </w:t>
      </w:r>
      <w:r>
        <w:rPr>
          <w:sz w:val="20"/>
        </w:rPr>
        <w:separator/>
      </w:r>
    </w:p>
  </w:footnote>
  <w:footnote w:type="continuationNotice" w:id="2">
    <w:p w:rsidR="0098153A" w:rsidP="00C721AC" w14:paraId="1DE5BFE2" w14:textId="77777777">
      <w:pPr>
        <w:jc w:val="right"/>
        <w:rPr>
          <w:sz w:val="20"/>
        </w:rPr>
      </w:pPr>
      <w:r>
        <w:rPr>
          <w:sz w:val="20"/>
        </w:rPr>
        <w:t>(continued….)</w:t>
      </w:r>
    </w:p>
  </w:footnote>
  <w:footnote w:id="3">
    <w:p w:rsidR="00E54693" w:rsidP="00E54693" w14:paraId="7D7E8AA0" w14:textId="77777777">
      <w:pPr>
        <w:pStyle w:val="FootnoteText"/>
      </w:pPr>
      <w:r>
        <w:rPr>
          <w:rStyle w:val="FootnoteReference"/>
        </w:rPr>
        <w:footnoteRef/>
      </w:r>
      <w:r>
        <w:t xml:space="preserve"> IP CTS is a form of Internet-based telecommunications relay service (TRS) that</w:t>
      </w:r>
      <w:r w:rsidRPr="0004726E">
        <w:rPr>
          <w:rFonts w:eastAsia="Calibri"/>
        </w:rPr>
        <w:t xml:space="preserve"> </w:t>
      </w:r>
      <w:r>
        <w:rPr>
          <w:rFonts w:eastAsia="Calibri"/>
        </w:rPr>
        <w:t xml:space="preserve">allows </w:t>
      </w:r>
      <w:r w:rsidRPr="00071F30">
        <w:rPr>
          <w:rFonts w:eastAsia="Calibri"/>
        </w:rPr>
        <w:t>individuals with hearing loss to both read captions and use their residual hearing to understand a telephone conversation</w:t>
      </w:r>
      <w:r>
        <w:rPr>
          <w:rFonts w:eastAsia="Calibri"/>
        </w:rPr>
        <w:t xml:space="preserve">.  </w:t>
      </w:r>
      <w:r w:rsidRPr="00AC6CC7">
        <w:rPr>
          <w:i/>
        </w:rPr>
        <w:t>See</w:t>
      </w:r>
      <w:r>
        <w:t xml:space="preserve"> </w:t>
      </w:r>
      <w:r w:rsidRPr="003F1DEA">
        <w:t>47 CFR §</w:t>
      </w:r>
      <w:r>
        <w:t> </w:t>
      </w:r>
      <w:r w:rsidRPr="003F1DEA">
        <w:t>64.601(a)(</w:t>
      </w:r>
      <w:r>
        <w:t>19</w:t>
      </w:r>
      <w:r w:rsidRPr="003F1DEA">
        <w:t>)</w:t>
      </w:r>
      <w:r>
        <w:t xml:space="preserve"> (defining IP CTS)</w:t>
      </w:r>
      <w:r w:rsidRPr="003F1DEA">
        <w:t>.</w:t>
      </w:r>
    </w:p>
  </w:footnote>
  <w:footnote w:id="4">
    <w:p w:rsidR="00E54693" w:rsidRPr="006439CE" w:rsidP="00E54693" w14:paraId="7A990D90" w14:textId="77777777">
      <w:pPr>
        <w:pStyle w:val="FootnoteText"/>
      </w:pPr>
      <w:r>
        <w:rPr>
          <w:rStyle w:val="FootnoteReference"/>
        </w:rPr>
        <w:footnoteRef/>
      </w:r>
      <w:r>
        <w:t xml:space="preserve"> </w:t>
      </w:r>
      <w:r w:rsidRPr="00C43339">
        <w:rPr>
          <w:i/>
          <w:iCs/>
        </w:rPr>
        <w:t>Misuse of Internet Protocol (IP) Captioned Telephone Service</w:t>
      </w:r>
      <w:r w:rsidRPr="00C43339">
        <w:rPr>
          <w:iCs/>
        </w:rPr>
        <w:t>;</w:t>
      </w:r>
      <w:r w:rsidRPr="00C43339">
        <w:rPr>
          <w:i/>
          <w:iCs/>
        </w:rPr>
        <w:t xml:space="preserve"> Telecommunications Relay Services and Speech-to-Speech Services for Individuals with Hearing and Speech Disabilities</w:t>
      </w:r>
      <w:r w:rsidRPr="00C43339">
        <w:rPr>
          <w:iCs/>
        </w:rPr>
        <w:t>, CG Docket Nos. 13-24 and 03-123, Report and Order, Declaratory Ruling, Further Notice of Proposed Rulemaking, and Notice of Inquiry, 33 F</w:t>
      </w:r>
      <w:r w:rsidRPr="00C43339">
        <w:rPr>
          <w:iCs/>
        </w:rPr>
        <w:t xml:space="preserve">CC Rcd 5800, </w:t>
      </w:r>
      <w:r>
        <w:rPr>
          <w:iCs/>
        </w:rPr>
        <w:t xml:space="preserve">5836-47, paras. 68-100 </w:t>
      </w:r>
      <w:r w:rsidRPr="00C43339">
        <w:rPr>
          <w:iCs/>
        </w:rPr>
        <w:t>(2018)</w:t>
      </w:r>
      <w:r>
        <w:rPr>
          <w:iCs/>
        </w:rPr>
        <w:t xml:space="preserve"> (</w:t>
      </w:r>
      <w:r w:rsidRPr="009D7221">
        <w:rPr>
          <w:i/>
        </w:rPr>
        <w:t>2018 IP CTS FNPRM</w:t>
      </w:r>
      <w:r>
        <w:rPr>
          <w:iCs/>
        </w:rPr>
        <w:t>).</w:t>
      </w:r>
      <w:r w:rsidRPr="00C43339">
        <w:rPr>
          <w:iCs/>
        </w:rPr>
        <w:t xml:space="preserve"> </w:t>
      </w:r>
    </w:p>
  </w:footnote>
  <w:footnote w:id="5">
    <w:p w:rsidR="00E54693" w:rsidRPr="009D7221" w:rsidP="00E54693" w14:paraId="5CAA4DD0" w14:textId="77777777">
      <w:pPr>
        <w:pStyle w:val="FootnoteText"/>
        <w:rPr>
          <w:iCs/>
        </w:rPr>
      </w:pPr>
      <w:r>
        <w:rPr>
          <w:rStyle w:val="FootnoteReference"/>
        </w:rPr>
        <w:footnoteRef/>
      </w:r>
      <w:r>
        <w:t xml:space="preserve"> </w:t>
      </w:r>
      <w:r>
        <w:rPr>
          <w:i/>
        </w:rPr>
        <w:t xml:space="preserve">Id. </w:t>
      </w:r>
      <w:r>
        <w:rPr>
          <w:iCs/>
        </w:rPr>
        <w:t>at 5813-16, paras. 23-26.</w:t>
      </w:r>
    </w:p>
  </w:footnote>
  <w:footnote w:id="6">
    <w:p w:rsidR="00E54693" w:rsidRPr="00A76E98" w:rsidP="00E54693" w14:paraId="0C781230" w14:textId="77777777">
      <w:pPr>
        <w:pStyle w:val="FootnoteText"/>
      </w:pPr>
      <w:r>
        <w:rPr>
          <w:rStyle w:val="FootnoteReference"/>
        </w:rPr>
        <w:footnoteRef/>
      </w:r>
      <w:r>
        <w:t xml:space="preserve"> </w:t>
      </w:r>
      <w:r w:rsidRPr="00505283">
        <w:rPr>
          <w:i/>
          <w:iCs/>
        </w:rPr>
        <w:t>Telecommunications Relay Services and Speech-to-Speech Services for Individuals with Hearing and Speech Disabilities</w:t>
      </w:r>
      <w:r>
        <w:t xml:space="preserve">; </w:t>
      </w:r>
      <w:r w:rsidRPr="00A76E98">
        <w:rPr>
          <w:i/>
          <w:iCs/>
        </w:rPr>
        <w:t>Structure and Practices of the Video Re</w:t>
      </w:r>
      <w:r w:rsidRPr="00A76E98">
        <w:rPr>
          <w:i/>
          <w:iCs/>
        </w:rPr>
        <w:t>lay Service Program</w:t>
      </w:r>
      <w:r>
        <w:t xml:space="preserve">, CG Docket Nos. 03-123 and 10-51, Order, 34 FCC Rcd 5171, 5183, para. 33 (CGB 2019). </w:t>
      </w:r>
    </w:p>
  </w:footnote>
  <w:footnote w:id="7">
    <w:p w:rsidR="00E54693" w:rsidRPr="00440E2F" w:rsidP="00E54693" w14:paraId="755E64F2" w14:textId="4B25DE5D">
      <w:pPr>
        <w:pStyle w:val="FootnoteText"/>
      </w:pPr>
      <w:r>
        <w:rPr>
          <w:rStyle w:val="FootnoteReference"/>
        </w:rPr>
        <w:footnoteRef/>
      </w:r>
      <w:r>
        <w:t xml:space="preserve"> </w:t>
      </w:r>
      <w:r>
        <w:rPr>
          <w:i/>
          <w:iCs/>
        </w:rPr>
        <w:t>See</w:t>
      </w:r>
      <w:r>
        <w:t xml:space="preserve"> Centers for Disease Control and Prevention, Coronavirus (COVID-19), </w:t>
      </w:r>
      <w:hyperlink r:id="rId1" w:history="1">
        <w:r w:rsidRPr="00C91114">
          <w:rPr>
            <w:rStyle w:val="Hyperlink"/>
          </w:rPr>
          <w:t>https:</w:t>
        </w:r>
        <w:r w:rsidRPr="00C91114">
          <w:rPr>
            <w:rStyle w:val="Hyperlink"/>
          </w:rPr>
          <w:t>//www.cdc.gov/coronavirus/‌2019-ncov/index.html</w:t>
        </w:r>
      </w:hyperlink>
      <w:r>
        <w:rPr>
          <w:rStyle w:val="Hyperlink"/>
        </w:rPr>
        <w:t xml:space="preserve"> </w:t>
      </w:r>
      <w:r>
        <w:t xml:space="preserve">(last visited May 4, 2020).   </w:t>
      </w:r>
    </w:p>
  </w:footnote>
  <w:footnote w:id="8">
    <w:p w:rsidR="00E54693" w:rsidP="00E54693" w14:paraId="415389E1" w14:textId="77777777">
      <w:pPr>
        <w:pStyle w:val="FootnoteText"/>
      </w:pPr>
      <w:r>
        <w:rPr>
          <w:rStyle w:val="FootnoteReference"/>
        </w:rPr>
        <w:footnoteRef/>
      </w:r>
      <w:r>
        <w:t xml:space="preserve"> </w:t>
      </w:r>
      <w:r>
        <w:rPr>
          <w:i/>
          <w:iCs/>
        </w:rPr>
        <w:t xml:space="preserve">See </w:t>
      </w:r>
      <w:r w:rsidRPr="003050A9">
        <w:rPr>
          <w:rStyle w:val="item-value"/>
          <w:i/>
          <w:iCs/>
        </w:rPr>
        <w:t>Telecommunications Relay Services and Speech-to-Speech Services for Individuals with Hearing and Speech Disabilities</w:t>
      </w:r>
      <w:r w:rsidRPr="003050A9">
        <w:rPr>
          <w:rStyle w:val="item-value"/>
        </w:rPr>
        <w:t>;</w:t>
      </w:r>
      <w:r w:rsidRPr="003050A9">
        <w:rPr>
          <w:rStyle w:val="item-value"/>
          <w:i/>
          <w:iCs/>
        </w:rPr>
        <w:t xml:space="preserve"> Structure and Practices of the Video Relay Service Pr</w:t>
      </w:r>
      <w:r w:rsidRPr="003050A9">
        <w:rPr>
          <w:rStyle w:val="item-value"/>
          <w:i/>
          <w:iCs/>
        </w:rPr>
        <w:t>ogram</w:t>
      </w:r>
      <w:r>
        <w:rPr>
          <w:rStyle w:val="item-value"/>
        </w:rPr>
        <w:t xml:space="preserve">, CG Docket Nos. 03-123 and 10-51, Order, DA 20-281, at 1-2, para. 2 (CGB Mar. 16, 2020); </w:t>
      </w:r>
      <w:r w:rsidRPr="003050A9">
        <w:rPr>
          <w:rStyle w:val="item-value"/>
          <w:i/>
          <w:iCs/>
        </w:rPr>
        <w:t>Telecommunications Relay Services and Speech-to-Speech Services for Individuals with Hearing and Speech Disabilities</w:t>
      </w:r>
      <w:r w:rsidRPr="003050A9">
        <w:rPr>
          <w:rStyle w:val="item-value"/>
        </w:rPr>
        <w:t>;</w:t>
      </w:r>
      <w:r w:rsidRPr="003050A9">
        <w:rPr>
          <w:rStyle w:val="item-value"/>
          <w:i/>
          <w:iCs/>
        </w:rPr>
        <w:t xml:space="preserve"> Structure and Practices of the Video Relay </w:t>
      </w:r>
      <w:r w:rsidRPr="003050A9">
        <w:rPr>
          <w:rStyle w:val="item-value"/>
          <w:i/>
          <w:iCs/>
        </w:rPr>
        <w:t>Service Program</w:t>
      </w:r>
      <w:r>
        <w:rPr>
          <w:rStyle w:val="item-value"/>
        </w:rPr>
        <w:t>, CG Docket Nos. 03-123 and 10-51, Order, DA 20-517 at 1, para. 2 (CGB May 14, 2020).</w:t>
      </w:r>
      <w:r>
        <w:t xml:space="preserve">  </w:t>
      </w:r>
      <w:r w:rsidRPr="003F1DEA">
        <w:t xml:space="preserve">  </w:t>
      </w:r>
    </w:p>
  </w:footnote>
  <w:footnote w:id="9">
    <w:p w:rsidR="00E54693" w:rsidRPr="006439CE" w:rsidP="00E54693" w14:paraId="3CDD6138" w14:textId="77777777">
      <w:pPr>
        <w:pStyle w:val="FootnoteText"/>
      </w:pPr>
      <w:r>
        <w:rPr>
          <w:rStyle w:val="FootnoteReference"/>
        </w:rPr>
        <w:footnoteRef/>
      </w:r>
      <w:r>
        <w:t xml:space="preserve"> </w:t>
      </w:r>
      <w:r w:rsidRPr="000469AF">
        <w:rPr>
          <w:i/>
        </w:rPr>
        <w:t>See</w:t>
      </w:r>
      <w:r w:rsidRPr="000469AF">
        <w:t xml:space="preserve"> Rolka Loube, Interstate Telecommunications Relay Services Fund Payment Formula and Fund Size Estimate, CG Docket Nos. 03-123 and 10-51, </w:t>
      </w:r>
      <w:r>
        <w:t xml:space="preserve">at 7-8 </w:t>
      </w:r>
      <w:r w:rsidRPr="000469AF">
        <w:t>(f</w:t>
      </w:r>
      <w:r w:rsidRPr="000469AF">
        <w:t xml:space="preserve">iled May </w:t>
      </w:r>
      <w:r>
        <w:t>1</w:t>
      </w:r>
      <w:r w:rsidRPr="000469AF">
        <w:t>,</w:t>
      </w:r>
      <w:r>
        <w:t xml:space="preserve"> 2020) </w:t>
      </w:r>
      <w:hyperlink r:id="rId2" w:history="1">
        <w:r w:rsidRPr="00C91114">
          <w:rPr>
            <w:rStyle w:val="Hyperlink"/>
          </w:rPr>
          <w:t>https://ecfsapi.fcc.gov/file/105013048227177/2020%20Annual%20TRS%20Fund%20Report.pdf</w:t>
        </w:r>
      </w:hyperlink>
      <w:r>
        <w:t xml:space="preserve"> (2020 Annual TRS Report); Letter from Scott R. Freiermuth, Sprint Communications Company, L.P. (Sprint), to Marlene H. Dortch, FCC, CG Docket Nos. 03-123 and 13-24, at 1-3</w:t>
      </w:r>
      <w:r>
        <w:t xml:space="preserve"> (filed Apr. 15, 2020) (Sprint April 15 </w:t>
      </w:r>
      <w:r>
        <w:rPr>
          <w:i/>
          <w:iCs/>
        </w:rPr>
        <w:t>Ex Parte</w:t>
      </w:r>
      <w:r>
        <w:t xml:space="preserve">); Letter from Scott R. Freiermuth, Sprint, to Marlene H. Dortch, FCC, CG Docket Nos. 03-123 and 13-24, at 1-2 (filed Apr. 22, 2020) (Sprint April 22 </w:t>
      </w:r>
      <w:r>
        <w:rPr>
          <w:i/>
          <w:iCs/>
        </w:rPr>
        <w:t>Ex Parte</w:t>
      </w:r>
      <w:r>
        <w:t xml:space="preserve">); Letter from David A. O’Connor, Hamilton Relay, </w:t>
      </w:r>
      <w:r>
        <w:t xml:space="preserve">Inc. (Hamilton), to Marlene H. Dortch, FCC, CG Docket Nos. 03-123 and 13-24, at 1 (filed May 7, 2020) (Hamilton May 7 </w:t>
      </w:r>
      <w:r>
        <w:rPr>
          <w:i/>
          <w:iCs/>
        </w:rPr>
        <w:t>Ex Parte</w:t>
      </w:r>
      <w:r>
        <w:t>).</w:t>
      </w:r>
    </w:p>
  </w:footnote>
  <w:footnote w:id="10">
    <w:p w:rsidR="00E54693" w:rsidP="00E54693" w14:paraId="13E76B14" w14:textId="77777777">
      <w:pPr>
        <w:pStyle w:val="FootnoteText"/>
      </w:pPr>
      <w:r>
        <w:rPr>
          <w:rStyle w:val="FootnoteReference"/>
        </w:rPr>
        <w:footnoteRef/>
      </w:r>
      <w:r>
        <w:t xml:space="preserve"> 47 CFR § 1.3.</w:t>
      </w:r>
    </w:p>
  </w:footnote>
  <w:footnote w:id="11">
    <w:p w:rsidR="00E54693" w:rsidP="00E54693" w14:paraId="3003878D" w14:textId="77777777">
      <w:pPr>
        <w:pStyle w:val="FootnoteText"/>
      </w:pPr>
      <w:r>
        <w:rPr>
          <w:rStyle w:val="FootnoteReference"/>
        </w:rPr>
        <w:footnoteRef/>
      </w:r>
      <w:r>
        <w:t xml:space="preserve"> </w:t>
      </w:r>
      <w:r>
        <w:rPr>
          <w:i/>
        </w:rPr>
        <w:t>Northeast Cellular Tel. Co. v. FCC</w:t>
      </w:r>
      <w:r>
        <w:t>, 897 F.2d 1164, 1166 (D.C. Cir. 1990) (</w:t>
      </w:r>
      <w:r>
        <w:rPr>
          <w:i/>
        </w:rPr>
        <w:t>Northeast Cellular</w:t>
      </w:r>
      <w:r>
        <w:t>).</w:t>
      </w:r>
    </w:p>
  </w:footnote>
  <w:footnote w:id="12">
    <w:p w:rsidR="00E54693" w:rsidP="00E54693" w14:paraId="12740949" w14:textId="77777777">
      <w:pPr>
        <w:pStyle w:val="FootnoteText"/>
      </w:pPr>
      <w:r>
        <w:rPr>
          <w:rStyle w:val="FootnoteReference"/>
        </w:rPr>
        <w:footnoteRef/>
      </w:r>
      <w:r>
        <w:t xml:space="preserve"> </w:t>
      </w:r>
      <w:r>
        <w:rPr>
          <w:i/>
        </w:rPr>
        <w:t>WAIT Radio v</w:t>
      </w:r>
      <w:r>
        <w:rPr>
          <w:i/>
        </w:rPr>
        <w:t>. FCC</w:t>
      </w:r>
      <w:r>
        <w:t xml:space="preserve">, 418 F.2d 1153, 1159 (D.C. Cir. 1969), </w:t>
      </w:r>
      <w:r>
        <w:rPr>
          <w:i/>
        </w:rPr>
        <w:t>cert. denied</w:t>
      </w:r>
      <w:r>
        <w:t xml:space="preserve">, 409 U.S. 1027 (1972); </w:t>
      </w:r>
      <w:r>
        <w:rPr>
          <w:i/>
        </w:rPr>
        <w:t>Northeast Cellular</w:t>
      </w:r>
      <w:r>
        <w:t>, 897 F.2d at 1166.</w:t>
      </w:r>
    </w:p>
  </w:footnote>
  <w:footnote w:id="13">
    <w:p w:rsidR="00E54693" w:rsidP="00E54693" w14:paraId="0894FFED" w14:textId="77777777">
      <w:pPr>
        <w:pStyle w:val="FootnoteText"/>
      </w:pPr>
      <w:r>
        <w:rPr>
          <w:rStyle w:val="FootnoteReference"/>
        </w:rPr>
        <w:footnoteRef/>
      </w:r>
      <w:r>
        <w:t xml:space="preserve"> </w:t>
      </w:r>
      <w:r>
        <w:rPr>
          <w:i/>
        </w:rPr>
        <w:t xml:space="preserve">Northeast </w:t>
      </w:r>
      <w:r w:rsidRPr="00310851">
        <w:rPr>
          <w:i/>
        </w:rPr>
        <w:t>Cellular</w:t>
      </w:r>
      <w:r>
        <w:t>, 897 F.2d at 1166.</w:t>
      </w:r>
    </w:p>
  </w:footnote>
  <w:footnote w:id="14">
    <w:p w:rsidR="00E54693" w:rsidP="00E54693" w14:paraId="572AE8BC" w14:textId="65911E1E">
      <w:pPr>
        <w:pStyle w:val="FootnoteText"/>
      </w:pPr>
      <w:r>
        <w:rPr>
          <w:rStyle w:val="FootnoteReference"/>
        </w:rPr>
        <w:footnoteRef/>
      </w:r>
      <w:r>
        <w:t xml:space="preserve"> The Bureau has previously acted on delegated authority to extend the applicable period of compe</w:t>
      </w:r>
      <w:r>
        <w:t xml:space="preserve">nsation for TRS providers.  </w:t>
      </w:r>
      <w:r>
        <w:rPr>
          <w:i/>
          <w:iCs/>
        </w:rPr>
        <w:t xml:space="preserve">See </w:t>
      </w:r>
      <w:r w:rsidRPr="00505283">
        <w:rPr>
          <w:i/>
          <w:iCs/>
        </w:rPr>
        <w:t>Telecommunications Relay Services and Speech-to-Speech Services for Individuals with Hearing and Speech Disabilities</w:t>
      </w:r>
      <w:r>
        <w:t xml:space="preserve">; </w:t>
      </w:r>
      <w:r w:rsidRPr="00A76E98">
        <w:rPr>
          <w:i/>
          <w:iCs/>
        </w:rPr>
        <w:t>Structure and Practices of the Video Relay Service Program</w:t>
      </w:r>
      <w:r>
        <w:t xml:space="preserve">, CG Docket Nos. 03-123 and 10-51, Order, </w:t>
      </w:r>
      <w:bookmarkStart w:id="1" w:name="_Hlk40180910"/>
      <w:r>
        <w:t>32 FCC</w:t>
      </w:r>
      <w:r>
        <w:t xml:space="preserve"> Rcd 5142, 5147, para. 15 </w:t>
      </w:r>
      <w:bookmarkEnd w:id="1"/>
      <w:r>
        <w:t>(CGB 2017) (</w:t>
      </w:r>
      <w:r w:rsidRPr="00BB0CF7">
        <w:rPr>
          <w:i/>
          <w:iCs/>
        </w:rPr>
        <w:t>2017 TRS Rate Order</w:t>
      </w:r>
      <w:r>
        <w:t xml:space="preserve">) (extending the compensation period for video relay service (VRS) pending further action by Commission to establish a new compensation methodology); </w:t>
      </w:r>
      <w:r>
        <w:rPr>
          <w:i/>
          <w:iCs/>
        </w:rPr>
        <w:t>see also</w:t>
      </w:r>
      <w:r>
        <w:t xml:space="preserve"> </w:t>
      </w:r>
      <w:r w:rsidRPr="000C66E3">
        <w:rPr>
          <w:i/>
          <w:iCs/>
        </w:rPr>
        <w:t>Telecommunications Relay Services and Sp</w:t>
      </w:r>
      <w:r w:rsidRPr="000C66E3">
        <w:rPr>
          <w:i/>
          <w:iCs/>
        </w:rPr>
        <w:t>eech</w:t>
      </w:r>
      <w:r>
        <w:rPr>
          <w:i/>
          <w:iCs/>
        </w:rPr>
        <w:t>-</w:t>
      </w:r>
      <w:r w:rsidRPr="000C66E3">
        <w:rPr>
          <w:i/>
          <w:iCs/>
        </w:rPr>
        <w:t>to-Speech Services for Individuals with Hearing and Speech Disabilities</w:t>
      </w:r>
      <w:r>
        <w:t>, CC Docket No. 98-67, Order, 18 FCC Rcd 12823, 12832-33, paras. 24, 26, 28 (CGB 2003) (adopting interim cost recovery rates for TRS providers subject to modification pending furth</w:t>
      </w:r>
      <w:r>
        <w:t xml:space="preserve">er analysis of relevant cost data), </w:t>
      </w:r>
      <w:r>
        <w:rPr>
          <w:i/>
          <w:iCs/>
        </w:rPr>
        <w:t>aff’d on reconsideration</w:t>
      </w:r>
      <w:r>
        <w:t>,</w:t>
      </w:r>
      <w:r>
        <w:rPr>
          <w:i/>
          <w:iCs/>
        </w:rPr>
        <w:t xml:space="preserve"> </w:t>
      </w:r>
      <w:r w:rsidRPr="000C66E3">
        <w:rPr>
          <w:i/>
          <w:iCs/>
        </w:rPr>
        <w:t>Telecommunications Relay Services and Speech- to- Speech Services for Individuals with Hearing and Speech Disabilities</w:t>
      </w:r>
      <w:r>
        <w:t xml:space="preserve">, CC Dockets Nos. 90-571 and 98-67, CG Docket No. 03-123, Report and Order, </w:t>
      </w:r>
      <w:r>
        <w:t>Order on Reconsideration, and Further Notice of Proposed Rulemaking, 19 FCC Rcd 12475, 12539-40, paras. 169-70 (2004) (affirming the Bureau’s authority to adopt cost recovery methods);</w:t>
      </w:r>
      <w:r w:rsidRPr="00F066ED">
        <w:rPr>
          <w:i/>
          <w:iCs/>
        </w:rPr>
        <w:t xml:space="preserve"> </w:t>
      </w:r>
      <w:r w:rsidRPr="000C66E3">
        <w:rPr>
          <w:i/>
          <w:iCs/>
        </w:rPr>
        <w:t>Telecommunications Relay Services and Speech-to-Speech Services for Ind</w:t>
      </w:r>
      <w:r w:rsidRPr="000C66E3">
        <w:rPr>
          <w:i/>
          <w:iCs/>
        </w:rPr>
        <w:t>ividuals with Hearing and Speech Disabilities</w:t>
      </w:r>
      <w:r>
        <w:t>, C</w:t>
      </w:r>
      <w:r w:rsidR="00830D71">
        <w:t>G</w:t>
      </w:r>
      <w:r>
        <w:t xml:space="preserve"> Docket No. 03-123, Order, 21 FCC Rcd 7018, 7027, paras. 28-29 (CGB 2006) (extending the VRS compensation rate for one year or until the Commission adopts new VRS rates pursuant to new cost recovery rules).</w:t>
      </w:r>
    </w:p>
  </w:footnote>
  <w:footnote w:id="15">
    <w:p w:rsidR="00E54693" w:rsidRPr="005736E3" w:rsidP="00E54693" w14:paraId="242F52A2" w14:textId="77777777">
      <w:pPr>
        <w:widowControl/>
        <w:autoSpaceDE w:val="0"/>
        <w:autoSpaceDN w:val="0"/>
        <w:adjustRightInd w:val="0"/>
        <w:spacing w:after="120"/>
        <w:rPr>
          <w:sz w:val="20"/>
        </w:rPr>
      </w:pPr>
      <w:r w:rsidRPr="005736E3">
        <w:rPr>
          <w:rStyle w:val="FootnoteReference"/>
        </w:rPr>
        <w:footnoteRef/>
      </w:r>
      <w:r w:rsidRPr="005736E3">
        <w:rPr>
          <w:sz w:val="20"/>
        </w:rPr>
        <w:t xml:space="preserve"> </w:t>
      </w:r>
      <w:r w:rsidRPr="005736E3">
        <w:rPr>
          <w:i/>
          <w:iCs/>
          <w:sz w:val="20"/>
        </w:rPr>
        <w:t>See</w:t>
      </w:r>
      <w:r w:rsidRPr="005736E3">
        <w:rPr>
          <w:sz w:val="20"/>
        </w:rPr>
        <w:t xml:space="preserve"> Letter from Michael Strecker, ClearCaptions, to Marlene H. Dortch, FCC, CG Docket Nos. 03-123 and 13-24, at 1 (filed April 6, 2020) (providing notice of the establishment of a virtual call center due to the pandemic); Letter from Angela E. Giancarlo, Sore</w:t>
      </w:r>
      <w:r w:rsidRPr="005736E3">
        <w:rPr>
          <w:sz w:val="20"/>
        </w:rPr>
        <w:t xml:space="preserve">nson Communications LLC and CaptionCall LLC (Sorenson and CaptionCall), to Marlene H. Dortch, FCC, CG Docket Nos. 03-123 and 13-24, at 1-2 (filed Apr. 10, 2020) (Sorenson and CaptionCall April 10 </w:t>
      </w:r>
      <w:r w:rsidRPr="005736E3">
        <w:rPr>
          <w:i/>
          <w:iCs/>
          <w:sz w:val="20"/>
        </w:rPr>
        <w:t>Ex Parte</w:t>
      </w:r>
      <w:r w:rsidRPr="005736E3">
        <w:rPr>
          <w:sz w:val="20"/>
        </w:rPr>
        <w:t xml:space="preserve">); Sprint April 15 </w:t>
      </w:r>
      <w:r w:rsidRPr="005736E3">
        <w:rPr>
          <w:i/>
          <w:iCs/>
          <w:sz w:val="20"/>
        </w:rPr>
        <w:t>Ex Parte</w:t>
      </w:r>
      <w:r w:rsidRPr="005736E3">
        <w:rPr>
          <w:sz w:val="20"/>
        </w:rPr>
        <w:t xml:space="preserve"> at 1-3; Sprint April 22 </w:t>
      </w:r>
      <w:r w:rsidRPr="005736E3">
        <w:rPr>
          <w:i/>
          <w:iCs/>
          <w:sz w:val="20"/>
        </w:rPr>
        <w:t xml:space="preserve">Ex Parte </w:t>
      </w:r>
      <w:r w:rsidRPr="005736E3">
        <w:rPr>
          <w:sz w:val="20"/>
        </w:rPr>
        <w:t xml:space="preserve">at 1-2; Hamilton May 7 </w:t>
      </w:r>
      <w:r w:rsidRPr="005736E3">
        <w:rPr>
          <w:i/>
          <w:iCs/>
          <w:sz w:val="20"/>
        </w:rPr>
        <w:t>Ex Parte</w:t>
      </w:r>
      <w:r w:rsidRPr="005736E3">
        <w:rPr>
          <w:sz w:val="20"/>
        </w:rPr>
        <w:t xml:space="preserve"> at 1. </w:t>
      </w:r>
    </w:p>
  </w:footnote>
  <w:footnote w:id="16">
    <w:p w:rsidR="00E54693" w:rsidRPr="000C66E3" w:rsidP="00E54693" w14:paraId="4681DEA1" w14:textId="77777777">
      <w:pPr>
        <w:pStyle w:val="FootnoteText"/>
      </w:pPr>
      <w:r>
        <w:rPr>
          <w:rStyle w:val="FootnoteReference"/>
        </w:rPr>
        <w:footnoteRef/>
      </w:r>
      <w:r>
        <w:t xml:space="preserve"> 2020 Annual TRS Report at 7 (describing increases in TRS demand ranging from 25% to 33% above expected levels); Sorenson and CaptionCall April 10 </w:t>
      </w:r>
      <w:r>
        <w:rPr>
          <w:i/>
          <w:iCs/>
        </w:rPr>
        <w:t>Ex Parte</w:t>
      </w:r>
      <w:r>
        <w:t xml:space="preserve">; Sprint April 15 </w:t>
      </w:r>
      <w:r>
        <w:rPr>
          <w:i/>
          <w:iCs/>
        </w:rPr>
        <w:t>Ex Parte</w:t>
      </w:r>
      <w:r>
        <w:t xml:space="preserve"> at 2; Sprint April 22 </w:t>
      </w:r>
      <w:r>
        <w:rPr>
          <w:i/>
          <w:iCs/>
        </w:rPr>
        <w:t xml:space="preserve">Ex </w:t>
      </w:r>
      <w:r>
        <w:rPr>
          <w:i/>
          <w:iCs/>
        </w:rPr>
        <w:t xml:space="preserve">Parte </w:t>
      </w:r>
      <w:r>
        <w:t xml:space="preserve">at 1-2; Hamilton May 7 </w:t>
      </w:r>
      <w:r>
        <w:rPr>
          <w:i/>
          <w:iCs/>
        </w:rPr>
        <w:t>Ex Parte</w:t>
      </w:r>
      <w:r>
        <w:t xml:space="preserve"> at 1.</w:t>
      </w:r>
    </w:p>
  </w:footnote>
  <w:footnote w:id="17">
    <w:p w:rsidR="00E54693" w:rsidRPr="00967D1F" w:rsidP="00E54693" w14:paraId="7F468ECA" w14:textId="77777777">
      <w:pPr>
        <w:pStyle w:val="FootnoteText"/>
      </w:pPr>
      <w:r>
        <w:rPr>
          <w:rStyle w:val="FootnoteReference"/>
        </w:rPr>
        <w:footnoteRef/>
      </w:r>
      <w:r>
        <w:t xml:space="preserve"> TRS providers seeking compensation from the TRS Fund must provide the administrator with true and adequate data, and other historical, projected and state rate related information reasonably requested to determ</w:t>
      </w:r>
      <w:r>
        <w:t xml:space="preserve">ine the TRS Fund revenue requirements and payments.  </w:t>
      </w:r>
      <w:r>
        <w:rPr>
          <w:i/>
          <w:iCs/>
        </w:rPr>
        <w:t xml:space="preserve">See </w:t>
      </w:r>
      <w:r>
        <w:t>47 CFR § 64.604(c)(5)(iii)(D)(</w:t>
      </w:r>
      <w:r>
        <w:rPr>
          <w:i/>
          <w:iCs/>
        </w:rPr>
        <w:t>1</w:t>
      </w:r>
      <w:r>
        <w:t>).  The administrator requires TRS providers to file this information annually in February, so that the administrator may prepare and file its annual report on TRS paym</w:t>
      </w:r>
      <w:r>
        <w:t xml:space="preserve">ent formulas and revenue requirements with the Commission by May 1 of each year.  </w:t>
      </w:r>
      <w:r w:rsidRPr="00566C76">
        <w:rPr>
          <w:i/>
          <w:iCs/>
        </w:rPr>
        <w:t>Id</w:t>
      </w:r>
      <w:r>
        <w:t>. § 64.604(c)(5)(iii)(H).</w:t>
      </w:r>
    </w:p>
  </w:footnote>
  <w:footnote w:id="18">
    <w:p w:rsidR="00E54693" w:rsidP="00E54693" w14:paraId="50E0E673" w14:textId="77777777">
      <w:pPr>
        <w:pStyle w:val="FootnoteText"/>
      </w:pPr>
      <w:r>
        <w:rPr>
          <w:rStyle w:val="FootnoteReference"/>
        </w:rPr>
        <w:footnoteRef/>
      </w:r>
      <w:r>
        <w:t xml:space="preserve"> 2020 Annual TRS Report at 7-8.</w:t>
      </w:r>
    </w:p>
  </w:footnote>
  <w:footnote w:id="19">
    <w:p w:rsidR="00E54693" w:rsidP="00E54693" w14:paraId="5EF5A869" w14:textId="77777777">
      <w:pPr>
        <w:pStyle w:val="FootnoteText"/>
      </w:pPr>
      <w:r>
        <w:rPr>
          <w:rStyle w:val="FootnoteReference"/>
        </w:rPr>
        <w:footnoteRef/>
      </w:r>
      <w:r>
        <w:t xml:space="preserve"> </w:t>
      </w:r>
      <w:r w:rsidRPr="00566C76">
        <w:rPr>
          <w:i/>
          <w:iCs/>
        </w:rPr>
        <w:t>Id</w:t>
      </w:r>
      <w:r>
        <w:t xml:space="preserve">. at 7-8; </w:t>
      </w:r>
      <w:r>
        <w:rPr>
          <w:i/>
          <w:iCs/>
        </w:rPr>
        <w:t>see also</w:t>
      </w:r>
      <w:r>
        <w:t xml:space="preserve"> 47 CFR § 64.604(c)(5)(iii)(D)(</w:t>
      </w:r>
      <w:r>
        <w:rPr>
          <w:i/>
          <w:iCs/>
        </w:rPr>
        <w:t>1</w:t>
      </w:r>
      <w:r>
        <w:t>) (requiring TRS providers to submit to the TRS Fund admini</w:t>
      </w:r>
      <w:r>
        <w:t>strator “other historical or projected information reasonably requested by the administrator for purposes of computing payments and revenue requirements”).</w:t>
      </w:r>
    </w:p>
  </w:footnote>
  <w:footnote w:id="20">
    <w:p w:rsidR="00E54693" w:rsidRPr="00CE05B1" w:rsidP="00E54693" w14:paraId="114AADCC" w14:textId="77777777">
      <w:pPr>
        <w:pStyle w:val="FootnoteText"/>
      </w:pPr>
      <w:r>
        <w:rPr>
          <w:rStyle w:val="FootnoteReference"/>
        </w:rPr>
        <w:footnoteRef/>
      </w:r>
      <w:r>
        <w:t xml:space="preserve"> </w:t>
      </w:r>
      <w:r>
        <w:rPr>
          <w:i/>
          <w:iCs/>
        </w:rPr>
        <w:t>See</w:t>
      </w:r>
      <w:r>
        <w:t xml:space="preserve"> </w:t>
      </w:r>
      <w:r w:rsidRPr="005736E3">
        <w:t xml:space="preserve">Hamilton May 7 </w:t>
      </w:r>
      <w:r w:rsidRPr="005736E3">
        <w:rPr>
          <w:i/>
          <w:iCs/>
        </w:rPr>
        <w:t>Ex Parte</w:t>
      </w:r>
      <w:r w:rsidRPr="005736E3">
        <w:t xml:space="preserve"> at</w:t>
      </w:r>
      <w:r>
        <w:t xml:space="preserve"> 2.</w:t>
      </w:r>
    </w:p>
  </w:footnote>
  <w:footnote w:id="21">
    <w:p w:rsidR="00E54693" w:rsidP="00E54693" w14:paraId="78FA22EE" w14:textId="0B3D46FC">
      <w:pPr>
        <w:pStyle w:val="FootnoteText"/>
      </w:pPr>
      <w:r>
        <w:rPr>
          <w:rStyle w:val="FootnoteReference"/>
        </w:rPr>
        <w:footnoteRef/>
      </w:r>
      <w:r>
        <w:t xml:space="preserve"> Although the </w:t>
      </w:r>
      <w:r w:rsidRPr="002247B2">
        <w:rPr>
          <w:i/>
          <w:iCs/>
        </w:rPr>
        <w:t>2018 IP CTS FNPRM</w:t>
      </w:r>
      <w:r>
        <w:t xml:space="preserve"> sought comment on a number of possible rate methodologies, they have in common the “</w:t>
      </w:r>
      <w:r w:rsidRPr="002247B2">
        <w:t>goal to ensure that IP CTS rates align with costs</w:t>
      </w:r>
      <w:r>
        <w:t xml:space="preserve">.” </w:t>
      </w:r>
      <w:r w:rsidRPr="002247B2">
        <w:rPr>
          <w:i/>
          <w:iCs/>
        </w:rPr>
        <w:t>2018 IP CTS FNPRM</w:t>
      </w:r>
      <w:r>
        <w:t>, 33 FCC Rcd at 5842, para. 85</w:t>
      </w:r>
      <w:r w:rsidRPr="001905D9">
        <w:t>;</w:t>
      </w:r>
      <w:r>
        <w:rPr>
          <w:i/>
          <w:iCs/>
        </w:rPr>
        <w:t xml:space="preserve"> see also id.</w:t>
      </w:r>
      <w:r>
        <w:t xml:space="preserve"> at 5845, para. 95 (seeking comment on alternative approac</w:t>
      </w:r>
      <w:r>
        <w:t xml:space="preserve">hes “that can successfully align the rates for this service with actual provider costs and enable the Commission to provide IP CTS in the most efficient manner”).   </w:t>
      </w:r>
    </w:p>
  </w:footnote>
  <w:footnote w:id="22">
    <w:p w:rsidR="00E54693" w:rsidRPr="00BB0CF7" w:rsidP="00E54693" w14:paraId="2F1AEAAA" w14:textId="77777777">
      <w:pPr>
        <w:pStyle w:val="FootnoteText"/>
      </w:pPr>
      <w:r>
        <w:rPr>
          <w:rStyle w:val="FootnoteReference"/>
        </w:rPr>
        <w:footnoteRef/>
      </w:r>
      <w:r>
        <w:t xml:space="preserve"> </w:t>
      </w:r>
      <w:r>
        <w:rPr>
          <w:rFonts w:ascii="TimesNewRoman" w:hAnsi="TimesNewRoman" w:cs="TimesNewRoman"/>
        </w:rPr>
        <w:t>Without compensation rates in place, IP CTS providers would be unable to receive compensation payments, resulting in potential disruption of service to consumers with disabilities who have come to rely on IP CTS as their primary means of making telephone c</w:t>
      </w:r>
      <w:r>
        <w:rPr>
          <w:rFonts w:ascii="TimesNewRoman" w:hAnsi="TimesNewRoman" w:cs="TimesNewRoman"/>
        </w:rPr>
        <w:t xml:space="preserve">alls.  </w:t>
      </w:r>
      <w:r w:rsidRPr="00BB0CF7">
        <w:rPr>
          <w:rFonts w:ascii="TimesNewRoman" w:hAnsi="TimesNewRoman" w:cs="TimesNewRoman"/>
          <w:i/>
          <w:iCs/>
        </w:rPr>
        <w:t>See</w:t>
      </w:r>
      <w:r>
        <w:rPr>
          <w:rFonts w:ascii="TimesNewRoman" w:hAnsi="TimesNewRoman" w:cs="TimesNewRoman"/>
        </w:rPr>
        <w:t xml:space="preserve"> </w:t>
      </w:r>
      <w:r w:rsidRPr="00BB0CF7">
        <w:rPr>
          <w:rFonts w:ascii="TimesNewRoman" w:hAnsi="TimesNewRoman" w:cs="TimesNewRoman"/>
          <w:i/>
          <w:iCs/>
        </w:rPr>
        <w:t>2017 TRS Rate Order</w:t>
      </w:r>
      <w:r>
        <w:rPr>
          <w:rFonts w:ascii="TimesNewRoman" w:hAnsi="TimesNewRoman" w:cs="TimesNewRoman"/>
        </w:rPr>
        <w:t xml:space="preserve">, </w:t>
      </w:r>
      <w:r w:rsidRPr="00BB0CF7">
        <w:rPr>
          <w:rFonts w:ascii="TimesNewRoman" w:hAnsi="TimesNewRoman" w:cs="TimesNewRoman"/>
        </w:rPr>
        <w:t xml:space="preserve">32 FCC Rcd </w:t>
      </w:r>
      <w:r>
        <w:rPr>
          <w:rFonts w:ascii="TimesNewRoman" w:hAnsi="TimesNewRoman" w:cs="TimesNewRoman"/>
        </w:rPr>
        <w:t>at</w:t>
      </w:r>
      <w:r w:rsidRPr="00BB0CF7">
        <w:rPr>
          <w:rFonts w:ascii="TimesNewRoman" w:hAnsi="TimesNewRoman" w:cs="TimesNewRoman"/>
        </w:rPr>
        <w:t xml:space="preserve"> 5147, para. 15</w:t>
      </w:r>
      <w:r>
        <w:rPr>
          <w:rFonts w:ascii="TimesNewRoman" w:hAnsi="TimesNewRoman" w:cs="TimesNewRoman"/>
        </w:rPr>
        <w:t>.</w:t>
      </w:r>
    </w:p>
  </w:footnote>
  <w:footnote w:id="23">
    <w:p w:rsidR="00E54693" w:rsidRPr="006A0CFA" w:rsidP="00E54693" w14:paraId="36A94C4E" w14:textId="77777777">
      <w:pPr>
        <w:pStyle w:val="FootnoteText"/>
        <w:rPr>
          <w:iCs/>
        </w:rPr>
      </w:pPr>
      <w:r>
        <w:rPr>
          <w:rStyle w:val="FootnoteReference"/>
        </w:rPr>
        <w:footnoteRef/>
      </w:r>
      <w:r>
        <w:t xml:space="preserve"> </w:t>
      </w:r>
      <w:r>
        <w:rPr>
          <w:i/>
          <w:iCs/>
        </w:rPr>
        <w:t xml:space="preserve">See </w:t>
      </w:r>
      <w:r w:rsidRPr="009D7221">
        <w:rPr>
          <w:i/>
        </w:rPr>
        <w:t>2018 IP CTS FNPRM</w:t>
      </w:r>
      <w:r>
        <w:rPr>
          <w:iCs/>
        </w:rPr>
        <w:t>, 33 FCC Rcd at 5813-14, para. 23 &amp; n.81.</w:t>
      </w:r>
    </w:p>
  </w:footnote>
  <w:footnote w:id="24">
    <w:p w:rsidR="00E54693" w:rsidRPr="003A656B" w:rsidP="00E54693" w14:paraId="17E1304B" w14:textId="48D8DC1B">
      <w:pPr>
        <w:pStyle w:val="FootnoteText"/>
      </w:pPr>
      <w:r>
        <w:rPr>
          <w:rStyle w:val="FootnoteReference"/>
        </w:rPr>
        <w:footnoteRef/>
      </w:r>
      <w:r>
        <w:t xml:space="preserve"> </w:t>
      </w:r>
      <w:r>
        <w:rPr>
          <w:i/>
          <w:iCs/>
        </w:rPr>
        <w:t xml:space="preserve">See </w:t>
      </w:r>
      <w:r w:rsidRPr="005736E3">
        <w:t xml:space="preserve">Sprint April 15 </w:t>
      </w:r>
      <w:r w:rsidRPr="005736E3">
        <w:rPr>
          <w:i/>
          <w:iCs/>
        </w:rPr>
        <w:t>Ex Parte</w:t>
      </w:r>
      <w:r w:rsidRPr="005736E3">
        <w:t xml:space="preserve"> at</w:t>
      </w:r>
      <w:r>
        <w:t xml:space="preserve"> 3 (requesting postponement of any new compensation methodology until the 2021-22 Fund Year); Ha</w:t>
      </w:r>
      <w:r>
        <w:t xml:space="preserve">milton May 7 </w:t>
      </w:r>
      <w:r>
        <w:rPr>
          <w:i/>
          <w:iCs/>
        </w:rPr>
        <w:t>Ex Parte</w:t>
      </w:r>
      <w:r>
        <w:t xml:space="preserve"> at 2 (suggesting a rate freeze until at least December </w:t>
      </w:r>
      <w:r w:rsidR="003E631B">
        <w:t>3</w:t>
      </w:r>
      <w:r>
        <w:t>1, 2020, if not through June 30, 2021).</w:t>
      </w:r>
    </w:p>
  </w:footnote>
  <w:footnote w:id="25">
    <w:p w:rsidR="00E54693" w:rsidRPr="00E823F3" w:rsidP="00E54693" w14:paraId="35066C90" w14:textId="06D08356">
      <w:pPr>
        <w:pStyle w:val="FootnoteText"/>
      </w:pPr>
      <w:r>
        <w:rPr>
          <w:rStyle w:val="FootnoteReference"/>
        </w:rPr>
        <w:footnoteRef/>
      </w:r>
      <w:r>
        <w:t xml:space="preserve"> We exclude from this request the recently certified IP CTS provider MachineGenius, Inc., as it was only recently certified to receive co</w:t>
      </w:r>
      <w:r>
        <w:t xml:space="preserve">mpensation from the TRS Fund for providing IP CTS and would not yet have relevant data to submit.  </w:t>
      </w:r>
      <w:r>
        <w:rPr>
          <w:i/>
          <w:iCs/>
        </w:rPr>
        <w:t>See Telecommunications Relay Services and Speech-to-Speech Services for Individuals with Hearing and Speech Disabilities</w:t>
      </w:r>
      <w:r>
        <w:t>, CG Docket No. 03-123, Memorandum Op</w:t>
      </w:r>
      <w:r>
        <w:t>inion and Order, DA 20-485 (CGB May 5, 2020).</w:t>
      </w:r>
    </w:p>
  </w:footnote>
  <w:footnote w:id="26">
    <w:p w:rsidR="00E54693" w:rsidP="00E54693" w14:paraId="527F9672" w14:textId="77777777">
      <w:pPr>
        <w:pStyle w:val="FootnoteText"/>
      </w:pPr>
      <w:r>
        <w:rPr>
          <w:rStyle w:val="FootnoteReference"/>
        </w:rPr>
        <w:footnoteRef/>
      </w:r>
      <w:r>
        <w:t xml:space="preserve"> </w:t>
      </w:r>
      <w:r w:rsidRPr="00040A71">
        <w:rPr>
          <w:i/>
          <w:iCs/>
        </w:rPr>
        <w:t>See</w:t>
      </w:r>
      <w:r>
        <w:t xml:space="preserve"> 47 CFR § 64.604(c)(5)(iii)(D)(</w:t>
      </w:r>
      <w:r w:rsidRPr="00040A71">
        <w:rPr>
          <w:i/>
          <w:iCs/>
        </w:rPr>
        <w:t>1</w:t>
      </w:r>
      <w:r>
        <w:t>) (</w:t>
      </w:r>
      <w:r w:rsidRPr="00040A71">
        <w:t>TRS providers shall provide the administrator with historical</w:t>
      </w:r>
      <w:r>
        <w:t xml:space="preserve"> and </w:t>
      </w:r>
      <w:r w:rsidRPr="00040A71">
        <w:t>projected information reasonably requested to determine the TRS Fund revenue requirements and payments</w:t>
      </w:r>
      <w:r>
        <w:t>);</w:t>
      </w:r>
      <w:r>
        <w:t xml:space="preserve"> </w:t>
      </w:r>
      <w:bookmarkStart w:id="2" w:name="_Hlk41056958"/>
      <w:r w:rsidRPr="00F55DFB">
        <w:rPr>
          <w:i/>
          <w:iCs/>
        </w:rPr>
        <w:t>id</w:t>
      </w:r>
      <w:r>
        <w:t>. § 64.604(c)(5)(iii)</w:t>
      </w:r>
      <w:bookmarkEnd w:id="2"/>
      <w:r>
        <w:t>(D)(</w:t>
      </w:r>
      <w:r w:rsidRPr="00D117E9">
        <w:rPr>
          <w:i/>
          <w:iCs/>
        </w:rPr>
        <w:t>6</w:t>
      </w:r>
      <w:r>
        <w:t xml:space="preserve">) (authorizing the administrator </w:t>
      </w:r>
      <w:r w:rsidRPr="00BF0F4C">
        <w:t>to examine and verify TRS provider data as necessary to assure the accuracy and integrity of TRS Fund payments</w:t>
      </w:r>
      <w:r>
        <w:t>; subjecting TRS providers to automatic suspension of payment for failing to provide</w:t>
      </w:r>
      <w:r>
        <w:t xml:space="preserve"> documentation necessary for verification upon reasonable request; and requiring IP CTS providers, in the course of an audit or otherwise upon demand, to make available to the administrator any relevant documentation related to the provision of IP CTS); </w:t>
      </w:r>
      <w:r w:rsidRPr="00F55DFB">
        <w:rPr>
          <w:i/>
          <w:iCs/>
        </w:rPr>
        <w:t>id</w:t>
      </w:r>
      <w:r>
        <w:t>. § 64.604(c)(5)(iii)(E)(</w:t>
      </w:r>
      <w:r w:rsidRPr="00F55DFB">
        <w:rPr>
          <w:i/>
          <w:iCs/>
        </w:rPr>
        <w:t>4</w:t>
      </w:r>
      <w:r>
        <w:t xml:space="preserve">) (requiring the administrator, for TRS provider payment purposes, to fashion a form, and for TRS providers to submit such form that is consistent with 47 CFR parts 32 and 36 procedures); </w:t>
      </w:r>
      <w:r w:rsidRPr="009D7221">
        <w:rPr>
          <w:i/>
        </w:rPr>
        <w:t>2018 IP CTS FNPRM</w:t>
      </w:r>
      <w:r>
        <w:rPr>
          <w:iCs/>
        </w:rPr>
        <w:t xml:space="preserve">, 33 FCC Rcd at 5822-23, </w:t>
      </w:r>
      <w:r>
        <w:rPr>
          <w:iCs/>
        </w:rPr>
        <w:t xml:space="preserve">paras. 36-37 (in the accompanying Report and Order, explicitly </w:t>
      </w:r>
      <w:r>
        <w:t>requiring IP CTS providers to file annual cost and demand data reports with the TRS Fund administrator, as reasonably requested by the administrator).</w:t>
      </w:r>
    </w:p>
  </w:footnote>
  <w:footnote w:id="27">
    <w:p w:rsidR="00E54693" w:rsidP="00E54693" w14:paraId="03BB6DDB" w14:textId="77777777">
      <w:pPr>
        <w:pStyle w:val="FootnoteText"/>
      </w:pPr>
      <w:r>
        <w:rPr>
          <w:rStyle w:val="FootnoteReference"/>
        </w:rPr>
        <w:footnoteRef/>
      </w:r>
      <w:r>
        <w:t xml:space="preserve"> </w:t>
      </w:r>
      <w:r w:rsidRPr="00BB0CF7">
        <w:rPr>
          <w:i/>
          <w:iCs/>
        </w:rPr>
        <w:t>See</w:t>
      </w:r>
      <w:r w:rsidRPr="00BB0CF7">
        <w:t xml:space="preserve"> </w:t>
      </w:r>
      <w:r w:rsidRPr="00BB0CF7">
        <w:rPr>
          <w:i/>
          <w:iCs/>
        </w:rPr>
        <w:t>2017 TRS Rate Order</w:t>
      </w:r>
      <w:r w:rsidRPr="00BB0CF7">
        <w:t>, 32 FCC Rcd at 5</w:t>
      </w:r>
      <w:r w:rsidRPr="00BB0CF7">
        <w:t>147, para. 15.</w:t>
      </w:r>
    </w:p>
  </w:footnote>
  <w:footnote w:id="28">
    <w:p w:rsidR="00E54693" w:rsidP="00E54693" w14:paraId="48722740" w14:textId="26909622">
      <w:pPr>
        <w:pStyle w:val="FootnoteText"/>
      </w:pPr>
      <w:r>
        <w:rPr>
          <w:rStyle w:val="FootnoteReference"/>
        </w:rPr>
        <w:footnoteRef/>
      </w:r>
      <w:r>
        <w:t xml:space="preserve">  This order does not apply to any other TRS compensation rate</w:t>
      </w:r>
      <w:r w:rsidR="008C5A5B">
        <w:t>s</w:t>
      </w:r>
      <w:r>
        <w:t xml:space="preserve">.  We note that the compensation rates for VRS for the 2020-21 TRS Fund year were previously set by the Commission.  </w:t>
      </w:r>
      <w:r>
        <w:rPr>
          <w:i/>
          <w:iCs/>
        </w:rPr>
        <w:t xml:space="preserve">See </w:t>
      </w:r>
      <w:r>
        <w:rPr>
          <w:rStyle w:val="item-value"/>
          <w:i/>
          <w:iCs/>
        </w:rPr>
        <w:t>Rolka Loube Associates Submits Payment Formulas and Fund</w:t>
      </w:r>
      <w:r>
        <w:rPr>
          <w:rStyle w:val="item-value"/>
          <w:i/>
          <w:iCs/>
        </w:rPr>
        <w:t>ing Requirement for the Interstate Telecommunications Relay Service Fund for the 2020-2021 Fund Year</w:t>
      </w:r>
      <w:r w:rsidRPr="00902E7B">
        <w:rPr>
          <w:rStyle w:val="item-value"/>
        </w:rPr>
        <w:t>;</w:t>
      </w:r>
      <w:r>
        <w:rPr>
          <w:rStyle w:val="item-value"/>
          <w:i/>
          <w:iCs/>
        </w:rPr>
        <w:t xml:space="preserve"> Consumer and Governmental Affairs Burau Seeks Comment on Sprint’s Request for Interim IP Relay Waivers and Rate Relief</w:t>
      </w:r>
      <w:r>
        <w:rPr>
          <w:rStyle w:val="item-value"/>
        </w:rPr>
        <w:t>, CG Docket Nos. 03-123 and 10-51, R</w:t>
      </w:r>
      <w:r>
        <w:rPr>
          <w:rStyle w:val="item-value"/>
        </w:rPr>
        <w:t>M-11820, Public Notice, DA 20-522</w:t>
      </w:r>
      <w:r w:rsidR="000F57F7">
        <w:rPr>
          <w:rStyle w:val="item-value"/>
        </w:rPr>
        <w:t>, at 3</w:t>
      </w:r>
      <w:r>
        <w:rPr>
          <w:rStyle w:val="item-value"/>
        </w:rPr>
        <w:t xml:space="preserve"> (CGB May 15, </w:t>
      </w:r>
      <w:r w:rsidRPr="000C22D8">
        <w:rPr>
          <w:rStyle w:val="item-value"/>
        </w:rPr>
        <w:t>2020</w:t>
      </w:r>
      <w:r>
        <w:rPr>
          <w:rStyle w:val="item-value"/>
        </w:rPr>
        <w:t>) (2020 TRS Rates PN)</w:t>
      </w:r>
      <w:r w:rsidR="000F57F7">
        <w:rPr>
          <w:rStyle w:val="item-value"/>
        </w:rPr>
        <w:t xml:space="preserve">; </w:t>
      </w:r>
      <w:r w:rsidR="000F57F7">
        <w:t>2020 Annual TRS Report at 19-20</w:t>
      </w:r>
      <w:r>
        <w:rPr>
          <w:rStyle w:val="item-value"/>
        </w:rPr>
        <w:t xml:space="preserve">. </w:t>
      </w:r>
      <w:r>
        <w:t>The rates for traditional (TTY-based) TRS, Captioned Telephone Service, and Speech-to-Speech Relay are determined by applying the Multi-State A</w:t>
      </w:r>
      <w:r>
        <w:t xml:space="preserve">verage Rate Structure methodology, which does not require calculation of costs or demand.  </w:t>
      </w:r>
      <w:r>
        <w:rPr>
          <w:i/>
          <w:iCs/>
        </w:rPr>
        <w:t xml:space="preserve">See </w:t>
      </w:r>
      <w:r w:rsidR="000F57F7">
        <w:rPr>
          <w:rStyle w:val="item-value"/>
        </w:rPr>
        <w:t>2020 TRS Rates PN at 1-2</w:t>
      </w:r>
      <w:r>
        <w:rPr>
          <w:i/>
          <w:iCs/>
        </w:rPr>
        <w:t>.</w:t>
      </w:r>
      <w:r w:rsidRPr="002C3CDD">
        <w:t>;</w:t>
      </w:r>
      <w:r>
        <w:rPr>
          <w:i/>
          <w:iCs/>
        </w:rPr>
        <w:t xml:space="preserve"> </w:t>
      </w:r>
      <w:r>
        <w:t xml:space="preserve">2020 Annual TRS Report at 13-14; </w:t>
      </w:r>
      <w:r w:rsidRPr="002C3CDD">
        <w:rPr>
          <w:i/>
          <w:iCs/>
        </w:rPr>
        <w:t>see also</w:t>
      </w:r>
      <w:r>
        <w:t xml:space="preserve"> </w:t>
      </w:r>
      <w:r>
        <w:rPr>
          <w:i/>
          <w:iCs/>
        </w:rPr>
        <w:t>Telecommunications Relay Services and Speech-to-Speech Services for Individuals with Hearing</w:t>
      </w:r>
      <w:r>
        <w:rPr>
          <w:i/>
          <w:iCs/>
        </w:rPr>
        <w:t xml:space="preserve"> and Speech Disabilities</w:t>
      </w:r>
      <w:r>
        <w:t>, Report and Order and Declaratory Ruling, 22 FCC Rcd 20140, 2015</w:t>
      </w:r>
      <w:r w:rsidR="00C83FD3">
        <w:t>0</w:t>
      </w:r>
      <w:r>
        <w:t>-</w:t>
      </w:r>
      <w:r w:rsidR="00C83FD3">
        <w:t>58</w:t>
      </w:r>
      <w:r>
        <w:t xml:space="preserve">, paras. 16-38 (2007).  For IP Relay, the 2020-21 Fund year is the second year of a three-year price-cap cycle.  </w:t>
      </w:r>
      <w:r>
        <w:rPr>
          <w:rStyle w:val="item-value"/>
        </w:rPr>
        <w:t>2020 TRS Rates PN</w:t>
      </w:r>
      <w:r>
        <w:t xml:space="preserve"> at 2</w:t>
      </w:r>
      <w:r w:rsidR="000F57F7">
        <w:t>; 2020 Annual TRS Report at 17-18</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25FB5" w:rsidP="00810B6F" w14:paraId="569848AE" w14:textId="4D72E5DF">
    <w:pPr>
      <w:pStyle w:val="Header"/>
      <w:rPr>
        <w:b w:val="0"/>
      </w:rPr>
    </w:pPr>
    <w:r>
      <w:tab/>
      <w:t>Federal Communications Commission</w:t>
    </w:r>
    <w:r>
      <w:tab/>
    </w:r>
    <w:r w:rsidR="00E54693">
      <w:t>DA 20-</w:t>
    </w:r>
    <w:r w:rsidR="000F1AB4">
      <w:t>570</w:t>
    </w:r>
  </w:p>
  <w:p w:rsidR="00D25FB5" w14:paraId="2B292F47" w14:textId="77777777">
    <w:pPr>
      <w:tabs>
        <w:tab w:val="left" w:pos="-720"/>
      </w:tabs>
      <w:suppressAutoHyphens/>
      <w:spacing w:line="19" w:lineRule="exact"/>
      <w:rPr>
        <w:spacing w:val="-2"/>
      </w:rPr>
    </w:pPr>
    <w:r>
      <w:rPr>
        <w:noProof/>
      </w:rPr>
      <w:pict>
        <v:rect id="Rectangle 1" o:spid="_x0000_s2049" style="width:468pt;height:0.95pt;margin-top:0;margin-left:0;mso-position-horizontal-relative:margin;position:absolute;visibility:visible;z-index:-251658240" o:allowincell="f" fillcolor="black" stroked="f" strokeweight="0.05pt">
          <w10:wrap anchorx="margin"/>
        </v:rect>
      </w:pict>
    </w:r>
  </w:p>
  <w:p w:rsidR="00D25FB5" w14:paraId="66077821" w14:textId="77777777">
    <w:pPr>
      <w:spacing w:after="389" w:line="100" w:lineRule="exact"/>
      <w:rPr>
        <w:sz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25FB5" w:rsidP="00810B6F" w14:paraId="427DE26B" w14:textId="43EFA200">
    <w:pPr>
      <w:pStyle w:val="Header"/>
      <w:rPr>
        <w:b w:val="0"/>
      </w:rPr>
    </w:pPr>
    <w:r>
      <w:rPr>
        <w:noProof/>
      </w:rPr>
      <w:pict>
        <v:rect id="Rectangle 3" o:spid="_x0000_s2050" style="width:468pt;height:0.95pt;margin-top:12.65pt;margin-left:0.6pt;mso-position-horizontal-relative:margin;position:absolute;visibility:visible;z-index:-251657216" o:allowincell="f" fillcolor="black" stroked="f" strokeweight="0.05pt">
          <w10:wrap anchorx="margin"/>
        </v:rect>
      </w:pict>
    </w:r>
    <w:r>
      <w:tab/>
      <w:t>Federal Communications Commission</w:t>
    </w:r>
    <w:r>
      <w:tab/>
    </w:r>
    <w:r w:rsidR="00E54693">
      <w:rPr>
        <w:spacing w:val="-2"/>
      </w:rPr>
      <w:t>DA 20-</w:t>
    </w:r>
    <w:r w:rsidR="000F1AB4">
      <w:rPr>
        <w:spacing w:val="-2"/>
      </w:rPr>
      <w:t>570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84B453C"/>
    <w:multiLevelType w:val="singleLevel"/>
    <w:tmpl w:val="40A8E97A"/>
    <w:lvl w:ilvl="0">
      <w:start w:val="1"/>
      <w:numFmt w:val="decimal"/>
      <w:lvlText w:val="%1."/>
      <w:lvlJc w:val="left"/>
      <w:pPr>
        <w:tabs>
          <w:tab w:val="num" w:pos="1080"/>
        </w:tabs>
        <w:ind w:left="0" w:firstLine="720"/>
      </w:pPr>
    </w:lvl>
  </w:abstractNum>
  <w:abstractNum w:abstractNumId="1">
    <w:nsid w:val="23F40A0F"/>
    <w:multiLevelType w:val="singleLevel"/>
    <w:tmpl w:val="3244DD0A"/>
    <w:lvl w:ilvl="0">
      <w:start w:val="1"/>
      <w:numFmt w:val="bullet"/>
      <w:lvlText w:val=""/>
      <w:lvlJc w:val="left"/>
      <w:pPr>
        <w:tabs>
          <w:tab w:val="num" w:pos="360"/>
        </w:tabs>
        <w:ind w:left="360" w:hanging="360"/>
      </w:pPr>
      <w:rPr>
        <w:rFonts w:ascii="Symbol" w:hAnsi="Symbol" w:hint="default"/>
      </w:rPr>
    </w:lvl>
  </w:abstractNum>
  <w:abstractNum w:abstractNumId="2">
    <w:nsid w:val="248246F3"/>
    <w:multiLevelType w:val="singleLevel"/>
    <w:tmpl w:val="B1F45678"/>
    <w:lvl w:ilvl="0">
      <w:start w:val="1"/>
      <w:numFmt w:val="decimal"/>
      <w:lvlText w:val="%1."/>
      <w:lvlJc w:val="left"/>
      <w:pPr>
        <w:tabs>
          <w:tab w:val="num" w:pos="1080"/>
        </w:tabs>
        <w:ind w:left="0" w:firstLine="720"/>
      </w:pPr>
    </w:lvl>
  </w:abstractNum>
  <w:abstractNum w:abstractNumId="3">
    <w:nsid w:val="27E06CBB"/>
    <w:multiLevelType w:val="multilevel"/>
    <w:tmpl w:val="F1A86982"/>
    <w:lvl w:ilvl="0">
      <w:start w:val="1"/>
      <w:numFmt w:val="upperRoman"/>
      <w:pStyle w:val="Heading1"/>
      <w:lvlText w:val="%1."/>
      <w:lvlJc w:val="left"/>
      <w:pPr>
        <w:tabs>
          <w:tab w:val="num" w:pos="720"/>
        </w:tabs>
        <w:ind w:left="720" w:hanging="720"/>
      </w:pPr>
    </w:lvl>
    <w:lvl w:ilvl="1">
      <w:start w:val="1"/>
      <w:numFmt w:val="upperLetter"/>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lowerLetter"/>
      <w:pStyle w:val="Heading4"/>
      <w:lvlText w:val="%4."/>
      <w:lvlJc w:val="left"/>
      <w:pPr>
        <w:tabs>
          <w:tab w:val="num" w:pos="2880"/>
        </w:tabs>
        <w:ind w:left="2880" w:hanging="720"/>
      </w:pPr>
    </w:lvl>
    <w:lvl w:ilvl="4">
      <w:start w:val="1"/>
      <w:numFmt w:val="lowerRoman"/>
      <w:pStyle w:val="Heading5"/>
      <w:lvlText w:val="(%5)"/>
      <w:lvlJc w:val="left"/>
      <w:pPr>
        <w:tabs>
          <w:tab w:val="num" w:pos="3600"/>
        </w:tabs>
        <w:ind w:left="3600" w:hanging="720"/>
      </w:pPr>
    </w:lvl>
    <w:lvl w:ilvl="5">
      <w:start w:val="1"/>
      <w:numFmt w:val="lowerLetter"/>
      <w:pStyle w:val="Heading6"/>
      <w:lvlText w:val="(%6)"/>
      <w:lvlJc w:val="left"/>
      <w:pPr>
        <w:tabs>
          <w:tab w:val="num" w:pos="4320"/>
        </w:tabs>
        <w:ind w:left="4320" w:hanging="720"/>
      </w:pPr>
    </w:lvl>
    <w:lvl w:ilvl="6">
      <w:start w:val="1"/>
      <w:numFmt w:val="lowerRoman"/>
      <w:pStyle w:val="Heading7"/>
      <w:lvlText w:val="(%7)"/>
      <w:lvlJc w:val="left"/>
      <w:pPr>
        <w:tabs>
          <w:tab w:val="num" w:pos="504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4">
    <w:nsid w:val="4DF61CE4"/>
    <w:multiLevelType w:val="multilevel"/>
    <w:tmpl w:val="F1A86982"/>
    <w:lvl w:ilvl="0">
      <w:start w:val="1"/>
      <w:numFmt w:val="upperRoman"/>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lowerLetter"/>
      <w:lvlText w:val="(%6)"/>
      <w:lvlJc w:val="left"/>
      <w:pPr>
        <w:tabs>
          <w:tab w:val="num" w:pos="4320"/>
        </w:tabs>
        <w:ind w:left="4320" w:hanging="72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5">
    <w:nsid w:val="61182925"/>
    <w:multiLevelType w:val="singleLevel"/>
    <w:tmpl w:val="A9EE9842"/>
    <w:lvl w:ilvl="0">
      <w:start w:val="1"/>
      <w:numFmt w:val="decimal"/>
      <w:pStyle w:val="ParaNum"/>
      <w:lvlText w:val="%1."/>
      <w:lvlJc w:val="left"/>
      <w:pPr>
        <w:tabs>
          <w:tab w:val="num" w:pos="1080"/>
        </w:tabs>
        <w:ind w:left="0" w:firstLine="720"/>
      </w:pPr>
    </w:lvl>
  </w:abstractNum>
  <w:num w:numId="1">
    <w:abstractNumId w:val="1"/>
  </w:num>
  <w:num w:numId="2">
    <w:abstractNumId w:val="5"/>
  </w:num>
  <w:num w:numId="3">
    <w:abstractNumId w:val="3"/>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attachedTemplate r:id="rId1"/>
  <w:linkStyle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0"/>
    <w:footnote w:id="1"/>
    <w:footnote w:id="2"/>
  </w:footnotePr>
  <w:endnotePr>
    <w:numFmt w:val="decimal"/>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693"/>
    <w:rsid w:val="00036039"/>
    <w:rsid w:val="00037F90"/>
    <w:rsid w:val="00040A71"/>
    <w:rsid w:val="000469AF"/>
    <w:rsid w:val="0004726E"/>
    <w:rsid w:val="00071F30"/>
    <w:rsid w:val="000875BF"/>
    <w:rsid w:val="00096D8C"/>
    <w:rsid w:val="000C0B65"/>
    <w:rsid w:val="000C22D8"/>
    <w:rsid w:val="000C66E3"/>
    <w:rsid w:val="000E05FE"/>
    <w:rsid w:val="000E3D42"/>
    <w:rsid w:val="000F1AB4"/>
    <w:rsid w:val="000F57F7"/>
    <w:rsid w:val="00122BD5"/>
    <w:rsid w:val="00133F79"/>
    <w:rsid w:val="001449A6"/>
    <w:rsid w:val="001905D9"/>
    <w:rsid w:val="00194A66"/>
    <w:rsid w:val="001D6BCF"/>
    <w:rsid w:val="001E01CA"/>
    <w:rsid w:val="002247B2"/>
    <w:rsid w:val="00275CF5"/>
    <w:rsid w:val="0028301F"/>
    <w:rsid w:val="00285017"/>
    <w:rsid w:val="002A2D2E"/>
    <w:rsid w:val="002C00E8"/>
    <w:rsid w:val="002C0FDF"/>
    <w:rsid w:val="002C3CDD"/>
    <w:rsid w:val="002F1571"/>
    <w:rsid w:val="003050A9"/>
    <w:rsid w:val="00310851"/>
    <w:rsid w:val="00343749"/>
    <w:rsid w:val="003660ED"/>
    <w:rsid w:val="003A656B"/>
    <w:rsid w:val="003B0550"/>
    <w:rsid w:val="003B694F"/>
    <w:rsid w:val="003E631B"/>
    <w:rsid w:val="003F171C"/>
    <w:rsid w:val="003F1DEA"/>
    <w:rsid w:val="00412FC5"/>
    <w:rsid w:val="00422276"/>
    <w:rsid w:val="004242F1"/>
    <w:rsid w:val="00440E2F"/>
    <w:rsid w:val="00445A00"/>
    <w:rsid w:val="00451B0F"/>
    <w:rsid w:val="004A365D"/>
    <w:rsid w:val="004C2EE3"/>
    <w:rsid w:val="004E4A22"/>
    <w:rsid w:val="00505283"/>
    <w:rsid w:val="00511968"/>
    <w:rsid w:val="0055614C"/>
    <w:rsid w:val="00566C76"/>
    <w:rsid w:val="00566D06"/>
    <w:rsid w:val="005736E3"/>
    <w:rsid w:val="005E14C2"/>
    <w:rsid w:val="005F3A71"/>
    <w:rsid w:val="00607BA5"/>
    <w:rsid w:val="0061180A"/>
    <w:rsid w:val="00626EB6"/>
    <w:rsid w:val="006439CE"/>
    <w:rsid w:val="00655D03"/>
    <w:rsid w:val="00683388"/>
    <w:rsid w:val="00683F84"/>
    <w:rsid w:val="006A0CFA"/>
    <w:rsid w:val="006A6A81"/>
    <w:rsid w:val="006F7393"/>
    <w:rsid w:val="0070224F"/>
    <w:rsid w:val="007115F7"/>
    <w:rsid w:val="00785689"/>
    <w:rsid w:val="0079754B"/>
    <w:rsid w:val="007A1E6D"/>
    <w:rsid w:val="007B0EB2"/>
    <w:rsid w:val="00810B6F"/>
    <w:rsid w:val="00822CE0"/>
    <w:rsid w:val="00830D71"/>
    <w:rsid w:val="00841AB1"/>
    <w:rsid w:val="008A6851"/>
    <w:rsid w:val="008B2898"/>
    <w:rsid w:val="008C5A5B"/>
    <w:rsid w:val="008C68F1"/>
    <w:rsid w:val="00902E7B"/>
    <w:rsid w:val="00916446"/>
    <w:rsid w:val="00921803"/>
    <w:rsid w:val="00926503"/>
    <w:rsid w:val="00967D1F"/>
    <w:rsid w:val="009726D8"/>
    <w:rsid w:val="0098153A"/>
    <w:rsid w:val="009D7221"/>
    <w:rsid w:val="009D7308"/>
    <w:rsid w:val="009F76DB"/>
    <w:rsid w:val="00A32C3B"/>
    <w:rsid w:val="00A45F4F"/>
    <w:rsid w:val="00A600A9"/>
    <w:rsid w:val="00A76E98"/>
    <w:rsid w:val="00AA55B7"/>
    <w:rsid w:val="00AA5B9E"/>
    <w:rsid w:val="00AB2407"/>
    <w:rsid w:val="00AB53DF"/>
    <w:rsid w:val="00AC6CC7"/>
    <w:rsid w:val="00B07E5C"/>
    <w:rsid w:val="00B811F7"/>
    <w:rsid w:val="00B9350B"/>
    <w:rsid w:val="00BA5DC6"/>
    <w:rsid w:val="00BA6196"/>
    <w:rsid w:val="00BB0CF7"/>
    <w:rsid w:val="00BC6D8C"/>
    <w:rsid w:val="00BF0F4C"/>
    <w:rsid w:val="00C34006"/>
    <w:rsid w:val="00C36B4C"/>
    <w:rsid w:val="00C426B1"/>
    <w:rsid w:val="00C43339"/>
    <w:rsid w:val="00C66160"/>
    <w:rsid w:val="00C721AC"/>
    <w:rsid w:val="00C83FD3"/>
    <w:rsid w:val="00C90D6A"/>
    <w:rsid w:val="00C91114"/>
    <w:rsid w:val="00CA247E"/>
    <w:rsid w:val="00CA6D21"/>
    <w:rsid w:val="00CC72B6"/>
    <w:rsid w:val="00CE05B1"/>
    <w:rsid w:val="00D0218D"/>
    <w:rsid w:val="00D117E9"/>
    <w:rsid w:val="00D25FB5"/>
    <w:rsid w:val="00D44223"/>
    <w:rsid w:val="00D61936"/>
    <w:rsid w:val="00DA2529"/>
    <w:rsid w:val="00DB130A"/>
    <w:rsid w:val="00DB2EBB"/>
    <w:rsid w:val="00DC10A1"/>
    <w:rsid w:val="00DC655F"/>
    <w:rsid w:val="00DD0B59"/>
    <w:rsid w:val="00DD7EBD"/>
    <w:rsid w:val="00DF62B6"/>
    <w:rsid w:val="00E00633"/>
    <w:rsid w:val="00E07225"/>
    <w:rsid w:val="00E13246"/>
    <w:rsid w:val="00E5409F"/>
    <w:rsid w:val="00E54693"/>
    <w:rsid w:val="00E823F3"/>
    <w:rsid w:val="00EE6488"/>
    <w:rsid w:val="00F021FA"/>
    <w:rsid w:val="00F066ED"/>
    <w:rsid w:val="00F55DFB"/>
    <w:rsid w:val="00F62E97"/>
    <w:rsid w:val="00F64209"/>
    <w:rsid w:val="00F93BF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5:chartTrackingRefBased/>
  <w15:docId w15:val="{AAB1FE2B-ABA2-47A4-810F-E65E10DC8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0FDF"/>
    <w:pPr>
      <w:widowControl w:val="0"/>
    </w:pPr>
    <w:rPr>
      <w:snapToGrid w:val="0"/>
      <w:kern w:val="28"/>
      <w:sz w:val="22"/>
    </w:rPr>
  </w:style>
  <w:style w:type="paragraph" w:styleId="Heading1">
    <w:name w:val="heading 1"/>
    <w:basedOn w:val="Normal"/>
    <w:next w:val="ParaNum"/>
    <w:qFormat/>
    <w:rsid w:val="002C0FDF"/>
    <w:pPr>
      <w:keepNext/>
      <w:numPr>
        <w:numId w:val="3"/>
      </w:numPr>
      <w:tabs>
        <w:tab w:val="left" w:pos="720"/>
      </w:tabs>
      <w:suppressAutoHyphens/>
      <w:spacing w:after="120"/>
      <w:outlineLvl w:val="0"/>
    </w:pPr>
    <w:rPr>
      <w:rFonts w:ascii="Times New Roman Bold" w:hAnsi="Times New Roman Bold"/>
      <w:b/>
      <w:caps/>
    </w:rPr>
  </w:style>
  <w:style w:type="paragraph" w:styleId="Heading2">
    <w:name w:val="heading 2"/>
    <w:basedOn w:val="Normal"/>
    <w:next w:val="ParaNum"/>
    <w:autoRedefine/>
    <w:qFormat/>
    <w:rsid w:val="002C0FDF"/>
    <w:pPr>
      <w:keepNext/>
      <w:numPr>
        <w:ilvl w:val="1"/>
        <w:numId w:val="3"/>
      </w:numPr>
      <w:spacing w:after="120"/>
      <w:outlineLvl w:val="1"/>
    </w:pPr>
    <w:rPr>
      <w:b/>
    </w:rPr>
  </w:style>
  <w:style w:type="paragraph" w:styleId="Heading3">
    <w:name w:val="heading 3"/>
    <w:basedOn w:val="Normal"/>
    <w:next w:val="ParaNum"/>
    <w:qFormat/>
    <w:rsid w:val="002C0FDF"/>
    <w:pPr>
      <w:keepNext/>
      <w:numPr>
        <w:ilvl w:val="2"/>
        <w:numId w:val="3"/>
      </w:numPr>
      <w:tabs>
        <w:tab w:val="left" w:pos="2160"/>
      </w:tabs>
      <w:spacing w:after="120"/>
      <w:outlineLvl w:val="2"/>
    </w:pPr>
    <w:rPr>
      <w:b/>
    </w:rPr>
  </w:style>
  <w:style w:type="paragraph" w:styleId="Heading4">
    <w:name w:val="heading 4"/>
    <w:basedOn w:val="Normal"/>
    <w:next w:val="ParaNum"/>
    <w:qFormat/>
    <w:rsid w:val="002C0FDF"/>
    <w:pPr>
      <w:keepNext/>
      <w:numPr>
        <w:ilvl w:val="3"/>
        <w:numId w:val="3"/>
      </w:numPr>
      <w:tabs>
        <w:tab w:val="left" w:pos="2880"/>
      </w:tabs>
      <w:spacing w:after="120"/>
      <w:outlineLvl w:val="3"/>
    </w:pPr>
    <w:rPr>
      <w:b/>
    </w:rPr>
  </w:style>
  <w:style w:type="paragraph" w:styleId="Heading5">
    <w:name w:val="heading 5"/>
    <w:basedOn w:val="Normal"/>
    <w:next w:val="ParaNum"/>
    <w:qFormat/>
    <w:rsid w:val="002C0FDF"/>
    <w:pPr>
      <w:keepNext/>
      <w:numPr>
        <w:ilvl w:val="4"/>
        <w:numId w:val="3"/>
      </w:numPr>
      <w:tabs>
        <w:tab w:val="left" w:pos="3600"/>
      </w:tabs>
      <w:suppressAutoHyphens/>
      <w:spacing w:after="120"/>
      <w:outlineLvl w:val="4"/>
    </w:pPr>
    <w:rPr>
      <w:b/>
    </w:rPr>
  </w:style>
  <w:style w:type="paragraph" w:styleId="Heading6">
    <w:name w:val="heading 6"/>
    <w:basedOn w:val="Normal"/>
    <w:next w:val="ParaNum"/>
    <w:qFormat/>
    <w:rsid w:val="002C0FDF"/>
    <w:pPr>
      <w:numPr>
        <w:ilvl w:val="5"/>
        <w:numId w:val="3"/>
      </w:numPr>
      <w:tabs>
        <w:tab w:val="left" w:pos="4320"/>
      </w:tabs>
      <w:spacing w:after="120"/>
      <w:outlineLvl w:val="5"/>
    </w:pPr>
    <w:rPr>
      <w:b/>
    </w:rPr>
  </w:style>
  <w:style w:type="paragraph" w:styleId="Heading7">
    <w:name w:val="heading 7"/>
    <w:basedOn w:val="Normal"/>
    <w:next w:val="ParaNum"/>
    <w:qFormat/>
    <w:rsid w:val="002C0FDF"/>
    <w:pPr>
      <w:numPr>
        <w:ilvl w:val="6"/>
        <w:numId w:val="3"/>
      </w:numPr>
      <w:tabs>
        <w:tab w:val="left" w:pos="5040"/>
      </w:tabs>
      <w:spacing w:after="120"/>
      <w:ind w:left="5040" w:hanging="720"/>
      <w:outlineLvl w:val="6"/>
    </w:pPr>
    <w:rPr>
      <w:b/>
    </w:rPr>
  </w:style>
  <w:style w:type="paragraph" w:styleId="Heading8">
    <w:name w:val="heading 8"/>
    <w:basedOn w:val="Normal"/>
    <w:next w:val="ParaNum"/>
    <w:qFormat/>
    <w:rsid w:val="002C0FDF"/>
    <w:pPr>
      <w:numPr>
        <w:ilvl w:val="7"/>
        <w:numId w:val="3"/>
      </w:numPr>
      <w:tabs>
        <w:tab w:val="clear" w:pos="5400"/>
        <w:tab w:val="left" w:pos="5760"/>
      </w:tabs>
      <w:spacing w:after="120"/>
      <w:ind w:left="5760" w:hanging="720"/>
      <w:outlineLvl w:val="7"/>
    </w:pPr>
    <w:rPr>
      <w:b/>
    </w:rPr>
  </w:style>
  <w:style w:type="paragraph" w:styleId="Heading9">
    <w:name w:val="heading 9"/>
    <w:basedOn w:val="Normal"/>
    <w:next w:val="ParaNum"/>
    <w:qFormat/>
    <w:rsid w:val="002C0FDF"/>
    <w:pPr>
      <w:numPr>
        <w:ilvl w:val="8"/>
        <w:numId w:val="3"/>
      </w:numPr>
      <w:tabs>
        <w:tab w:val="clear" w:pos="6120"/>
        <w:tab w:val="left" w:pos="6480"/>
      </w:tabs>
      <w:spacing w:after="120"/>
      <w:ind w:left="6480" w:hanging="720"/>
      <w:outlineLvl w:val="8"/>
    </w:pPr>
    <w:rPr>
      <w:b/>
    </w:rPr>
  </w:style>
  <w:style w:type="character" w:default="1" w:styleId="DefaultParagraphFont">
    <w:name w:val="Default Paragraph Font"/>
    <w:uiPriority w:val="1"/>
    <w:semiHidden/>
    <w:unhideWhenUsed/>
    <w:rsid w:val="002C0FD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C0FDF"/>
  </w:style>
  <w:style w:type="paragraph" w:customStyle="1" w:styleId="ParaNum">
    <w:name w:val="ParaNum"/>
    <w:basedOn w:val="Normal"/>
    <w:rsid w:val="002C0FDF"/>
    <w:pPr>
      <w:numPr>
        <w:numId w:val="2"/>
      </w:numPr>
      <w:tabs>
        <w:tab w:val="clear" w:pos="1080"/>
        <w:tab w:val="num" w:pos="1440"/>
      </w:tabs>
      <w:spacing w:after="120"/>
    </w:pPr>
  </w:style>
  <w:style w:type="paragraph" w:styleId="EndnoteText">
    <w:name w:val="endnote text"/>
    <w:basedOn w:val="Normal"/>
    <w:semiHidden/>
    <w:rsid w:val="002C0FDF"/>
    <w:rPr>
      <w:sz w:val="20"/>
    </w:rPr>
  </w:style>
  <w:style w:type="character" w:styleId="EndnoteReference">
    <w:name w:val="endnote reference"/>
    <w:semiHidden/>
    <w:rsid w:val="002C0FDF"/>
    <w:rPr>
      <w:vertAlign w:val="superscript"/>
    </w:rPr>
  </w:style>
  <w:style w:type="paragraph" w:styleId="FootnoteText">
    <w:name w:val="footnote text"/>
    <w:aliases w:val="ALTS FOOTNOTE,Footnote Text Char Char,Footnote Text Char Char Char Char,Footnote Text Char1,Footnote Text Char2 Char Char2 Char2 Char Char,Footnote Text Char4 Char Char1 Char Char,Footnote Text Char5 Char,Footnote Text Char5 Char Char,f,fn"/>
    <w:link w:val="FootnoteTextChar"/>
    <w:rsid w:val="002C0FDF"/>
    <w:pPr>
      <w:spacing w:after="120"/>
    </w:pPr>
  </w:style>
  <w:style w:type="character" w:styleId="FootnoteReference">
    <w:name w:val="footnote reference"/>
    <w:aliases w:val="(NECG) Footnote Reference,-E Funotenzeichen,A,Appel note de bas de p,FR,Footnote Reference/,Footnote Reference1,Style 12,Style 124,Style 13,Style 17,Style 20,Style 3,Style 34,Style 4,Style 6,Style 7,Style 9,callout,fr,o"/>
    <w:rsid w:val="002C0FDF"/>
    <w:rPr>
      <w:rFonts w:ascii="Times New Roman" w:hAnsi="Times New Roman"/>
      <w:dstrike w:val="0"/>
      <w:color w:val="auto"/>
      <w:sz w:val="20"/>
      <w:vertAlign w:val="superscript"/>
    </w:rPr>
  </w:style>
  <w:style w:type="paragraph" w:styleId="TOC1">
    <w:name w:val="toc 1"/>
    <w:basedOn w:val="Normal"/>
    <w:next w:val="Normal"/>
    <w:semiHidden/>
    <w:rsid w:val="002C0FDF"/>
    <w:pPr>
      <w:tabs>
        <w:tab w:val="left" w:pos="360"/>
        <w:tab w:val="right" w:leader="dot" w:pos="9360"/>
      </w:tabs>
      <w:suppressAutoHyphens/>
      <w:ind w:left="360" w:right="720" w:hanging="360"/>
    </w:pPr>
    <w:rPr>
      <w:caps/>
      <w:noProof/>
    </w:rPr>
  </w:style>
  <w:style w:type="paragraph" w:styleId="TOC2">
    <w:name w:val="toc 2"/>
    <w:basedOn w:val="Normal"/>
    <w:next w:val="Normal"/>
    <w:semiHidden/>
    <w:rsid w:val="002C0FDF"/>
    <w:pPr>
      <w:tabs>
        <w:tab w:val="left" w:pos="720"/>
        <w:tab w:val="right" w:leader="dot" w:pos="9360"/>
      </w:tabs>
      <w:suppressAutoHyphens/>
      <w:ind w:left="720" w:right="720" w:hanging="360"/>
    </w:pPr>
    <w:rPr>
      <w:noProof/>
    </w:rPr>
  </w:style>
  <w:style w:type="paragraph" w:styleId="TOC3">
    <w:name w:val="toc 3"/>
    <w:basedOn w:val="Normal"/>
    <w:next w:val="Normal"/>
    <w:semiHidden/>
    <w:rsid w:val="002C0FDF"/>
    <w:pPr>
      <w:tabs>
        <w:tab w:val="left" w:pos="1080"/>
        <w:tab w:val="right" w:leader="dot" w:pos="9360"/>
      </w:tabs>
      <w:suppressAutoHyphens/>
      <w:ind w:left="1080" w:right="720" w:hanging="360"/>
    </w:pPr>
    <w:rPr>
      <w:noProof/>
    </w:rPr>
  </w:style>
  <w:style w:type="paragraph" w:styleId="TOC4">
    <w:name w:val="toc 4"/>
    <w:basedOn w:val="Normal"/>
    <w:next w:val="Normal"/>
    <w:autoRedefine/>
    <w:semiHidden/>
    <w:rsid w:val="002C0FDF"/>
    <w:pPr>
      <w:tabs>
        <w:tab w:val="left" w:pos="1440"/>
        <w:tab w:val="right" w:leader="dot" w:pos="9360"/>
      </w:tabs>
      <w:suppressAutoHyphens/>
      <w:ind w:left="1440" w:right="720" w:hanging="360"/>
    </w:pPr>
    <w:rPr>
      <w:noProof/>
    </w:rPr>
  </w:style>
  <w:style w:type="paragraph" w:styleId="TOC5">
    <w:name w:val="toc 5"/>
    <w:basedOn w:val="Normal"/>
    <w:next w:val="Normal"/>
    <w:autoRedefine/>
    <w:semiHidden/>
    <w:rsid w:val="002C0FDF"/>
    <w:pPr>
      <w:tabs>
        <w:tab w:val="left" w:pos="1800"/>
        <w:tab w:val="right" w:leader="dot" w:pos="9360"/>
      </w:tabs>
      <w:suppressAutoHyphens/>
      <w:ind w:left="1800" w:right="720" w:hanging="360"/>
    </w:pPr>
    <w:rPr>
      <w:noProof/>
    </w:rPr>
  </w:style>
  <w:style w:type="paragraph" w:styleId="TOC6">
    <w:name w:val="toc 6"/>
    <w:basedOn w:val="Normal"/>
    <w:next w:val="Normal"/>
    <w:autoRedefine/>
    <w:semiHidden/>
    <w:rsid w:val="002C0FDF"/>
    <w:pPr>
      <w:tabs>
        <w:tab w:val="left" w:pos="2160"/>
        <w:tab w:val="right" w:leader="dot" w:pos="9360"/>
      </w:tabs>
      <w:suppressAutoHyphens/>
      <w:ind w:left="2160" w:hanging="360"/>
    </w:pPr>
    <w:rPr>
      <w:noProof/>
    </w:rPr>
  </w:style>
  <w:style w:type="paragraph" w:styleId="TOC7">
    <w:name w:val="toc 7"/>
    <w:basedOn w:val="Normal"/>
    <w:next w:val="Normal"/>
    <w:autoRedefine/>
    <w:semiHidden/>
    <w:rsid w:val="002C0FDF"/>
    <w:pPr>
      <w:tabs>
        <w:tab w:val="left" w:pos="2520"/>
        <w:tab w:val="right" w:leader="dot" w:pos="9360"/>
      </w:tabs>
      <w:suppressAutoHyphens/>
      <w:ind w:left="2520" w:hanging="360"/>
    </w:pPr>
    <w:rPr>
      <w:noProof/>
    </w:rPr>
  </w:style>
  <w:style w:type="paragraph" w:styleId="TOC8">
    <w:name w:val="toc 8"/>
    <w:basedOn w:val="Normal"/>
    <w:next w:val="Normal"/>
    <w:autoRedefine/>
    <w:semiHidden/>
    <w:rsid w:val="002C0FDF"/>
    <w:pPr>
      <w:tabs>
        <w:tab w:val="left" w:pos="2880"/>
        <w:tab w:val="right" w:leader="dot" w:pos="9360"/>
      </w:tabs>
      <w:suppressAutoHyphens/>
      <w:ind w:left="2880" w:hanging="360"/>
    </w:pPr>
    <w:rPr>
      <w:noProof/>
    </w:rPr>
  </w:style>
  <w:style w:type="paragraph" w:styleId="TOC9">
    <w:name w:val="toc 9"/>
    <w:basedOn w:val="Normal"/>
    <w:next w:val="Normal"/>
    <w:autoRedefine/>
    <w:semiHidden/>
    <w:rsid w:val="002C0FDF"/>
    <w:pPr>
      <w:tabs>
        <w:tab w:val="left" w:pos="3240"/>
        <w:tab w:val="right" w:leader="dot" w:pos="9360"/>
      </w:tabs>
      <w:suppressAutoHyphens/>
      <w:ind w:left="3240" w:hanging="360"/>
    </w:pPr>
    <w:rPr>
      <w:noProof/>
    </w:rPr>
  </w:style>
  <w:style w:type="paragraph" w:styleId="TOAHeading">
    <w:name w:val="toa heading"/>
    <w:basedOn w:val="Normal"/>
    <w:next w:val="Normal"/>
    <w:semiHidden/>
    <w:rsid w:val="002C0FDF"/>
    <w:pPr>
      <w:tabs>
        <w:tab w:val="right" w:pos="9360"/>
      </w:tabs>
      <w:suppressAutoHyphens/>
    </w:pPr>
  </w:style>
  <w:style w:type="character" w:customStyle="1" w:styleId="EquationCaption">
    <w:name w:val="_Equation Caption"/>
    <w:rsid w:val="002C0FDF"/>
  </w:style>
  <w:style w:type="paragraph" w:styleId="Header">
    <w:name w:val="header"/>
    <w:basedOn w:val="Normal"/>
    <w:autoRedefine/>
    <w:rsid w:val="002C0FDF"/>
    <w:pPr>
      <w:tabs>
        <w:tab w:val="center" w:pos="4680"/>
        <w:tab w:val="right" w:pos="9360"/>
      </w:tabs>
    </w:pPr>
    <w:rPr>
      <w:b/>
    </w:rPr>
  </w:style>
  <w:style w:type="paragraph" w:styleId="Footer">
    <w:name w:val="footer"/>
    <w:basedOn w:val="Normal"/>
    <w:link w:val="FooterChar"/>
    <w:uiPriority w:val="99"/>
    <w:rsid w:val="002C0FDF"/>
    <w:pPr>
      <w:tabs>
        <w:tab w:val="center" w:pos="4320"/>
        <w:tab w:val="right" w:pos="8640"/>
      </w:tabs>
    </w:pPr>
  </w:style>
  <w:style w:type="character" w:styleId="PageNumber">
    <w:name w:val="page number"/>
    <w:rsid w:val="002C0FDF"/>
  </w:style>
  <w:style w:type="paragraph" w:styleId="BlockText">
    <w:name w:val="Block Text"/>
    <w:basedOn w:val="Normal"/>
    <w:rsid w:val="002C0FDF"/>
    <w:pPr>
      <w:spacing w:after="240"/>
      <w:ind w:left="1440" w:right="1440"/>
    </w:pPr>
  </w:style>
  <w:style w:type="paragraph" w:customStyle="1" w:styleId="Paratitle">
    <w:name w:val="Para title"/>
    <w:basedOn w:val="Normal"/>
    <w:rsid w:val="002C0FDF"/>
    <w:pPr>
      <w:tabs>
        <w:tab w:val="center" w:pos="9270"/>
      </w:tabs>
      <w:spacing w:after="240"/>
    </w:pPr>
    <w:rPr>
      <w:spacing w:val="-2"/>
    </w:rPr>
  </w:style>
  <w:style w:type="paragraph" w:customStyle="1" w:styleId="Bullet">
    <w:name w:val="Bullet"/>
    <w:basedOn w:val="Normal"/>
    <w:rsid w:val="002C0FDF"/>
    <w:pPr>
      <w:tabs>
        <w:tab w:val="left" w:pos="2160"/>
      </w:tabs>
      <w:spacing w:after="220"/>
      <w:ind w:left="2160" w:hanging="720"/>
    </w:pPr>
  </w:style>
  <w:style w:type="paragraph" w:customStyle="1" w:styleId="TableFormat">
    <w:name w:val="TableFormat"/>
    <w:basedOn w:val="Bullet"/>
    <w:rsid w:val="002C0FDF"/>
    <w:pPr>
      <w:tabs>
        <w:tab w:val="clear" w:pos="2160"/>
        <w:tab w:val="left" w:pos="5040"/>
      </w:tabs>
      <w:ind w:left="5040" w:hanging="3600"/>
    </w:pPr>
  </w:style>
  <w:style w:type="paragraph" w:customStyle="1" w:styleId="TOCTitle">
    <w:name w:val="TOC Title"/>
    <w:basedOn w:val="Normal"/>
    <w:rsid w:val="002C0FDF"/>
    <w:pPr>
      <w:spacing w:before="240" w:after="240"/>
      <w:jc w:val="center"/>
    </w:pPr>
    <w:rPr>
      <w:rFonts w:ascii="Times New Roman Bold" w:hAnsi="Times New Roman Bold"/>
      <w:b/>
      <w:caps/>
      <w:spacing w:val="-2"/>
    </w:rPr>
  </w:style>
  <w:style w:type="paragraph" w:customStyle="1" w:styleId="StyleBoldCentered">
    <w:name w:val="Style Bold Centered"/>
    <w:basedOn w:val="Normal"/>
    <w:rsid w:val="002C0FDF"/>
    <w:pPr>
      <w:jc w:val="center"/>
    </w:pPr>
    <w:rPr>
      <w:rFonts w:ascii="Times New Roman Bold" w:hAnsi="Times New Roman Bold"/>
      <w:b/>
      <w:bCs/>
      <w:caps/>
      <w:szCs w:val="22"/>
    </w:rPr>
  </w:style>
  <w:style w:type="character" w:styleId="Hyperlink">
    <w:name w:val="Hyperlink"/>
    <w:rsid w:val="002C0FDF"/>
    <w:rPr>
      <w:color w:val="0000FF"/>
      <w:u w:val="single"/>
    </w:rPr>
  </w:style>
  <w:style w:type="character" w:customStyle="1" w:styleId="FooterChar">
    <w:name w:val="Footer Char"/>
    <w:link w:val="Footer"/>
    <w:uiPriority w:val="99"/>
    <w:rsid w:val="002C0FDF"/>
    <w:rPr>
      <w:snapToGrid w:val="0"/>
      <w:kern w:val="28"/>
      <w:sz w:val="22"/>
    </w:rPr>
  </w:style>
  <w:style w:type="character" w:customStyle="1" w:styleId="FootnoteTextChar">
    <w:name w:val="Footnote Text Char"/>
    <w:aliases w:val="ALTS FOOTNOTE Char,Footnote Text Char Char Char,Footnote Text Char Char Char Char Char,Footnote Text Char1 Char,Footnote Text Char2 Char Char2 Char2 Char Char Char,Footnote Text Char4 Char Char1 Char Char Char,f Char,fn Char"/>
    <w:link w:val="FootnoteText"/>
    <w:rsid w:val="00E54693"/>
  </w:style>
  <w:style w:type="character" w:customStyle="1" w:styleId="item-value">
    <w:name w:val="item-value"/>
    <w:rsid w:val="00E54693"/>
  </w:style>
  <w:style w:type="paragraph" w:styleId="BalloonText">
    <w:name w:val="Balloon Text"/>
    <w:basedOn w:val="Normal"/>
    <w:link w:val="BalloonTextChar"/>
    <w:rsid w:val="00830D71"/>
    <w:rPr>
      <w:rFonts w:ascii="Segoe UI" w:hAnsi="Segoe UI" w:cs="Segoe UI"/>
      <w:sz w:val="18"/>
      <w:szCs w:val="18"/>
    </w:rPr>
  </w:style>
  <w:style w:type="character" w:customStyle="1" w:styleId="BalloonTextChar">
    <w:name w:val="Balloon Text Char"/>
    <w:link w:val="BalloonText"/>
    <w:rsid w:val="00830D71"/>
    <w:rPr>
      <w:rFonts w:ascii="Segoe UI" w:hAnsi="Segoe UI" w:cs="Segoe UI"/>
      <w:snapToGrid w:val="0"/>
      <w:kern w:val="28"/>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hyperlink" Target="mailto:Michael.Scott@fcc.gov" TargetMode="Externa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2.xml" /></Relationships>
</file>

<file path=word/_rels/footnotes.xml.rels>&#65279;<?xml version="1.0" encoding="utf-8" standalone="yes"?><Relationships xmlns="http://schemas.openxmlformats.org/package/2006/relationships"><Relationship Id="rId1" Type="http://schemas.openxmlformats.org/officeDocument/2006/relationships/hyperlink" Target="https://www.cdc.gov/coronavirus/&#8204;2019-ncov/index.html" TargetMode="External" /><Relationship Id="rId2" Type="http://schemas.openxmlformats.org/officeDocument/2006/relationships/hyperlink" Target="https://ecfsapi.fcc.gov/file/105013048227177/2020%20Annual%20TRS%20Fund%20Report.pdf" TargetMode="External" /></Relationships>
</file>

<file path=word/_rels/settings.xml.rels>&#65279;<?xml version="1.0" encoding="utf-8" standalone="yes"?><Relationships xmlns="http://schemas.openxmlformats.org/package/2006/relationships"><Relationship Id="rId1" Type="http://schemas.openxmlformats.org/officeDocument/2006/relationships/attachedTemplate" Target="file:///M:\forms\OS%20Process\Orders%20TOC%20by%20Paragraph.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Orders TOC by Paragraph</Template>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