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5E028B" w:rsidRPr="00722514" w14:paraId="45B63A10" w14:textId="77777777">
      <w:pPr>
        <w:jc w:val="right"/>
        <w:rPr>
          <w:b/>
          <w:szCs w:val="22"/>
        </w:rPr>
      </w:pPr>
    </w:p>
    <w:p w:rsidR="009D4CB3" w:rsidRPr="00722514" w14:paraId="300B25AE" w14:textId="215E16DC">
      <w:pPr>
        <w:jc w:val="right"/>
        <w:rPr>
          <w:b/>
          <w:szCs w:val="22"/>
        </w:rPr>
      </w:pPr>
      <w:r w:rsidRPr="00722514">
        <w:rPr>
          <w:b/>
          <w:szCs w:val="22"/>
        </w:rPr>
        <w:t>DA 21-</w:t>
      </w:r>
      <w:r w:rsidR="00C714F3">
        <w:rPr>
          <w:b/>
          <w:szCs w:val="22"/>
        </w:rPr>
        <w:t>1651</w:t>
      </w:r>
    </w:p>
    <w:p w:rsidR="009D4CB3" w:rsidRPr="00722514" w14:paraId="36B15BCE" w14:textId="4F4C93CC">
      <w:pPr>
        <w:spacing w:before="60"/>
        <w:jc w:val="right"/>
        <w:rPr>
          <w:b/>
          <w:szCs w:val="22"/>
        </w:rPr>
      </w:pPr>
      <w:r w:rsidRPr="00722514">
        <w:rPr>
          <w:b/>
          <w:szCs w:val="22"/>
        </w:rPr>
        <w:t xml:space="preserve">Released:  </w:t>
      </w:r>
      <w:r w:rsidRPr="00722514" w:rsidR="005E028B">
        <w:rPr>
          <w:b/>
          <w:szCs w:val="22"/>
        </w:rPr>
        <w:t xml:space="preserve">December </w:t>
      </w:r>
      <w:r w:rsidR="004F65CE">
        <w:rPr>
          <w:b/>
          <w:szCs w:val="22"/>
        </w:rPr>
        <w:t>29</w:t>
      </w:r>
      <w:r w:rsidRPr="00722514" w:rsidR="005E028B">
        <w:rPr>
          <w:b/>
          <w:szCs w:val="22"/>
        </w:rPr>
        <w:t>, 2021</w:t>
      </w:r>
    </w:p>
    <w:p w:rsidR="009D4CB3" w:rsidRPr="00722514" w14:paraId="4D1BAE46" w14:textId="77777777">
      <w:pPr>
        <w:jc w:val="right"/>
        <w:rPr>
          <w:szCs w:val="22"/>
        </w:rPr>
      </w:pPr>
    </w:p>
    <w:p w:rsidR="00454597" w:rsidP="00A23533" w14:paraId="3E7B87AC" w14:textId="2AD37959">
      <w:pPr>
        <w:ind w:firstLine="720"/>
        <w:jc w:val="center"/>
        <w:rPr>
          <w:b/>
          <w:caps/>
          <w:szCs w:val="22"/>
        </w:rPr>
      </w:pPr>
      <w:r w:rsidRPr="00722514">
        <w:rPr>
          <w:b/>
          <w:caps/>
          <w:szCs w:val="22"/>
        </w:rPr>
        <w:t>Comment Sought on Petition for Declaratory Ruling</w:t>
      </w:r>
    </w:p>
    <w:p w:rsidR="00454597" w:rsidP="00A23533" w14:paraId="54113530" w14:textId="54ADA034">
      <w:pPr>
        <w:ind w:firstLine="720"/>
        <w:jc w:val="center"/>
        <w:rPr>
          <w:b/>
          <w:caps/>
          <w:szCs w:val="22"/>
        </w:rPr>
      </w:pPr>
      <w:r w:rsidRPr="00722514">
        <w:rPr>
          <w:b/>
          <w:caps/>
          <w:szCs w:val="22"/>
        </w:rPr>
        <w:t>Filed by Sorenson Communications, LLC</w:t>
      </w:r>
      <w:r w:rsidR="003A7993">
        <w:rPr>
          <w:b/>
          <w:caps/>
          <w:szCs w:val="22"/>
        </w:rPr>
        <w:t>,</w:t>
      </w:r>
      <w:r>
        <w:rPr>
          <w:b/>
          <w:caps/>
          <w:szCs w:val="22"/>
        </w:rPr>
        <w:t xml:space="preserve"> ON</w:t>
      </w:r>
    </w:p>
    <w:p w:rsidR="009D4CB3" w:rsidRPr="00722514" w:rsidP="005E028B" w14:paraId="39F9955D" w14:textId="0EC4B601">
      <w:pPr>
        <w:spacing w:after="240"/>
        <w:ind w:firstLine="720"/>
        <w:jc w:val="center"/>
        <w:rPr>
          <w:b/>
          <w:caps/>
          <w:szCs w:val="22"/>
        </w:rPr>
      </w:pPr>
      <w:r>
        <w:rPr>
          <w:b/>
          <w:caps/>
          <w:szCs w:val="22"/>
        </w:rPr>
        <w:t>VIDEO RELAY SERVICE COST ALLOCATION METHODOLOG</w:t>
      </w:r>
      <w:r w:rsidR="00900DB8">
        <w:rPr>
          <w:b/>
          <w:caps/>
          <w:szCs w:val="22"/>
        </w:rPr>
        <w:t>IES</w:t>
      </w:r>
    </w:p>
    <w:p w:rsidR="009D4CB3" w:rsidRPr="00722514" w14:paraId="5D40153D" w14:textId="16B331D9">
      <w:pPr>
        <w:jc w:val="center"/>
        <w:rPr>
          <w:b/>
          <w:szCs w:val="22"/>
        </w:rPr>
      </w:pPr>
      <w:r w:rsidRPr="00722514">
        <w:rPr>
          <w:b/>
          <w:szCs w:val="22"/>
        </w:rPr>
        <w:t>CG Docket Nos. 10-51 and 03-123</w:t>
      </w:r>
    </w:p>
    <w:p w:rsidR="005E028B" w:rsidRPr="00722514" w:rsidP="005E028B" w14:paraId="738C0CB9" w14:textId="1A414C8E">
      <w:pPr>
        <w:rPr>
          <w:b/>
          <w:szCs w:val="22"/>
        </w:rPr>
      </w:pPr>
    </w:p>
    <w:p w:rsidR="005E028B" w:rsidRPr="00722514" w:rsidP="005E028B" w14:paraId="4198C087" w14:textId="75EE0C42">
      <w:pPr>
        <w:spacing w:after="120"/>
        <w:rPr>
          <w:b/>
          <w:szCs w:val="22"/>
        </w:rPr>
      </w:pPr>
      <w:r w:rsidRPr="00722514">
        <w:rPr>
          <w:b/>
          <w:szCs w:val="22"/>
        </w:rPr>
        <w:t>Comment</w:t>
      </w:r>
      <w:r w:rsidR="000B13C5">
        <w:rPr>
          <w:b/>
          <w:szCs w:val="22"/>
        </w:rPr>
        <w:t>s</w:t>
      </w:r>
      <w:r w:rsidRPr="00722514">
        <w:rPr>
          <w:b/>
          <w:szCs w:val="22"/>
        </w:rPr>
        <w:t xml:space="preserve"> </w:t>
      </w:r>
      <w:r w:rsidR="000B13C5">
        <w:rPr>
          <w:b/>
          <w:szCs w:val="22"/>
        </w:rPr>
        <w:t>Due</w:t>
      </w:r>
      <w:r w:rsidRPr="00722514">
        <w:rPr>
          <w:b/>
          <w:szCs w:val="22"/>
        </w:rPr>
        <w:t xml:space="preserve">:  </w:t>
      </w:r>
      <w:r w:rsidR="004F65CE">
        <w:rPr>
          <w:b/>
          <w:szCs w:val="22"/>
        </w:rPr>
        <w:t>January 10, 2022</w:t>
      </w:r>
    </w:p>
    <w:p w:rsidR="005E028B" w:rsidRPr="00722514" w:rsidP="005E028B" w14:paraId="01087DEB" w14:textId="61B4C8B1">
      <w:pPr>
        <w:spacing w:after="120"/>
        <w:rPr>
          <w:b/>
          <w:szCs w:val="22"/>
        </w:rPr>
      </w:pPr>
      <w:r w:rsidRPr="00722514">
        <w:rPr>
          <w:b/>
          <w:szCs w:val="22"/>
        </w:rPr>
        <w:t>Reply Comment</w:t>
      </w:r>
      <w:r w:rsidR="000B13C5">
        <w:rPr>
          <w:b/>
          <w:szCs w:val="22"/>
        </w:rPr>
        <w:t>s</w:t>
      </w:r>
      <w:r w:rsidRPr="00722514">
        <w:rPr>
          <w:b/>
          <w:szCs w:val="22"/>
        </w:rPr>
        <w:t xml:space="preserve"> </w:t>
      </w:r>
      <w:r w:rsidR="000B13C5">
        <w:rPr>
          <w:b/>
          <w:szCs w:val="22"/>
        </w:rPr>
        <w:t>Due</w:t>
      </w:r>
      <w:r w:rsidRPr="00722514">
        <w:rPr>
          <w:b/>
          <w:szCs w:val="22"/>
        </w:rPr>
        <w:t xml:space="preserve">: </w:t>
      </w:r>
      <w:r w:rsidR="00E30429">
        <w:rPr>
          <w:b/>
          <w:szCs w:val="22"/>
        </w:rPr>
        <w:t xml:space="preserve"> </w:t>
      </w:r>
      <w:r w:rsidR="007815D1">
        <w:rPr>
          <w:b/>
          <w:szCs w:val="22"/>
        </w:rPr>
        <w:t>January 18, 2022</w:t>
      </w:r>
    </w:p>
    <w:p w:rsidR="00785D86" w:rsidP="00E831B0" w14:paraId="07A8997D" w14:textId="586A3EBD">
      <w:pPr>
        <w:widowControl/>
        <w:spacing w:after="120"/>
        <w:ind w:firstLine="720"/>
        <w:rPr>
          <w:bCs/>
          <w:szCs w:val="22"/>
        </w:rPr>
      </w:pPr>
      <w:r w:rsidRPr="00722514">
        <w:rPr>
          <w:bCs/>
          <w:szCs w:val="22"/>
        </w:rPr>
        <w:t xml:space="preserve">The Consumer and Governmental Affairs Bureau (Bureau) of the Federal Communications Commission (Commission) seeks comment on </w:t>
      </w:r>
      <w:r w:rsidR="00454597">
        <w:rPr>
          <w:bCs/>
          <w:szCs w:val="22"/>
        </w:rPr>
        <w:t>a</w:t>
      </w:r>
      <w:r w:rsidRPr="00722514" w:rsidR="00454597">
        <w:rPr>
          <w:bCs/>
          <w:szCs w:val="22"/>
        </w:rPr>
        <w:t xml:space="preserve"> </w:t>
      </w:r>
      <w:r w:rsidRPr="00722514">
        <w:rPr>
          <w:bCs/>
          <w:szCs w:val="22"/>
        </w:rPr>
        <w:t xml:space="preserve">petition </w:t>
      </w:r>
      <w:r w:rsidR="00454597">
        <w:rPr>
          <w:bCs/>
          <w:szCs w:val="22"/>
        </w:rPr>
        <w:t>filed by</w:t>
      </w:r>
      <w:r w:rsidRPr="00722514" w:rsidR="00454597">
        <w:rPr>
          <w:bCs/>
          <w:szCs w:val="22"/>
        </w:rPr>
        <w:t xml:space="preserve"> </w:t>
      </w:r>
      <w:r w:rsidRPr="00722514">
        <w:rPr>
          <w:bCs/>
          <w:szCs w:val="22"/>
        </w:rPr>
        <w:t>Sorenson Communications</w:t>
      </w:r>
      <w:r w:rsidR="00722514">
        <w:rPr>
          <w:bCs/>
          <w:szCs w:val="22"/>
        </w:rPr>
        <w:t>,</w:t>
      </w:r>
      <w:r w:rsidRPr="00722514">
        <w:rPr>
          <w:bCs/>
          <w:szCs w:val="22"/>
        </w:rPr>
        <w:t xml:space="preserve"> LLC</w:t>
      </w:r>
      <w:r w:rsidR="00722514">
        <w:rPr>
          <w:bCs/>
          <w:szCs w:val="22"/>
        </w:rPr>
        <w:t xml:space="preserve"> (Sorenson)</w:t>
      </w:r>
      <w:r w:rsidR="00332BE3">
        <w:rPr>
          <w:bCs/>
          <w:szCs w:val="22"/>
        </w:rPr>
        <w:t>,</w:t>
      </w:r>
      <w:r w:rsidRPr="00722514">
        <w:rPr>
          <w:bCs/>
          <w:szCs w:val="22"/>
        </w:rPr>
        <w:t xml:space="preserve"> </w:t>
      </w:r>
      <w:r w:rsidR="0030018A">
        <w:rPr>
          <w:bCs/>
          <w:szCs w:val="22"/>
        </w:rPr>
        <w:t>request</w:t>
      </w:r>
      <w:r w:rsidR="003A7993">
        <w:rPr>
          <w:bCs/>
          <w:szCs w:val="22"/>
        </w:rPr>
        <w:t xml:space="preserve">ing </w:t>
      </w:r>
      <w:r w:rsidRPr="00722514">
        <w:rPr>
          <w:bCs/>
          <w:szCs w:val="22"/>
        </w:rPr>
        <w:t>a declaratory ruling on the Commission’s cost allocation methodologies for video relay service (VRS).</w:t>
      </w:r>
      <w:r>
        <w:rPr>
          <w:rStyle w:val="FootnoteReference"/>
          <w:bCs/>
          <w:szCs w:val="22"/>
        </w:rPr>
        <w:footnoteReference w:id="3"/>
      </w:r>
      <w:r w:rsidRPr="00722514" w:rsidR="00447593">
        <w:rPr>
          <w:bCs/>
          <w:szCs w:val="22"/>
        </w:rPr>
        <w:t xml:space="preserve">  </w:t>
      </w:r>
      <w:r w:rsidRPr="00722514" w:rsidR="00E831B0">
        <w:rPr>
          <w:bCs/>
          <w:szCs w:val="22"/>
        </w:rPr>
        <w:t xml:space="preserve">Sorenson seeks </w:t>
      </w:r>
      <w:r w:rsidRPr="00722514" w:rsidR="00722514">
        <w:rPr>
          <w:bCs/>
          <w:szCs w:val="22"/>
        </w:rPr>
        <w:t xml:space="preserve">(1) </w:t>
      </w:r>
      <w:r w:rsidRPr="00722514" w:rsidR="00E831B0">
        <w:rPr>
          <w:bCs/>
          <w:szCs w:val="22"/>
        </w:rPr>
        <w:t xml:space="preserve">a ruling that the Commission’s rules treat as allowable the costs associated with </w:t>
      </w:r>
      <w:r w:rsidR="00D44239">
        <w:rPr>
          <w:bCs/>
          <w:szCs w:val="22"/>
        </w:rPr>
        <w:t xml:space="preserve">a VRS provider’s </w:t>
      </w:r>
      <w:r w:rsidRPr="00722514" w:rsidR="00E831B0">
        <w:rPr>
          <w:bCs/>
          <w:szCs w:val="22"/>
        </w:rPr>
        <w:t xml:space="preserve">field staff to the extent they are performing tasks that are service-related and not </w:t>
      </w:r>
      <w:r w:rsidR="00D44239">
        <w:rPr>
          <w:bCs/>
          <w:szCs w:val="22"/>
        </w:rPr>
        <w:t xml:space="preserve">customer premises </w:t>
      </w:r>
      <w:r w:rsidRPr="00722514" w:rsidR="00E831B0">
        <w:rPr>
          <w:bCs/>
          <w:szCs w:val="22"/>
        </w:rPr>
        <w:t>equipment</w:t>
      </w:r>
      <w:r w:rsidR="00D44239">
        <w:rPr>
          <w:bCs/>
          <w:szCs w:val="22"/>
        </w:rPr>
        <w:t xml:space="preserve"> </w:t>
      </w:r>
      <w:r w:rsidRPr="00722514" w:rsidR="00E831B0">
        <w:rPr>
          <w:bCs/>
          <w:szCs w:val="22"/>
        </w:rPr>
        <w:t>related</w:t>
      </w:r>
      <w:r w:rsidRPr="00722514" w:rsidR="00722514">
        <w:rPr>
          <w:bCs/>
          <w:szCs w:val="22"/>
        </w:rPr>
        <w:t>; and (2) confirmation that field staff time is an allowable cost of providing VRS even when it is part of a longer visit during which staff may perform equipment installation and maintenance</w:t>
      </w:r>
      <w:r w:rsidRPr="00722514" w:rsidR="00E831B0">
        <w:rPr>
          <w:bCs/>
          <w:szCs w:val="22"/>
        </w:rPr>
        <w:t>.</w:t>
      </w:r>
      <w:r>
        <w:rPr>
          <w:rStyle w:val="FootnoteReference"/>
          <w:bCs/>
          <w:szCs w:val="22"/>
        </w:rPr>
        <w:footnoteReference w:id="4"/>
      </w:r>
      <w:r w:rsidRPr="00722514" w:rsidR="00E831B0">
        <w:rPr>
          <w:bCs/>
          <w:szCs w:val="22"/>
        </w:rPr>
        <w:t xml:space="preserve">  </w:t>
      </w:r>
    </w:p>
    <w:p w:rsidR="00E831B0" w:rsidRPr="00722514" w:rsidP="00E831B0" w14:paraId="1333A66C" w14:textId="32CDAA2C">
      <w:pPr>
        <w:widowControl/>
        <w:spacing w:after="120"/>
        <w:ind w:firstLine="720"/>
        <w:rPr>
          <w:snapToGrid/>
          <w:kern w:val="0"/>
          <w:sz w:val="24"/>
          <w:szCs w:val="24"/>
        </w:rPr>
      </w:pPr>
      <w:r w:rsidRPr="00722514">
        <w:rPr>
          <w:bCs/>
          <w:szCs w:val="22"/>
        </w:rPr>
        <w:t xml:space="preserve">The petition contains information </w:t>
      </w:r>
      <w:r w:rsidR="00D44239">
        <w:rPr>
          <w:bCs/>
          <w:szCs w:val="22"/>
        </w:rPr>
        <w:t xml:space="preserve">(redacted from the public version) </w:t>
      </w:r>
      <w:r w:rsidRPr="00722514">
        <w:rPr>
          <w:bCs/>
          <w:szCs w:val="22"/>
        </w:rPr>
        <w:t xml:space="preserve">for which confidential treatment is requested. </w:t>
      </w:r>
      <w:r w:rsidRPr="00722514" w:rsidR="00722514">
        <w:rPr>
          <w:bCs/>
          <w:szCs w:val="22"/>
        </w:rPr>
        <w:t xml:space="preserve"> </w:t>
      </w:r>
      <w:r w:rsidRPr="00722514">
        <w:rPr>
          <w:bCs/>
          <w:szCs w:val="22"/>
        </w:rPr>
        <w:t xml:space="preserve">Access to the redacted material is </w:t>
      </w:r>
      <w:r w:rsidR="00D44239">
        <w:rPr>
          <w:bCs/>
          <w:szCs w:val="22"/>
        </w:rPr>
        <w:t xml:space="preserve">governed </w:t>
      </w:r>
      <w:r w:rsidRPr="00722514">
        <w:rPr>
          <w:bCs/>
          <w:szCs w:val="22"/>
        </w:rPr>
        <w:t>by the Third Protective</w:t>
      </w:r>
      <w:r w:rsidRPr="00722514" w:rsidR="005E028B">
        <w:rPr>
          <w:bCs/>
          <w:szCs w:val="22"/>
        </w:rPr>
        <w:t xml:space="preserve"> </w:t>
      </w:r>
      <w:r w:rsidRPr="00722514">
        <w:rPr>
          <w:bCs/>
          <w:szCs w:val="22"/>
        </w:rPr>
        <w:t>Order in these dockets.</w:t>
      </w:r>
      <w:r>
        <w:rPr>
          <w:rStyle w:val="FootnoteReference"/>
        </w:rPr>
        <w:footnoteReference w:id="5"/>
      </w:r>
      <w:r w:rsidRPr="00722514">
        <w:rPr>
          <w:kern w:val="0"/>
          <w:sz w:val="24"/>
          <w:szCs w:val="24"/>
        </w:rPr>
        <w:t xml:space="preserve"> </w:t>
      </w:r>
    </w:p>
    <w:p w:rsidR="00E831B0" w:rsidRPr="00722514" w:rsidP="00E831B0" w14:paraId="126F3FF8" w14:textId="6D72A19B">
      <w:pPr>
        <w:pStyle w:val="ParaNum"/>
        <w:numPr>
          <w:ilvl w:val="0"/>
          <w:numId w:val="0"/>
        </w:numPr>
        <w:tabs>
          <w:tab w:val="left" w:pos="720"/>
        </w:tabs>
        <w:ind w:firstLine="720"/>
        <w:rPr>
          <w:rFonts w:eastAsia="Calibri"/>
          <w:snapToGrid/>
        </w:rPr>
      </w:pPr>
      <w:r w:rsidRPr="00722514">
        <w:rPr>
          <w:i/>
          <w:iCs/>
        </w:rPr>
        <w:t>Filing Requirements.</w:t>
      </w:r>
      <w:r w:rsidRPr="00722514">
        <w:t xml:space="preserve">  I</w:t>
      </w:r>
      <w:r w:rsidRPr="00722514">
        <w:rPr>
          <w:rFonts w:eastAsia="Calibri"/>
        </w:rPr>
        <w:t xml:space="preserve">nterested parties may file comments on or before the dates indicated </w:t>
      </w:r>
      <w:r w:rsidR="001C3574">
        <w:rPr>
          <w:rFonts w:eastAsia="Calibri"/>
        </w:rPr>
        <w:t>above</w:t>
      </w:r>
      <w:r w:rsidRPr="00722514">
        <w:rPr>
          <w:rFonts w:eastAsia="Calibri"/>
        </w:rPr>
        <w:t>.</w:t>
      </w:r>
      <w:r>
        <w:rPr>
          <w:rStyle w:val="FootnoteReference"/>
          <w:rFonts w:eastAsia="Calibri"/>
        </w:rPr>
        <w:footnoteReference w:id="6"/>
      </w:r>
      <w:r w:rsidRPr="00722514">
        <w:rPr>
          <w:rFonts w:eastAsia="Calibri"/>
        </w:rPr>
        <w:t xml:space="preserve">  </w:t>
      </w:r>
      <w:r w:rsidRPr="00722514">
        <w:t>All filings must reference CG Docket Nos. 03-123 and 10-51.</w:t>
      </w:r>
      <w:r w:rsidRPr="00722514">
        <w:rPr>
          <w:rFonts w:eastAsia="Calibri"/>
        </w:rPr>
        <w:t xml:space="preserve">  Comments may be filed using the Commission’s Electronic Comment Filing System (ECFS).</w:t>
      </w:r>
      <w:r>
        <w:rPr>
          <w:rStyle w:val="FootnoteReference"/>
          <w:rFonts w:eastAsia="Calibri"/>
        </w:rPr>
        <w:footnoteReference w:id="7"/>
      </w:r>
      <w:r w:rsidRPr="00722514">
        <w:rPr>
          <w:rFonts w:eastAsia="Calibri"/>
        </w:rPr>
        <w:t xml:space="preserve">    </w:t>
      </w:r>
    </w:p>
    <w:p w:rsidR="00E831B0" w:rsidRPr="00722514" w:rsidP="00E831B0" w14:paraId="50F5B8C7" w14:textId="77777777">
      <w:pPr>
        <w:widowControl/>
        <w:numPr>
          <w:ilvl w:val="0"/>
          <w:numId w:val="8"/>
        </w:numPr>
        <w:snapToGrid w:val="0"/>
        <w:spacing w:after="120"/>
        <w:ind w:left="1080"/>
        <w:rPr>
          <w:szCs w:val="22"/>
        </w:rPr>
      </w:pPr>
      <w:r w:rsidRPr="00722514">
        <w:rPr>
          <w:szCs w:val="22"/>
        </w:rPr>
        <w:t xml:space="preserve">Electronic Filers:  Comments may be filed electronically using the Internet by accessing the ECFS:  </w:t>
      </w:r>
      <w:hyperlink w:history="1"/>
      <w:hyperlink r:id="rId5" w:history="1">
        <w:r w:rsidRPr="00722514">
          <w:rPr>
            <w:rStyle w:val="Hyperlink"/>
            <w:szCs w:val="22"/>
          </w:rPr>
          <w:t>https://www.fcc.gov/ecfs/filings</w:t>
        </w:r>
      </w:hyperlink>
      <w:r w:rsidRPr="00722514">
        <w:rPr>
          <w:szCs w:val="22"/>
        </w:rPr>
        <w:t xml:space="preserve">.  </w:t>
      </w:r>
    </w:p>
    <w:p w:rsidR="00E831B0" w:rsidRPr="00722514" w:rsidP="00E831B0" w14:paraId="7DBE8028" w14:textId="77777777">
      <w:pPr>
        <w:widowControl/>
        <w:numPr>
          <w:ilvl w:val="0"/>
          <w:numId w:val="8"/>
        </w:numPr>
        <w:snapToGrid w:val="0"/>
        <w:spacing w:after="120"/>
        <w:ind w:left="1080"/>
        <w:rPr>
          <w:szCs w:val="22"/>
        </w:rPr>
      </w:pPr>
      <w:r w:rsidRPr="00722514">
        <w:rPr>
          <w:szCs w:val="22"/>
        </w:rPr>
        <w:t xml:space="preserve">Paper Filers:  </w:t>
      </w:r>
    </w:p>
    <w:p w:rsidR="00E831B0" w:rsidRPr="00722514" w:rsidP="00E831B0" w14:paraId="104784E2" w14:textId="4E3CE524">
      <w:pPr>
        <w:widowControl/>
        <w:numPr>
          <w:ilvl w:val="1"/>
          <w:numId w:val="9"/>
        </w:numPr>
        <w:snapToGrid w:val="0"/>
        <w:spacing w:after="120"/>
        <w:rPr>
          <w:szCs w:val="22"/>
        </w:rPr>
      </w:pPr>
      <w:r w:rsidRPr="00722514">
        <w:rPr>
          <w:szCs w:val="22"/>
        </w:rPr>
        <w:t>Parties who choose to file by paper must file an original and one copy of each filing.</w:t>
      </w:r>
    </w:p>
    <w:p w:rsidR="00E831B0" w:rsidRPr="00722514" w:rsidP="00E831B0" w14:paraId="22C17971" w14:textId="15901209">
      <w:pPr>
        <w:widowControl/>
        <w:numPr>
          <w:ilvl w:val="1"/>
          <w:numId w:val="9"/>
        </w:numPr>
        <w:snapToGrid w:val="0"/>
        <w:spacing w:after="120"/>
        <w:rPr>
          <w:szCs w:val="22"/>
        </w:rPr>
      </w:pPr>
      <w:r w:rsidRPr="00722514">
        <w:rPr>
          <w:szCs w:val="22"/>
        </w:rPr>
        <w:t>Filings can be sent by commercial overnight courier, or by first-class or overnight U.S. Postal Service mail.  All filings must be addressed to the Commission’s Secretary, Office of the Secretary, Federal Communications Commission.</w:t>
      </w:r>
    </w:p>
    <w:p w:rsidR="009627D1" w:rsidP="009627D1" w14:paraId="276C1B0F" w14:textId="11539327">
      <w:pPr>
        <w:widowControl/>
        <w:numPr>
          <w:ilvl w:val="1"/>
          <w:numId w:val="9"/>
        </w:numPr>
        <w:snapToGrid w:val="0"/>
        <w:spacing w:after="120"/>
        <w:rPr>
          <w:szCs w:val="22"/>
        </w:rPr>
      </w:pPr>
      <w:r w:rsidRPr="009627D1">
        <w:rPr>
          <w:szCs w:val="22"/>
        </w:rPr>
        <w:t>Commercial overnight mail (other than U.S. Postal Service Express Mail and Priority Mail) must be sent to 9050 Junction Drive, Annapolis Junction, MD 20701.</w:t>
      </w:r>
      <w:r w:rsidR="007F26BA">
        <w:rPr>
          <w:szCs w:val="22"/>
        </w:rPr>
        <w:t xml:space="preserve">  </w:t>
      </w:r>
      <w:r w:rsidRPr="009627D1">
        <w:rPr>
          <w:szCs w:val="22"/>
        </w:rPr>
        <w:t>U.S. Postal Service first-class, Express, and Priority mail must be addressed to 45 L Street NE</w:t>
      </w:r>
      <w:r>
        <w:rPr>
          <w:szCs w:val="22"/>
        </w:rPr>
        <w:t xml:space="preserve"> </w:t>
      </w:r>
      <w:r w:rsidRPr="009627D1">
        <w:rPr>
          <w:szCs w:val="22"/>
        </w:rPr>
        <w:t>Washington, DC  20554</w:t>
      </w:r>
      <w:r w:rsidR="007F26BA">
        <w:rPr>
          <w:szCs w:val="22"/>
        </w:rPr>
        <w:t>.</w:t>
      </w:r>
    </w:p>
    <w:p w:rsidR="00E831B0" w:rsidRPr="009627D1" w:rsidP="009627D1" w14:paraId="07CB7EA0" w14:textId="65ACF053">
      <w:pPr>
        <w:widowControl/>
        <w:numPr>
          <w:ilvl w:val="1"/>
          <w:numId w:val="9"/>
        </w:numPr>
        <w:snapToGrid w:val="0"/>
        <w:spacing w:after="120"/>
        <w:rPr>
          <w:szCs w:val="22"/>
        </w:rPr>
      </w:pPr>
      <w:r w:rsidRPr="009627D1">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 Junction, MD  20701</w:t>
      </w:r>
      <w:r w:rsidRPr="00722514">
        <w:t>.</w:t>
      </w:r>
      <w:r>
        <w:rPr>
          <w:rStyle w:val="FootnoteReference"/>
        </w:rPr>
        <w:footnoteReference w:id="8"/>
      </w:r>
      <w:r w:rsidRPr="009627D1">
        <w:rPr>
          <w:szCs w:val="22"/>
        </w:rPr>
        <w:t xml:space="preserve">  </w:t>
      </w:r>
    </w:p>
    <w:p w:rsidR="00E831B0" w:rsidRPr="00722514" w:rsidP="00E831B0" w14:paraId="24C56212" w14:textId="77777777">
      <w:pPr>
        <w:pStyle w:val="ParaNum"/>
        <w:numPr>
          <w:ilvl w:val="0"/>
          <w:numId w:val="0"/>
        </w:numPr>
        <w:tabs>
          <w:tab w:val="left" w:pos="720"/>
        </w:tabs>
        <w:ind w:firstLine="720"/>
        <w:rPr>
          <w:rFonts w:eastAsia="Calibri"/>
        </w:rPr>
      </w:pPr>
      <w:r w:rsidRPr="00722514">
        <w:rPr>
          <w:rFonts w:eastAsia="Calibri"/>
          <w:i/>
          <w:iCs/>
        </w:rPr>
        <w:t xml:space="preserve">Ex Parte Rules.  </w:t>
      </w:r>
      <w:r w:rsidRPr="00722514">
        <w:rPr>
          <w:rFonts w:eastAsia="Calibri"/>
        </w:rPr>
        <w:t>The proceeding this Public Notice initiates shall be treated as a “permit-but-disclose” proceeding in accordance with the Commission’s ex parte rules.</w:t>
      </w:r>
      <w:r>
        <w:rPr>
          <w:rStyle w:val="FootnoteReference"/>
          <w:rFonts w:eastAsia="Calibri"/>
        </w:rPr>
        <w:footnoteReference w:id="9"/>
      </w:r>
      <w:r w:rsidRPr="00722514">
        <w:rPr>
          <w:rFonts w:eastAsia="Calibri"/>
        </w:rPr>
        <w:t xml:space="preserve">  Persons making ex parte presentations must file a copy of any written presentation or a memorandum summarizing any oral presentation within two business days after the presentation (unless a different deadline applicable to the Sunshine period applies).  Persons making oral ex parte presentations are reminded that memoranda summarizing the presentation must (1) list all persons attending or otherwise participating in the meeting at which the ex parte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ex parte meetings are deemed to be written ex parte presentations and must be filed consistent with section 1.1206(b).  In proceedings governed by section 1.49(f) or for which the Commission has made available a method of electronic filing, written ex parte presentations and memoranda summarizing oral ex parte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ex parte rules.</w:t>
      </w:r>
    </w:p>
    <w:p w:rsidR="00E831B0" w:rsidRPr="00722514" w:rsidP="00E831B0" w14:paraId="43500AE1" w14:textId="77777777">
      <w:pPr>
        <w:pStyle w:val="ParaNum"/>
        <w:numPr>
          <w:ilvl w:val="0"/>
          <w:numId w:val="0"/>
        </w:numPr>
        <w:tabs>
          <w:tab w:val="left" w:pos="720"/>
        </w:tabs>
        <w:ind w:firstLine="720"/>
        <w:rPr>
          <w:rFonts w:eastAsia="Calibri"/>
        </w:rPr>
      </w:pPr>
      <w:r w:rsidRPr="00722514">
        <w:rPr>
          <w:rFonts w:eastAsia="Calibri"/>
          <w:i/>
          <w:iCs/>
        </w:rPr>
        <w:t>People with Disabilities:</w:t>
      </w:r>
      <w:r w:rsidRPr="00722514">
        <w:rPr>
          <w:rFonts w:eastAsia="Calibri"/>
        </w:rPr>
        <w:t xml:space="preserve">  To request materials in accessible formats for people with disabilities (Braille, large print, electronic files, audio format), send an e-mail to </w:t>
      </w:r>
      <w:hyperlink r:id="rId6" w:history="1">
        <w:r w:rsidRPr="00722514">
          <w:rPr>
            <w:rStyle w:val="Hyperlink"/>
            <w:rFonts w:eastAsia="Calibri"/>
          </w:rPr>
          <w:t>fcc504@fcc.gov</w:t>
        </w:r>
      </w:hyperlink>
      <w:r w:rsidRPr="00722514">
        <w:rPr>
          <w:rFonts w:eastAsia="Calibri"/>
        </w:rPr>
        <w:t xml:space="preserve"> or call the Consumer and Governmental Affairs Bureau at 202-418-0530.</w:t>
      </w:r>
    </w:p>
    <w:p w:rsidR="00E831B0" w:rsidRPr="00722514" w:rsidP="00E831B0" w14:paraId="70BE385F" w14:textId="0C28D56B">
      <w:pPr>
        <w:pStyle w:val="ParaNum"/>
        <w:numPr>
          <w:ilvl w:val="0"/>
          <w:numId w:val="0"/>
        </w:numPr>
        <w:tabs>
          <w:tab w:val="left" w:pos="720"/>
        </w:tabs>
        <w:ind w:firstLine="720"/>
      </w:pPr>
      <w:r w:rsidRPr="00722514">
        <w:rPr>
          <w:i/>
          <w:iCs/>
        </w:rPr>
        <w:t>Additional Information:</w:t>
      </w:r>
      <w:r w:rsidRPr="00722514">
        <w:t xml:space="preserve">  For additional information on this proceeding, contact </w:t>
      </w:r>
      <w:r w:rsidR="009627D1">
        <w:t xml:space="preserve">Michael Scott, </w:t>
      </w:r>
      <w:r w:rsidRPr="00722514" w:rsidR="009627D1">
        <w:t>Disability Rights Office</w:t>
      </w:r>
      <w:r w:rsidR="009627D1">
        <w:t>,</w:t>
      </w:r>
      <w:r w:rsidRPr="00722514" w:rsidR="009627D1">
        <w:t xml:space="preserve"> Consumer and Governmental Affairs Bureau, </w:t>
      </w:r>
      <w:r w:rsidRPr="00722514">
        <w:t>at 202-418-</w:t>
      </w:r>
      <w:r w:rsidR="009627D1">
        <w:t>1264</w:t>
      </w:r>
      <w:r w:rsidRPr="00722514">
        <w:t xml:space="preserve">, or </w:t>
      </w:r>
      <w:hyperlink r:id="rId7" w:history="1">
        <w:r w:rsidRPr="00477855" w:rsidR="009627D1">
          <w:rPr>
            <w:rStyle w:val="Hyperlink"/>
          </w:rPr>
          <w:t>Michael.Scott@fcc.gov</w:t>
        </w:r>
      </w:hyperlink>
      <w:r w:rsidRPr="00722514">
        <w:t>.</w:t>
      </w:r>
    </w:p>
    <w:p w:rsidR="00E831B0" w:rsidRPr="00722514" w:rsidP="007815D1" w14:paraId="58332AE3" w14:textId="006F2E1F">
      <w:pPr>
        <w:jc w:val="center"/>
        <w:rPr>
          <w:bCs/>
          <w:szCs w:val="22"/>
        </w:rPr>
      </w:pPr>
      <w:r w:rsidRPr="00722514">
        <w:rPr>
          <w:b/>
          <w:bCs/>
        </w:rPr>
        <w:t>-FCC-</w:t>
      </w:r>
    </w:p>
    <w:p w:rsidR="009D4CB3" w:rsidRPr="00722514" w14:paraId="7E7BBBD8" w14:textId="77777777">
      <w:pPr>
        <w:rPr>
          <w:szCs w:val="22"/>
        </w:rPr>
      </w:pPr>
      <w:bookmarkStart w:id="0" w:name="TOChere"/>
    </w:p>
    <w:p w:rsidR="009D4CB3" w:rsidRPr="00722514" w14:paraId="6BE242E1" w14:textId="77777777"/>
    <w:p w:rsidR="009D4CB3" w:rsidRPr="00722514" w14:paraId="622CA3DA" w14:textId="77777777"/>
    <w:bookmarkEnd w:id="0"/>
    <w:p w:rsidR="005E028B" w:rsidRPr="00722514" w14:paraId="6596D49C" w14:textId="77777777"/>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CB3" w14:paraId="1E0F1862" w14:textId="77777777">
    <w:pPr>
      <w:pStyle w:val="Footer"/>
      <w:framePr w:wrap="around" w:vAnchor="text" w:hAnchor="margin" w:xAlign="center" w:y="1"/>
    </w:pPr>
    <w:r>
      <w:fldChar w:fldCharType="begin"/>
    </w:r>
    <w:r>
      <w:instrText xml:space="preserve">PAGE  </w:instrText>
    </w:r>
    <w:r>
      <w:fldChar w:fldCharType="separate"/>
    </w:r>
    <w:r>
      <w:fldChar w:fldCharType="end"/>
    </w:r>
  </w:p>
  <w:p w:rsidR="009D4CB3" w14:paraId="442720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CB3" w14:paraId="572D40F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CB3" w14:paraId="1675F925"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2568" w14:paraId="4D8CCF1E" w14:textId="77777777">
      <w:r>
        <w:separator/>
      </w:r>
    </w:p>
  </w:footnote>
  <w:footnote w:type="continuationSeparator" w:id="1">
    <w:p w:rsidR="008F2568" w14:paraId="4F182A1D" w14:textId="77777777">
      <w:pPr>
        <w:rPr>
          <w:sz w:val="20"/>
        </w:rPr>
      </w:pPr>
      <w:r>
        <w:rPr>
          <w:sz w:val="20"/>
        </w:rPr>
        <w:t xml:space="preserve">(Continued from previous page)  </w:t>
      </w:r>
      <w:r>
        <w:rPr>
          <w:sz w:val="20"/>
        </w:rPr>
        <w:separator/>
      </w:r>
    </w:p>
  </w:footnote>
  <w:footnote w:type="continuationNotice" w:id="2">
    <w:p w:rsidR="008F2568" w14:paraId="44FDB5D5" w14:textId="77777777">
      <w:pPr>
        <w:jc w:val="right"/>
        <w:rPr>
          <w:sz w:val="20"/>
        </w:rPr>
      </w:pPr>
      <w:r>
        <w:rPr>
          <w:sz w:val="20"/>
        </w:rPr>
        <w:t>(continued….)</w:t>
      </w:r>
    </w:p>
  </w:footnote>
  <w:footnote w:id="3">
    <w:p w:rsidR="005E028B" w14:paraId="003F9BB1" w14:textId="34094053">
      <w:pPr>
        <w:pStyle w:val="FootnoteText"/>
      </w:pPr>
      <w:r>
        <w:rPr>
          <w:rStyle w:val="FootnoteReference"/>
        </w:rPr>
        <w:footnoteRef/>
      </w:r>
      <w:r>
        <w:t xml:space="preserve"> </w:t>
      </w:r>
      <w:r w:rsidR="00447593">
        <w:t xml:space="preserve">Petition of Sorenson Communications, LLC for Declaratory Ruling, CG Docket Nos. 10-51 and 03-123 (filed Dec. 23, 2021), </w:t>
      </w:r>
      <w:hyperlink r:id="rId1" w:history="1">
        <w:r w:rsidRPr="002A5B0B" w:rsidR="00447593">
          <w:rPr>
            <w:rStyle w:val="Hyperlink"/>
          </w:rPr>
          <w:t>https://ecfsapi.fcc.gov/file/122330636542/2021.12.23%20Sorenson%20PDR%20re%20Cost%20Allocation%20(public).pdf</w:t>
        </w:r>
      </w:hyperlink>
      <w:r w:rsidR="00447593">
        <w:t xml:space="preserve"> (Sorenson Petition) (redacted).  </w:t>
      </w:r>
    </w:p>
  </w:footnote>
  <w:footnote w:id="4">
    <w:p w:rsidR="00E831B0" w14:paraId="66D585F5" w14:textId="2EF25D6C">
      <w:pPr>
        <w:pStyle w:val="FootnoteText"/>
      </w:pPr>
      <w:r>
        <w:rPr>
          <w:rStyle w:val="FootnoteReference"/>
        </w:rPr>
        <w:footnoteRef/>
      </w:r>
      <w:r w:rsidR="00722514">
        <w:t xml:space="preserve">  Sorenson Petition at 1-2.</w:t>
      </w:r>
    </w:p>
  </w:footnote>
  <w:footnote w:id="5">
    <w:p w:rsidR="00E831B0" w:rsidP="00E831B0" w14:paraId="5F19A761" w14:textId="77777777">
      <w:pPr>
        <w:pStyle w:val="FootnoteText"/>
      </w:pPr>
      <w:r>
        <w:rPr>
          <w:rStyle w:val="FootnoteReference"/>
        </w:rPr>
        <w:footnoteRef/>
      </w:r>
      <w:r>
        <w:t xml:space="preserve"> </w:t>
      </w:r>
      <w:r>
        <w:rPr>
          <w:i/>
          <w:iCs/>
        </w:rPr>
        <w:t>See</w:t>
      </w:r>
      <w:r>
        <w:t xml:space="preserve"> </w:t>
      </w:r>
      <w:r>
        <w:rPr>
          <w:i/>
          <w:iCs/>
        </w:rPr>
        <w:t>Misuse of Internet Protocol (IP) Captioned Telephone Service</w:t>
      </w:r>
      <w:r w:rsidRPr="00E831B0">
        <w:t>;</w:t>
      </w:r>
      <w:r>
        <w:rPr>
          <w:i/>
          <w:iCs/>
        </w:rPr>
        <w:t xml:space="preserve"> Structure and Practices of the Video Relay Service Program</w:t>
      </w:r>
      <w:r w:rsidRPr="00E831B0">
        <w:t xml:space="preserve">; </w:t>
      </w:r>
      <w:r>
        <w:rPr>
          <w:i/>
          <w:iCs/>
        </w:rPr>
        <w:t>Telecommunications Relay Services and Speech-to-Speech Services for Individuals with Hearing and Speech Disabilities</w:t>
      </w:r>
      <w:r>
        <w:t>, CG Docket Nos. 13-24, 10-51, and 03-123, Order and Third Protective Order, 33 FCC Rcd 6802, 6803, para. 4 (CGB 2018).</w:t>
      </w:r>
    </w:p>
  </w:footnote>
  <w:footnote w:id="6">
    <w:p w:rsidR="00E831B0" w:rsidP="00E831B0" w14:paraId="3845C93B" w14:textId="00650B1F">
      <w:pPr>
        <w:pStyle w:val="FootnoteText"/>
      </w:pPr>
      <w:r>
        <w:rPr>
          <w:rStyle w:val="FootnoteReference"/>
        </w:rPr>
        <w:footnoteRef/>
      </w:r>
      <w:r>
        <w:t xml:space="preserve"> </w:t>
      </w:r>
      <w:r>
        <w:rPr>
          <w:i/>
          <w:iCs/>
        </w:rPr>
        <w:t xml:space="preserve">See </w:t>
      </w:r>
      <w:r>
        <w:t>47 CFR §§ 1.1, 1.2(b), 1.45.</w:t>
      </w:r>
    </w:p>
  </w:footnote>
  <w:footnote w:id="7">
    <w:p w:rsidR="00E831B0" w:rsidP="00E831B0" w14:paraId="6845AA35" w14:textId="77777777">
      <w:pPr>
        <w:pStyle w:val="FootnoteText"/>
      </w:pPr>
      <w:r>
        <w:rPr>
          <w:rStyle w:val="FootnoteReference"/>
        </w:rPr>
        <w:footnoteRef/>
      </w:r>
      <w:r>
        <w:t xml:space="preserve"> </w:t>
      </w:r>
      <w:r>
        <w:rPr>
          <w:rFonts w:eastAsia="Calibri"/>
          <w:i/>
          <w:iCs/>
        </w:rPr>
        <w:t>See</w:t>
      </w:r>
      <w:r>
        <w:rPr>
          <w:rFonts w:eastAsia="Calibri"/>
        </w:rPr>
        <w:t xml:space="preserve"> FCC, Electronic Filing of Documents in Rulemaking Proceedings, 63 Fed. Reg. 24121 (May 1, 1998).</w:t>
      </w:r>
    </w:p>
  </w:footnote>
  <w:footnote w:id="8">
    <w:p w:rsidR="00E831B0" w:rsidP="00E831B0" w14:paraId="539FA1EC" w14:textId="77777777">
      <w:pPr>
        <w:pStyle w:val="FootnoteText"/>
      </w:pPr>
      <w:r>
        <w:rPr>
          <w:rStyle w:val="FootnoteReference"/>
        </w:rPr>
        <w:footnoteRef/>
      </w:r>
      <w:r>
        <w:t xml:space="preserve"> </w:t>
      </w:r>
      <w:r>
        <w:rPr>
          <w:i/>
          <w:iCs/>
        </w:rPr>
        <w:t>See FCC Announces Closure of FCC Headquarters Open Window and Change in Hand-Delivery Policy</w:t>
      </w:r>
      <w:r>
        <w:t xml:space="preserve">, Public Notice, 35 FCC Rcd 2788 (OMD 2020), </w:t>
      </w:r>
      <w:hyperlink r:id="rId2" w:history="1">
        <w:r>
          <w:rPr>
            <w:rStyle w:val="Hyperlink"/>
          </w:rPr>
          <w:t>https://www.fcc.gov/document/fcc-closesheadquarters-open-window-and-changes-hand-delivery-policy</w:t>
        </w:r>
      </w:hyperlink>
      <w:r>
        <w:t xml:space="preserve">. </w:t>
      </w:r>
    </w:p>
  </w:footnote>
  <w:footnote w:id="9">
    <w:p w:rsidR="00E831B0" w:rsidP="00E831B0" w14:paraId="2E13BF70" w14:textId="77777777">
      <w:pPr>
        <w:pStyle w:val="FootnoteText"/>
        <w:rPr>
          <w:i/>
          <w:iCs/>
        </w:rPr>
      </w:pPr>
      <w:r>
        <w:rPr>
          <w:rStyle w:val="FootnoteReference"/>
        </w:rPr>
        <w:footnoteRef/>
      </w:r>
      <w:r>
        <w:t xml:space="preserve"> 47 CFR § 1.1200 </w:t>
      </w:r>
      <w:r>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CB3" w14:paraId="76F66D3B" w14:textId="026B3FA8">
    <w:pPr>
      <w:tabs>
        <w:tab w:val="center" w:pos="4680"/>
        <w:tab w:val="right" w:pos="9360"/>
      </w:tabs>
    </w:pPr>
    <w:r>
      <w:rPr>
        <w:b/>
      </w:rPr>
      <w:tab/>
      <w:t>Federal Communications Commission</w:t>
    </w:r>
    <w:r>
      <w:rPr>
        <w:b/>
      </w:rPr>
      <w:tab/>
    </w:r>
    <w:r w:rsidR="00C714F3">
      <w:rPr>
        <w:b/>
      </w:rPr>
      <w:t>D</w:t>
    </w:r>
    <w:r w:rsidR="00DE477C">
      <w:rPr>
        <w:b/>
      </w:rPr>
      <w:t>A 21-1651</w:t>
    </w:r>
  </w:p>
  <w:p w:rsidR="009D4CB3" w14:paraId="66C9737B"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9D4CB3" w14:paraId="59602A0C"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CB3" w14:paraId="5848EC2D"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pt;height:1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Times New Roman Bold"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Times New Roman Bold" w:hint="default"/>
      </w:rPr>
    </w:lvl>
    <w:lvl w:ilvl="8">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9"/>
  </w:num>
  <w:num w:numId="3">
    <w:abstractNumId w:val="6"/>
  </w:num>
  <w:num w:numId="4">
    <w:abstractNumId w:val="7"/>
  </w:num>
  <w:num w:numId="5">
    <w:abstractNumId w:val="5"/>
  </w:num>
  <w:num w:numId="6">
    <w:abstractNumId w:val="2"/>
  </w:num>
  <w:num w:numId="7">
    <w:abstractNumId w:val="9"/>
    <w:lvlOverride w:ilvl="0">
      <w:startOverride w:val="1"/>
    </w:lvlOverride>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8B"/>
    <w:rsid w:val="00071E0B"/>
    <w:rsid w:val="000B13C5"/>
    <w:rsid w:val="001C3574"/>
    <w:rsid w:val="002A5B0B"/>
    <w:rsid w:val="0030018A"/>
    <w:rsid w:val="00332BE3"/>
    <w:rsid w:val="003A0018"/>
    <w:rsid w:val="003A7993"/>
    <w:rsid w:val="00447593"/>
    <w:rsid w:val="00454597"/>
    <w:rsid w:val="00477855"/>
    <w:rsid w:val="004F65CE"/>
    <w:rsid w:val="005E028B"/>
    <w:rsid w:val="00722514"/>
    <w:rsid w:val="007815D1"/>
    <w:rsid w:val="00785D86"/>
    <w:rsid w:val="007F26BA"/>
    <w:rsid w:val="0086586D"/>
    <w:rsid w:val="008F2568"/>
    <w:rsid w:val="00900DB8"/>
    <w:rsid w:val="009627D1"/>
    <w:rsid w:val="009D4CB3"/>
    <w:rsid w:val="00A23533"/>
    <w:rsid w:val="00BD55F8"/>
    <w:rsid w:val="00C714F3"/>
    <w:rsid w:val="00D44239"/>
    <w:rsid w:val="00DC76B5"/>
    <w:rsid w:val="00DE477C"/>
    <w:rsid w:val="00E15D3F"/>
    <w:rsid w:val="00E30429"/>
    <w:rsid w:val="00E831B0"/>
    <w:rsid w:val="00E95CE3"/>
    <w:rsid w:val="00F4254F"/>
    <w:rsid w:val="00F47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E6D414"/>
  <w15:chartTrackingRefBased/>
  <w15:docId w15:val="{77AF1A29-189B-403F-BC5F-7D147AFA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1"/>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2 Char Char2 Char2 Char Char,Footnote Text Char4 Char Char1 Char Char,Footnote Text Char5 Char,Footnote Text Char5 Char Char,f,fn"/>
    <w:link w:val="FootnoteTextChar"/>
    <w:uiPriority w:val="99"/>
    <w:semiHidden/>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semiHidden/>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
    <w:name w:val="Footnote Text Char"/>
    <w:aliases w:val="ALTS FOOTNOTE Char,Footnote Text Char Char Char,Footnote Text Char Char Char Char Char,Footnote Text Char2 Char Char2 Char2 Char Char Char,Footnote Text Char4 Char Char1 Char Char Char,Footnote Text Char5 Char Char1,f Char,fn Char"/>
    <w:basedOn w:val="DefaultParagraphFont"/>
    <w:link w:val="FootnoteText"/>
    <w:uiPriority w:val="99"/>
    <w:semiHidden/>
    <w:locked/>
    <w:rsid w:val="00E831B0"/>
  </w:style>
  <w:style w:type="character" w:customStyle="1" w:styleId="ParaNumChar1">
    <w:name w:val="ParaNum Char1"/>
    <w:link w:val="ParaNum"/>
    <w:locked/>
    <w:rsid w:val="00E831B0"/>
    <w:rPr>
      <w:snapToGrid w:val="0"/>
      <w:kern w:val="28"/>
      <w:sz w:val="22"/>
    </w:rPr>
  </w:style>
  <w:style w:type="numbering" w:customStyle="1" w:styleId="StyleBulletedLatinCourierNewLeft075Hanging0252">
    <w:name w:val="Style Bulleted (Latin) Courier New Left:  0.75&quot; Hanging:  0.25&quot;...2"/>
    <w:rsid w:val="00E831B0"/>
    <w:pPr>
      <w:numPr>
        <w:numId w:val="11"/>
      </w:numPr>
    </w:pPr>
  </w:style>
  <w:style w:type="character" w:styleId="CommentReference">
    <w:name w:val="annotation reference"/>
    <w:uiPriority w:val="99"/>
    <w:semiHidden/>
    <w:unhideWhenUsed/>
    <w:rsid w:val="000B13C5"/>
    <w:rPr>
      <w:sz w:val="16"/>
      <w:szCs w:val="16"/>
    </w:rPr>
  </w:style>
  <w:style w:type="paragraph" w:styleId="CommentText">
    <w:name w:val="annotation text"/>
    <w:basedOn w:val="Normal"/>
    <w:link w:val="CommentTextChar"/>
    <w:uiPriority w:val="99"/>
    <w:semiHidden/>
    <w:unhideWhenUsed/>
    <w:rsid w:val="000B13C5"/>
    <w:rPr>
      <w:sz w:val="20"/>
    </w:rPr>
  </w:style>
  <w:style w:type="character" w:customStyle="1" w:styleId="CommentTextChar">
    <w:name w:val="Comment Text Char"/>
    <w:link w:val="CommentText"/>
    <w:uiPriority w:val="99"/>
    <w:semiHidden/>
    <w:rsid w:val="000B13C5"/>
    <w:rPr>
      <w:snapToGrid w:val="0"/>
      <w:kern w:val="28"/>
    </w:rPr>
  </w:style>
  <w:style w:type="paragraph" w:styleId="CommentSubject">
    <w:name w:val="annotation subject"/>
    <w:basedOn w:val="CommentText"/>
    <w:next w:val="CommentText"/>
    <w:link w:val="CommentSubjectChar"/>
    <w:uiPriority w:val="99"/>
    <w:semiHidden/>
    <w:unhideWhenUsed/>
    <w:rsid w:val="000B13C5"/>
    <w:rPr>
      <w:b/>
      <w:bCs/>
    </w:rPr>
  </w:style>
  <w:style w:type="character" w:customStyle="1" w:styleId="CommentSubjectChar">
    <w:name w:val="Comment Subject Char"/>
    <w:link w:val="CommentSubject"/>
    <w:uiPriority w:val="99"/>
    <w:semiHidden/>
    <w:rsid w:val="000B13C5"/>
    <w:rPr>
      <w:b/>
      <w:bCs/>
      <w:snapToGrid w:val="0"/>
      <w:kern w:val="28"/>
    </w:rPr>
  </w:style>
  <w:style w:type="character" w:styleId="FollowedHyperlink">
    <w:name w:val="FollowedHyperlink"/>
    <w:uiPriority w:val="99"/>
    <w:semiHidden/>
    <w:unhideWhenUsed/>
    <w:rsid w:val="003A799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ecfsapi.fcc.gov/file/122330636542/2021.12.23%20Sorenson%20PDR%20re%20Cost%20Allocation%20(public).pdf" TargetMode="External" /><Relationship Id="rId2" Type="http://schemas.openxmlformats.org/officeDocument/2006/relationships/hyperlink" Target="https://www.fcc.gov/document/fcc-closesheadquarters-open-window-and-changes-hand-delivery-policy"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