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0.0 -->
  <w:body>
    <w:p w:rsidR="00FF77E5" w:rsidRPr="0007343A" w14:paraId="3F0F40A7" w14:textId="655A8EBC">
      <w:pPr>
        <w:jc w:val="right"/>
        <w:rPr>
          <w:b/>
          <w:szCs w:val="22"/>
        </w:rPr>
      </w:pPr>
      <w:r w:rsidRPr="009A1479">
        <w:rPr>
          <w:b/>
          <w:szCs w:val="22"/>
        </w:rPr>
        <w:t>DA 21</w:t>
      </w:r>
      <w:r w:rsidRPr="0007343A">
        <w:rPr>
          <w:b/>
          <w:szCs w:val="22"/>
        </w:rPr>
        <w:t>-</w:t>
      </w:r>
      <w:r w:rsidRPr="0007343A" w:rsidR="002716C6">
        <w:rPr>
          <w:b/>
          <w:szCs w:val="22"/>
        </w:rPr>
        <w:t>341</w:t>
      </w:r>
    </w:p>
    <w:p w:rsidR="00FF77E5" w:rsidRPr="009A1479" w14:paraId="47302BBF" w14:textId="5E22B2EA">
      <w:pPr>
        <w:spacing w:before="60"/>
        <w:jc w:val="right"/>
        <w:rPr>
          <w:b/>
          <w:szCs w:val="22"/>
        </w:rPr>
      </w:pPr>
      <w:r w:rsidRPr="0007343A">
        <w:rPr>
          <w:b/>
          <w:szCs w:val="22"/>
        </w:rPr>
        <w:t xml:space="preserve">Released:  </w:t>
      </w:r>
      <w:r w:rsidRPr="0007343A" w:rsidR="00157099">
        <w:rPr>
          <w:b/>
          <w:szCs w:val="22"/>
        </w:rPr>
        <w:t xml:space="preserve">March </w:t>
      </w:r>
      <w:r w:rsidRPr="0007343A" w:rsidR="0007343A">
        <w:rPr>
          <w:b/>
          <w:szCs w:val="22"/>
        </w:rPr>
        <w:t>23</w:t>
      </w:r>
      <w:r w:rsidRPr="0007343A" w:rsidR="00B21D25">
        <w:rPr>
          <w:b/>
          <w:szCs w:val="22"/>
        </w:rPr>
        <w:t>,</w:t>
      </w:r>
      <w:r w:rsidRPr="0007343A" w:rsidR="00157099">
        <w:rPr>
          <w:b/>
          <w:szCs w:val="22"/>
        </w:rPr>
        <w:t xml:space="preserve"> 2</w:t>
      </w:r>
      <w:bookmarkStart w:id="0" w:name="_GoBack"/>
      <w:bookmarkEnd w:id="0"/>
      <w:r w:rsidRPr="009A1479" w:rsidR="00157099">
        <w:rPr>
          <w:b/>
          <w:szCs w:val="22"/>
        </w:rPr>
        <w:t>021</w:t>
      </w:r>
    </w:p>
    <w:p w:rsidR="00FF77E5" w:rsidRPr="009A1479" w14:paraId="1E0B1980" w14:textId="77777777">
      <w:pPr>
        <w:jc w:val="right"/>
        <w:rPr>
          <w:szCs w:val="22"/>
        </w:rPr>
      </w:pPr>
    </w:p>
    <w:p w:rsidR="00FF77E5" w:rsidRPr="009A1479" w14:paraId="2ADE188C" w14:textId="77777777">
      <w:pPr>
        <w:spacing w:after="240"/>
        <w:jc w:val="center"/>
        <w:rPr>
          <w:b/>
          <w:caps/>
          <w:szCs w:val="22"/>
        </w:rPr>
      </w:pPr>
      <w:r w:rsidRPr="009A1479">
        <w:rPr>
          <w:b/>
          <w:caps/>
          <w:szCs w:val="22"/>
        </w:rPr>
        <w:t>Comment dates on proposal to expand the TRS Fund Contribution base for support of VRS and IP Relay</w:t>
      </w:r>
    </w:p>
    <w:p w:rsidR="00FF77E5" w:rsidRPr="009A1479" w14:paraId="25606C8E" w14:textId="77777777">
      <w:pPr>
        <w:jc w:val="center"/>
        <w:rPr>
          <w:b/>
          <w:szCs w:val="22"/>
        </w:rPr>
      </w:pPr>
      <w:r w:rsidRPr="009A1479">
        <w:rPr>
          <w:b/>
          <w:szCs w:val="22"/>
        </w:rPr>
        <w:t>CG Docket Nos. 03-123, 10-51, and 12-38</w:t>
      </w:r>
    </w:p>
    <w:p w:rsidR="00157099" w:rsidRPr="009A1479" w:rsidP="00157099" w14:paraId="7F31582D" w14:textId="77777777">
      <w:pPr>
        <w:rPr>
          <w:b/>
          <w:szCs w:val="22"/>
        </w:rPr>
      </w:pPr>
    </w:p>
    <w:p w:rsidR="00157099" w:rsidRPr="009A1479" w:rsidP="00157099" w14:paraId="2310B953" w14:textId="77777777">
      <w:pPr>
        <w:rPr>
          <w:b/>
          <w:szCs w:val="22"/>
        </w:rPr>
      </w:pPr>
      <w:r w:rsidRPr="009A1479">
        <w:rPr>
          <w:b/>
          <w:szCs w:val="22"/>
        </w:rPr>
        <w:t>Comment Date:  April 19, 2021</w:t>
      </w:r>
    </w:p>
    <w:p w:rsidR="00157099" w:rsidRPr="009A1479" w:rsidP="00157099" w14:paraId="53A26C1C" w14:textId="77777777">
      <w:pPr>
        <w:rPr>
          <w:b/>
          <w:szCs w:val="22"/>
        </w:rPr>
      </w:pPr>
      <w:r w:rsidRPr="009A1479">
        <w:rPr>
          <w:b/>
          <w:szCs w:val="22"/>
        </w:rPr>
        <w:t>Reply Comment Date:  May 3, 2021</w:t>
      </w:r>
    </w:p>
    <w:p w:rsidR="00157099" w:rsidRPr="009A1479" w:rsidP="00157099" w14:paraId="191A488A" w14:textId="77777777">
      <w:pPr>
        <w:rPr>
          <w:sz w:val="24"/>
        </w:rPr>
      </w:pPr>
      <w:bookmarkStart w:id="1" w:name="TOChere"/>
    </w:p>
    <w:p w:rsidR="00157099" w:rsidRPr="009A1479" w:rsidP="009A1479" w14:paraId="205D8BDC" w14:textId="604B60CC">
      <w:pPr>
        <w:spacing w:after="120"/>
        <w:ind w:firstLine="720"/>
        <w:rPr>
          <w:szCs w:val="22"/>
        </w:rPr>
      </w:pPr>
      <w:bookmarkStart w:id="2" w:name="_Hlk67042465"/>
      <w:bookmarkEnd w:id="1"/>
      <w:r w:rsidRPr="009A1479">
        <w:rPr>
          <w:szCs w:val="22"/>
        </w:rPr>
        <w:t>On November 20, 2020, the Federal Communications Commission (Commission) released a Notice of Proposed Rulemaking</w:t>
      </w:r>
      <w:r w:rsidRPr="009A1479" w:rsidR="00B21D25">
        <w:rPr>
          <w:szCs w:val="22"/>
        </w:rPr>
        <w:t xml:space="preserve"> (NPRM)</w:t>
      </w:r>
      <w:r w:rsidRPr="009A1479">
        <w:rPr>
          <w:szCs w:val="22"/>
        </w:rPr>
        <w:t xml:space="preserve"> </w:t>
      </w:r>
      <w:r w:rsidRPr="009A1479" w:rsidR="00B21D25">
        <w:rPr>
          <w:szCs w:val="22"/>
        </w:rPr>
        <w:t xml:space="preserve">proposing to expand the telecommunications relay service (TRS) Fund contribution base for support of video relay service (VRS) and </w:t>
      </w:r>
      <w:r w:rsidR="00DE3822">
        <w:rPr>
          <w:szCs w:val="22"/>
        </w:rPr>
        <w:t>I</w:t>
      </w:r>
      <w:r w:rsidRPr="009A1479" w:rsidR="00B21D25">
        <w:rPr>
          <w:szCs w:val="22"/>
        </w:rPr>
        <w:t>nternet Protocol (IP) Relay to include intrastate</w:t>
      </w:r>
      <w:r w:rsidR="000F216C">
        <w:rPr>
          <w:szCs w:val="22"/>
        </w:rPr>
        <w:t>,</w:t>
      </w:r>
      <w:r w:rsidR="00E02177">
        <w:rPr>
          <w:szCs w:val="22"/>
        </w:rPr>
        <w:t xml:space="preserve"> in addition to</w:t>
      </w:r>
      <w:r w:rsidRPr="009A1479" w:rsidR="00B21D25">
        <w:rPr>
          <w:szCs w:val="22"/>
        </w:rPr>
        <w:t xml:space="preserve"> interstate, end-user revenues from providers of telecommunications and Voice over IP (VoIP) services</w:t>
      </w:r>
      <w:r w:rsidRPr="009A1479">
        <w:rPr>
          <w:color w:val="1D2B3E"/>
        </w:rPr>
        <w:t>.</w:t>
      </w:r>
      <w:bookmarkEnd w:id="2"/>
      <w:r>
        <w:rPr>
          <w:rStyle w:val="FootnoteReference"/>
        </w:rPr>
        <w:footnoteReference w:id="3"/>
      </w:r>
      <w:r w:rsidRPr="009A1479">
        <w:rPr>
          <w:color w:val="1D2B3E"/>
        </w:rPr>
        <w:t xml:space="preserve">  </w:t>
      </w:r>
      <w:r w:rsidRPr="009A1479">
        <w:t>Comments on the NPRM are due 30 days after publication in the Federal Register, and reply comments are due 45 days after such publication.</w:t>
      </w:r>
      <w:r>
        <w:rPr>
          <w:rStyle w:val="FootnoteReference"/>
        </w:rPr>
        <w:footnoteReference w:id="4"/>
      </w:r>
    </w:p>
    <w:p w:rsidR="00157099" w:rsidRPr="009A1479" w:rsidP="009A1479" w14:paraId="3FCB3377" w14:textId="77777777">
      <w:pPr>
        <w:spacing w:after="120"/>
        <w:ind w:firstLine="720"/>
        <w:rPr>
          <w:szCs w:val="22"/>
        </w:rPr>
      </w:pPr>
      <w:r w:rsidRPr="009A1479">
        <w:rPr>
          <w:szCs w:val="22"/>
        </w:rPr>
        <w:t>On March 19, 2021, a summary of the NPRM was published in the Federal Register.</w:t>
      </w:r>
      <w:r>
        <w:rPr>
          <w:rStyle w:val="FootnoteReference"/>
          <w:szCs w:val="22"/>
        </w:rPr>
        <w:footnoteReference w:id="5"/>
      </w:r>
      <w:r w:rsidRPr="009A1479">
        <w:rPr>
          <w:szCs w:val="22"/>
        </w:rPr>
        <w:t xml:space="preserve">  Accordingly, comments on the NPRM must be filed by </w:t>
      </w:r>
      <w:r w:rsidR="00DE3822">
        <w:t>April 19</w:t>
      </w:r>
      <w:r w:rsidRPr="009A1479">
        <w:t xml:space="preserve">, 2021, and reply comments must be filed by </w:t>
      </w:r>
      <w:r w:rsidR="00DE3822">
        <w:t>May 3</w:t>
      </w:r>
      <w:r w:rsidRPr="009A1479">
        <w:t>, 2021.</w:t>
      </w:r>
      <w:r w:rsidRPr="009A1479">
        <w:rPr>
          <w:szCs w:val="22"/>
        </w:rPr>
        <w:t xml:space="preserve"> </w:t>
      </w:r>
    </w:p>
    <w:p w:rsidR="00157099" w:rsidRPr="009A1479" w:rsidP="009A1479" w14:paraId="71822D13" w14:textId="77777777">
      <w:pPr>
        <w:spacing w:after="120"/>
        <w:ind w:firstLine="720"/>
        <w:rPr>
          <w:szCs w:val="22"/>
        </w:rPr>
      </w:pPr>
      <w:r w:rsidRPr="009A1479">
        <w:rPr>
          <w:szCs w:val="22"/>
        </w:rPr>
        <w:t xml:space="preserve">To request materials in accessible formats for people with disabilities (Braille, large print, electronic files, audio format), send an e-mail to </w:t>
      </w:r>
      <w:hyperlink r:id="rId5" w:history="1">
        <w:r w:rsidRPr="009A1479">
          <w:rPr>
            <w:rStyle w:val="Hyperlink"/>
            <w:szCs w:val="22"/>
          </w:rPr>
          <w:t>fcc504@fcc.gov</w:t>
        </w:r>
      </w:hyperlink>
      <w:r w:rsidRPr="009A1479">
        <w:rPr>
          <w:szCs w:val="22"/>
        </w:rPr>
        <w:t xml:space="preserve"> or call the Consumer and Governmental Affairs Bureau at 202-418-0530 (voice).</w:t>
      </w:r>
    </w:p>
    <w:p w:rsidR="00157099" w:rsidRPr="009A1479" w:rsidP="009A1479" w14:paraId="2A0831BB" w14:textId="77777777">
      <w:pPr>
        <w:pStyle w:val="BodyText"/>
        <w:widowControl/>
        <w:rPr>
          <w:szCs w:val="22"/>
        </w:rPr>
      </w:pPr>
      <w:r w:rsidRPr="009A1479">
        <w:rPr>
          <w:szCs w:val="22"/>
        </w:rPr>
        <w:t>For further information, please contact Michael Scott at (202) 418-</w:t>
      </w:r>
      <w:r w:rsidR="0094093B">
        <w:rPr>
          <w:szCs w:val="22"/>
        </w:rPr>
        <w:t>1264</w:t>
      </w:r>
      <w:r w:rsidRPr="009A1479">
        <w:rPr>
          <w:szCs w:val="22"/>
        </w:rPr>
        <w:t xml:space="preserve">, or </w:t>
      </w:r>
      <w:hyperlink r:id="rId6" w:history="1">
        <w:r w:rsidRPr="009A1479">
          <w:rPr>
            <w:rStyle w:val="Hyperlink"/>
          </w:rPr>
          <w:t>Michael.Scott@fcc.gov</w:t>
        </w:r>
      </w:hyperlink>
      <w:r w:rsidRPr="009A1479">
        <w:t xml:space="preserve">, </w:t>
      </w:r>
      <w:r w:rsidRPr="009A1479">
        <w:rPr>
          <w:szCs w:val="22"/>
        </w:rPr>
        <w:t>or the Commission’s American Sign Language</w:t>
      </w:r>
      <w:r w:rsidR="00622DD2">
        <w:rPr>
          <w:szCs w:val="22"/>
        </w:rPr>
        <w:t xml:space="preserve"> (ASL) Custom</w:t>
      </w:r>
      <w:r w:rsidRPr="009A1479">
        <w:rPr>
          <w:szCs w:val="22"/>
        </w:rPr>
        <w:t>er Support Line at (844) 432-2275 (videophone).</w:t>
      </w:r>
    </w:p>
    <w:p w:rsidR="00157099" w:rsidRPr="009A1479" w:rsidP="00157099" w14:paraId="1768A848" w14:textId="77777777">
      <w:pPr>
        <w:pStyle w:val="BodyText"/>
        <w:widowControl/>
        <w:ind w:firstLine="0"/>
        <w:jc w:val="center"/>
        <w:rPr>
          <w:b/>
          <w:bCs/>
          <w:szCs w:val="22"/>
        </w:rPr>
      </w:pPr>
      <w:r w:rsidRPr="009A1479">
        <w:rPr>
          <w:b/>
          <w:bCs/>
          <w:szCs w:val="22"/>
        </w:rPr>
        <w:t>-FCC-</w:t>
      </w:r>
    </w:p>
    <w:p w:rsidR="00157099" w:rsidRPr="009A1479" w14:paraId="250C815D" w14:textId="77777777">
      <w:pPr>
        <w:rPr>
          <w:bCs/>
          <w:szCs w:val="22"/>
        </w:rPr>
      </w:pPr>
    </w:p>
    <w:sectPr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1440" w:bottom="720" w:left="1440" w:header="63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7E5" w14:paraId="6CB9CB9E" w14:textId="77777777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FF77E5" w14:paraId="2EC54B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7E5" w14:paraId="2C74378D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7E5" w14:paraId="23A04C17" w14:textId="77777777">
    <w:pPr>
      <w:pStyle w:val="Footer"/>
      <w:tabs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301DF" w14:paraId="07C19097" w14:textId="77777777">
      <w:r>
        <w:separator/>
      </w:r>
    </w:p>
  </w:footnote>
  <w:footnote w:type="continuationSeparator" w:id="1">
    <w:p w:rsidR="004301DF" w14:paraId="22A025D5" w14:textId="77777777">
      <w:pPr>
        <w:rPr>
          <w:sz w:val="20"/>
        </w:rPr>
      </w:pPr>
      <w:r>
        <w:rPr>
          <w:sz w:val="20"/>
        </w:rPr>
        <w:t xml:space="preserve">(Continued from previous page)  </w:t>
      </w:r>
      <w:r>
        <w:rPr>
          <w:sz w:val="20"/>
        </w:rPr>
        <w:separator/>
      </w:r>
    </w:p>
  </w:footnote>
  <w:footnote w:type="continuationNotice" w:id="2">
    <w:p w:rsidR="004301DF" w14:paraId="231CA12E" w14:textId="77777777">
      <w:pPr>
        <w:jc w:val="right"/>
        <w:rPr>
          <w:sz w:val="20"/>
        </w:rPr>
      </w:pPr>
      <w:r>
        <w:rPr>
          <w:sz w:val="20"/>
        </w:rPr>
        <w:t>(continued….)</w:t>
      </w:r>
    </w:p>
  </w:footnote>
  <w:footnote w:id="3">
    <w:p w:rsidR="00157099" w:rsidP="00157099" w14:paraId="196FFAED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Telecommunications Relay Services and Speech-to-Speech Services for Individuals with Hearing and Speech Disabilities; Structure and Practices of the Video Relay Service Program</w:t>
      </w:r>
      <w:r>
        <w:t xml:space="preserve">; </w:t>
      </w:r>
      <w:r>
        <w:rPr>
          <w:i/>
          <w:iCs/>
        </w:rPr>
        <w:t>Misuse of Internet Protocol Relay Service</w:t>
      </w:r>
      <w:r>
        <w:t xml:space="preserve">, CG Docket Nos. 03-123, 10-51, and 12-38, Notice of Proposed Rulemaking, 35 FCC </w:t>
      </w:r>
      <w:r>
        <w:t>Rcd</w:t>
      </w:r>
      <w:r>
        <w:t xml:space="preserve"> 13370 (2020).</w:t>
      </w:r>
    </w:p>
  </w:footnote>
  <w:footnote w:id="4">
    <w:p w:rsidR="00157099" w:rsidRPr="000D6B24" w:rsidP="00157099" w14:paraId="77FA164F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Id. </w:t>
      </w:r>
      <w:r>
        <w:t>at 13378, para. 25.</w:t>
      </w:r>
    </w:p>
  </w:footnote>
  <w:footnote w:id="5">
    <w:p w:rsidR="00157099" w:rsidP="00157099" w14:paraId="5036C817" w14:textId="77777777">
      <w:pPr>
        <w:pStyle w:val="FootnoteText"/>
      </w:pPr>
      <w:r>
        <w:rPr>
          <w:rStyle w:val="FootnoteReference"/>
        </w:rPr>
        <w:footnoteRef/>
      </w:r>
      <w:r>
        <w:t xml:space="preserve"> FCC, TRS Fund Contributions, 86 Fed. Reg. 14862 (Mar. 19, 2021).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7E5" w14:paraId="63B7718D" w14:textId="77777777">
    <w:pPr>
      <w:tabs>
        <w:tab w:val="center" w:pos="4680"/>
        <w:tab w:val="right" w:pos="9360"/>
      </w:tabs>
    </w:pPr>
    <w:r>
      <w:rPr>
        <w:b/>
      </w:rPr>
      <w:tab/>
      <w:t>Federal Communications Commission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MACROBUTTON  AcceptAllChangesShown "FCC/DA  XX-XXX" </w:instrText>
    </w:r>
    <w:r>
      <w:rPr>
        <w:b/>
      </w:rPr>
      <w:fldChar w:fldCharType="end"/>
    </w:r>
  </w:p>
  <w:p w:rsidR="00FF77E5" w14:paraId="0F8C0AEA" w14:textId="77777777">
    <w:pPr>
      <w:tabs>
        <w:tab w:val="left" w:pos="-720"/>
      </w:tabs>
      <w:suppressAutoHyphens/>
      <w:spacing w:line="19" w:lineRule="exact"/>
      <w:rPr>
        <w:spacing w:val="-2"/>
      </w:rPr>
    </w:pPr>
    <w:r>
      <w:rPr>
        <w:noProof/>
      </w:rPr>
      <w:pict>
        <v:rect id="Rectangle 15" o:spid="_x0000_s2049" style="width:468pt;height:0.95pt;margin-top:0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8240" o:allowincell="f" fillcolor="black" stroked="f" strokeweight="0.05pt">
          <w10:wrap anchorx="margin"/>
        </v:rect>
      </w:pict>
    </w:r>
  </w:p>
  <w:p w:rsidR="00FF77E5" w14:paraId="0A8B5A93" w14:textId="77777777">
    <w:pPr>
      <w:spacing w:before="40"/>
      <w:rPr>
        <w:rFonts w:ascii="Arial" w:hAnsi="Arial" w:cs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7E5" w14:paraId="3A8FC302" w14:textId="77777777">
    <w:pPr>
      <w:pStyle w:val="Header"/>
      <w:rPr>
        <w:noProof/>
        <w:snapToGrid/>
      </w:rPr>
    </w:pPr>
    <w:r>
      <w:rPr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2050" type="#_x0000_t75" style="width:517.5pt;height:111pt;mso-height-percent:0;mso-width-percent:0;visibility:visible">
          <v:imagedata r:id="rId1" o:title=""/>
        </v:shape>
      </w:pict>
    </w:r>
  </w:p>
  <w:p w:rsidR="00FF77E5" w14:paraId="3838F5ED" w14:textId="7777777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B453C"/>
    <w:multiLevelType w:val="singleLevel"/>
    <w:tmpl w:val="40A8E97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>
    <w:nsid w:val="23F40A0F"/>
    <w:multiLevelType w:val="singleLevel"/>
    <w:tmpl w:val="3244DD0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8246F3"/>
    <w:multiLevelType w:val="singleLevel"/>
    <w:tmpl w:val="B1F4567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>
    <w:nsid w:val="27E06CBB"/>
    <w:multiLevelType w:val="multilevel"/>
    <w:tmpl w:val="F1A8698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4DF61CE4"/>
    <w:multiLevelType w:val="multilevel"/>
    <w:tmpl w:val="F1A869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61182925"/>
    <w:multiLevelType w:val="singleLevel"/>
    <w:tmpl w:val="D180CED0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  <w:footnote w:id="2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99"/>
    <w:rsid w:val="0007343A"/>
    <w:rsid w:val="000D6B24"/>
    <w:rsid w:val="000F216C"/>
    <w:rsid w:val="00157099"/>
    <w:rsid w:val="002716C6"/>
    <w:rsid w:val="002C7FB1"/>
    <w:rsid w:val="004301DF"/>
    <w:rsid w:val="00617C29"/>
    <w:rsid w:val="00622DD2"/>
    <w:rsid w:val="00703217"/>
    <w:rsid w:val="008C073B"/>
    <w:rsid w:val="0094093B"/>
    <w:rsid w:val="009A1479"/>
    <w:rsid w:val="00B21D25"/>
    <w:rsid w:val="00DE3822"/>
    <w:rsid w:val="00E02177"/>
    <w:rsid w:val="00FF77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BCF3FCC-1094-4A28-85C2-EBF37CA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kern w:val="28"/>
      <w:sz w:val="22"/>
    </w:rPr>
  </w:style>
  <w:style w:type="paragraph" w:styleId="Heading1">
    <w:name w:val="heading 1"/>
    <w:basedOn w:val="Normal"/>
    <w:next w:val="ParaNum"/>
    <w:qFormat/>
    <w:pPr>
      <w:keepNext/>
      <w:numPr>
        <w:numId w:val="3"/>
      </w:numPr>
      <w:tabs>
        <w:tab w:val="left" w:pos="720"/>
      </w:tabs>
      <w:suppressAutoHyphens/>
      <w:spacing w:after="120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ParaNum"/>
    <w:autoRedefine/>
    <w:qFormat/>
    <w:pPr>
      <w:keepNext/>
      <w:numPr>
        <w:ilvl w:val="1"/>
        <w:numId w:val="3"/>
      </w:numPr>
      <w:spacing w:after="120"/>
      <w:outlineLvl w:val="1"/>
    </w:pPr>
    <w:rPr>
      <w:b/>
    </w:rPr>
  </w:style>
  <w:style w:type="paragraph" w:styleId="Heading3">
    <w:name w:val="heading 3"/>
    <w:basedOn w:val="Normal"/>
    <w:next w:val="ParaNum"/>
    <w:qFormat/>
    <w:pPr>
      <w:keepNext/>
      <w:numPr>
        <w:ilvl w:val="2"/>
        <w:numId w:val="3"/>
      </w:numPr>
      <w:tabs>
        <w:tab w:val="left" w:pos="2160"/>
      </w:tabs>
      <w:spacing w:after="120"/>
      <w:outlineLvl w:val="2"/>
    </w:pPr>
    <w:rPr>
      <w:b/>
    </w:rPr>
  </w:style>
  <w:style w:type="paragraph" w:styleId="Heading4">
    <w:name w:val="heading 4"/>
    <w:basedOn w:val="Normal"/>
    <w:next w:val="ParaNum"/>
    <w:qFormat/>
    <w:pPr>
      <w:keepNext/>
      <w:numPr>
        <w:ilvl w:val="3"/>
        <w:numId w:val="3"/>
      </w:numPr>
      <w:tabs>
        <w:tab w:val="left" w:pos="288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ParaNum"/>
    <w:qFormat/>
    <w:pPr>
      <w:keepNext/>
      <w:numPr>
        <w:ilvl w:val="4"/>
        <w:numId w:val="3"/>
      </w:numPr>
      <w:tabs>
        <w:tab w:val="left" w:pos="3600"/>
      </w:tabs>
      <w:suppressAutoHyphens/>
      <w:spacing w:after="120"/>
      <w:outlineLvl w:val="4"/>
    </w:pPr>
    <w:rPr>
      <w:b/>
    </w:rPr>
  </w:style>
  <w:style w:type="paragraph" w:styleId="Heading6">
    <w:name w:val="heading 6"/>
    <w:basedOn w:val="Normal"/>
    <w:next w:val="ParaNum"/>
    <w:qFormat/>
    <w:pPr>
      <w:numPr>
        <w:ilvl w:val="5"/>
        <w:numId w:val="3"/>
      </w:numPr>
      <w:tabs>
        <w:tab w:val="left" w:pos="4320"/>
      </w:tabs>
      <w:spacing w:after="120"/>
      <w:outlineLvl w:val="5"/>
    </w:pPr>
    <w:rPr>
      <w:b/>
    </w:rPr>
  </w:style>
  <w:style w:type="paragraph" w:styleId="Heading7">
    <w:name w:val="heading 7"/>
    <w:basedOn w:val="Normal"/>
    <w:next w:val="ParaNum"/>
    <w:qFormat/>
    <w:pPr>
      <w:numPr>
        <w:ilvl w:val="6"/>
        <w:numId w:val="3"/>
      </w:numPr>
      <w:tabs>
        <w:tab w:val="left" w:pos="5040"/>
      </w:tabs>
      <w:spacing w:after="120"/>
      <w:ind w:left="5040" w:hanging="720"/>
      <w:outlineLvl w:val="6"/>
    </w:pPr>
    <w:rPr>
      <w:b/>
    </w:rPr>
  </w:style>
  <w:style w:type="paragraph" w:styleId="Heading8">
    <w:name w:val="heading 8"/>
    <w:basedOn w:val="Normal"/>
    <w:next w:val="ParaNum"/>
    <w:qFormat/>
    <w:pPr>
      <w:numPr>
        <w:ilvl w:val="7"/>
        <w:numId w:val="3"/>
      </w:numPr>
      <w:tabs>
        <w:tab w:val="clear" w:pos="5400"/>
        <w:tab w:val="left" w:pos="5760"/>
      </w:tabs>
      <w:spacing w:after="120"/>
      <w:ind w:left="5760" w:hanging="720"/>
      <w:outlineLvl w:val="7"/>
    </w:pPr>
    <w:rPr>
      <w:b/>
    </w:rPr>
  </w:style>
  <w:style w:type="paragraph" w:styleId="Heading9">
    <w:name w:val="heading 9"/>
    <w:basedOn w:val="Normal"/>
    <w:next w:val="ParaNum"/>
    <w:qFormat/>
    <w:pPr>
      <w:numPr>
        <w:ilvl w:val="8"/>
        <w:numId w:val="3"/>
      </w:numPr>
      <w:tabs>
        <w:tab w:val="clear" w:pos="6120"/>
        <w:tab w:val="left" w:pos="6480"/>
      </w:tabs>
      <w:spacing w:after="120"/>
      <w:ind w:left="648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">
    <w:name w:val="ParaNum"/>
    <w:basedOn w:val="Normal"/>
    <w:pPr>
      <w:numPr>
        <w:numId w:val="2"/>
      </w:numPr>
      <w:tabs>
        <w:tab w:val="clear" w:pos="1080"/>
        <w:tab w:val="num" w:pos="1440"/>
      </w:tabs>
      <w:spacing w:after="1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semiHidden/>
    <w:pPr>
      <w:spacing w:after="120"/>
    </w:pPr>
  </w:style>
  <w:style w:type="character" w:styleId="FootnoteReference">
    <w:name w:val="footnote reference"/>
    <w:semiHidden/>
    <w:rPr>
      <w:rFonts w:ascii="Times New Roman" w:hAnsi="Times New Roman"/>
      <w:dstrike w:val="0"/>
      <w:color w:val="auto"/>
      <w:sz w:val="22"/>
      <w:vertAlign w:val="superscript"/>
    </w:rPr>
  </w:style>
  <w:style w:type="paragraph" w:styleId="TOC1">
    <w:name w:val="toc 1"/>
    <w:basedOn w:val="Normal"/>
    <w:next w:val="Normal"/>
    <w:uiPriority w:val="39"/>
    <w:pPr>
      <w:tabs>
        <w:tab w:val="left" w:pos="360"/>
        <w:tab w:val="right" w:leader="dot" w:pos="9360"/>
      </w:tabs>
      <w:suppressAutoHyphens/>
      <w:ind w:left="360" w:right="720" w:hanging="36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360"/>
      </w:tabs>
      <w:suppressAutoHyphens/>
      <w:ind w:left="720" w:right="720" w:hanging="36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080"/>
        <w:tab w:val="right" w:leader="dot" w:pos="9360"/>
      </w:tabs>
      <w:suppressAutoHyphens/>
      <w:ind w:left="1080" w:right="720" w:hanging="36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1440"/>
        <w:tab w:val="right" w:leader="dot" w:pos="9360"/>
      </w:tabs>
      <w:suppressAutoHyphens/>
      <w:ind w:left="1440" w:right="720" w:hanging="36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1800"/>
        <w:tab w:val="right" w:leader="dot" w:pos="9360"/>
      </w:tabs>
      <w:suppressAutoHyphens/>
      <w:ind w:left="1800" w:right="720" w:hanging="360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left" w:pos="2160"/>
        <w:tab w:val="right" w:leader="dot" w:pos="9360"/>
      </w:tabs>
      <w:suppressAutoHyphens/>
      <w:ind w:left="2160" w:hanging="36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left" w:pos="2520"/>
        <w:tab w:val="right" w:leader="dot" w:pos="9360"/>
      </w:tabs>
      <w:suppressAutoHyphens/>
      <w:ind w:left="2520" w:hanging="360"/>
    </w:pPr>
    <w:rPr>
      <w:noProof/>
    </w:rPr>
  </w:style>
  <w:style w:type="paragraph" w:styleId="TOC8">
    <w:name w:val="toc 8"/>
    <w:basedOn w:val="Normal"/>
    <w:next w:val="Normal"/>
    <w:autoRedefine/>
    <w:semiHidden/>
    <w:pPr>
      <w:tabs>
        <w:tab w:val="left" w:pos="2880"/>
        <w:tab w:val="right" w:leader="dot" w:pos="9360"/>
      </w:tabs>
      <w:suppressAutoHyphens/>
      <w:ind w:left="2880" w:hanging="36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left" w:pos="3240"/>
        <w:tab w:val="right" w:leader="dot" w:pos="9360"/>
      </w:tabs>
      <w:suppressAutoHyphens/>
      <w:ind w:left="3240" w:hanging="360"/>
    </w:pPr>
    <w:rPr>
      <w:noProof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">
    <w:name w:val="_Equation Caption"/>
  </w:style>
  <w:style w:type="paragraph" w:styleId="Header">
    <w:name w:val="header"/>
    <w:basedOn w:val="Normal"/>
    <w:autoRedefine/>
    <w:pPr>
      <w:tabs>
        <w:tab w:val="center" w:pos="4680"/>
        <w:tab w:val="right" w:pos="9360"/>
      </w:tabs>
      <w:ind w:hanging="990"/>
    </w:pPr>
    <w:rPr>
      <w:rFonts w:ascii="Arial" w:hAnsi="Arial" w:cs="Arial"/>
      <w:b/>
      <w:sz w:val="96"/>
      <w:szCs w:val="9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Paratitle">
    <w:name w:val="Para title"/>
    <w:basedOn w:val="Normal"/>
    <w:pPr>
      <w:tabs>
        <w:tab w:val="center" w:pos="9270"/>
      </w:tabs>
      <w:spacing w:after="240"/>
    </w:pPr>
    <w:rPr>
      <w:spacing w:val="-2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2160"/>
      </w:tabs>
      <w:spacing w:after="220"/>
      <w:ind w:left="2160" w:hanging="720"/>
    </w:pPr>
  </w:style>
  <w:style w:type="paragraph" w:customStyle="1" w:styleId="TableFormat">
    <w:name w:val="TableFormat"/>
    <w:basedOn w:val="Bullet"/>
    <w:pPr>
      <w:numPr>
        <w:numId w:val="0"/>
      </w:numPr>
      <w:tabs>
        <w:tab w:val="clear" w:pos="2160"/>
        <w:tab w:val="left" w:pos="5040"/>
      </w:tabs>
      <w:ind w:left="5040" w:hanging="3600"/>
    </w:pPr>
  </w:style>
  <w:style w:type="paragraph" w:customStyle="1" w:styleId="TOCTitle">
    <w:name w:val="TOC Title"/>
    <w:basedOn w:val="Normal"/>
    <w:pPr>
      <w:spacing w:before="240" w:after="240"/>
      <w:jc w:val="center"/>
    </w:pPr>
    <w:rPr>
      <w:rFonts w:ascii="Times New Roman Bold" w:hAnsi="Times New Roman Bold"/>
      <w:b/>
      <w:caps/>
      <w:spacing w:val="-2"/>
    </w:rPr>
  </w:style>
  <w:style w:type="paragraph" w:customStyle="1" w:styleId="StyleBoldCentered">
    <w:name w:val="Style Bold Centered"/>
    <w:basedOn w:val="Normal"/>
    <w:pPr>
      <w:jc w:val="center"/>
    </w:pPr>
    <w:rPr>
      <w:rFonts w:ascii="Times New Roman Bold" w:hAnsi="Times New Roman Bold"/>
      <w:b/>
      <w:bCs/>
      <w:caps/>
      <w:szCs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Pr>
      <w:snapToGrid w:val="0"/>
      <w:kern w:val="28"/>
      <w:sz w:val="22"/>
    </w:rPr>
  </w:style>
  <w:style w:type="paragraph" w:styleId="BodyText">
    <w:name w:val="Body Text"/>
    <w:basedOn w:val="Normal"/>
    <w:link w:val="BodyTextChar1"/>
    <w:rsid w:val="00157099"/>
    <w:pPr>
      <w:spacing w:after="120"/>
      <w:ind w:firstLine="720"/>
    </w:pPr>
    <w:rPr>
      <w:snapToGrid/>
      <w:kern w:val="0"/>
    </w:rPr>
  </w:style>
  <w:style w:type="character" w:customStyle="1" w:styleId="BodyTextChar">
    <w:name w:val="Body Text Char"/>
    <w:uiPriority w:val="99"/>
    <w:semiHidden/>
    <w:rsid w:val="00157099"/>
    <w:rPr>
      <w:snapToGrid w:val="0"/>
      <w:kern w:val="28"/>
      <w:sz w:val="22"/>
    </w:rPr>
  </w:style>
  <w:style w:type="character" w:customStyle="1" w:styleId="BodyTextChar1">
    <w:name w:val="Body Text Char1"/>
    <w:link w:val="BodyText"/>
    <w:rsid w:val="00157099"/>
    <w:rPr>
      <w:sz w:val="22"/>
    </w:rPr>
  </w:style>
  <w:style w:type="character" w:customStyle="1" w:styleId="UnresolvedMention">
    <w:name w:val="Unresolved Mention"/>
    <w:uiPriority w:val="99"/>
    <w:semiHidden/>
    <w:unhideWhenUsed/>
    <w:rsid w:val="001570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177"/>
    <w:rPr>
      <w:rFonts w:ascii="Segoe UI" w:hAnsi="Segoe UI" w:cs="Segoe UI"/>
      <w:snapToGrid w:val="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mailto:fcc504@fcc.gov" TargetMode="External" /><Relationship Id="rId6" Type="http://schemas.openxmlformats.org/officeDocument/2006/relationships/hyperlink" Target="mailto:Michael.Scott@fcc.gov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M:\forms\OS%20Process\Public%20Notice%20Portrai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Public Notice Portrait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