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F53BB4" w14:paraId="7472352F" w14:textId="77777777">
      <w:pPr>
        <w:jc w:val="right"/>
        <w:rPr>
          <w:sz w:val="24"/>
        </w:rPr>
      </w:pPr>
    </w:p>
    <w:p w:rsidR="00F53BB4" w:rsidRPr="00060AEC" w14:paraId="342D18C8" w14:textId="777E8DA2">
      <w:pPr>
        <w:jc w:val="right"/>
        <w:rPr>
          <w:b/>
          <w:szCs w:val="22"/>
        </w:rPr>
      </w:pPr>
      <w:r w:rsidRPr="00060AEC">
        <w:rPr>
          <w:b/>
          <w:szCs w:val="22"/>
        </w:rPr>
        <w:t>DA</w:t>
      </w:r>
      <w:r w:rsidRPr="00060AEC" w:rsidR="004C5E0D">
        <w:rPr>
          <w:b/>
          <w:szCs w:val="22"/>
        </w:rPr>
        <w:t xml:space="preserve"> 22-</w:t>
      </w:r>
      <w:r w:rsidR="00D92A57">
        <w:rPr>
          <w:b/>
          <w:szCs w:val="22"/>
        </w:rPr>
        <w:t>1249</w:t>
      </w:r>
    </w:p>
    <w:p w:rsidR="00F53BB4" w:rsidRPr="00060AEC" w14:paraId="411C919D" w14:textId="431C5AD6">
      <w:pPr>
        <w:spacing w:before="60"/>
        <w:jc w:val="right"/>
        <w:rPr>
          <w:b/>
          <w:szCs w:val="22"/>
        </w:rPr>
      </w:pPr>
      <w:r w:rsidRPr="00060AEC">
        <w:rPr>
          <w:b/>
          <w:szCs w:val="22"/>
        </w:rPr>
        <w:t xml:space="preserve">Released:  </w:t>
      </w:r>
      <w:r w:rsidR="006D4DCD">
        <w:rPr>
          <w:b/>
          <w:szCs w:val="22"/>
        </w:rPr>
        <w:t xml:space="preserve">December </w:t>
      </w:r>
      <w:r w:rsidR="00AC5AFD">
        <w:rPr>
          <w:b/>
          <w:szCs w:val="22"/>
        </w:rPr>
        <w:t>2,</w:t>
      </w:r>
      <w:r w:rsidRPr="00060AEC" w:rsidR="00AC5AFD">
        <w:rPr>
          <w:b/>
          <w:szCs w:val="22"/>
        </w:rPr>
        <w:t xml:space="preserve"> </w:t>
      </w:r>
      <w:r w:rsidRPr="00060AEC" w:rsidR="004C5E0D">
        <w:rPr>
          <w:b/>
          <w:szCs w:val="22"/>
        </w:rPr>
        <w:t>2022</w:t>
      </w:r>
    </w:p>
    <w:p w:rsidR="00F53BB4" w:rsidRPr="00060AEC" w14:paraId="000B0F87" w14:textId="77777777">
      <w:pPr>
        <w:jc w:val="right"/>
        <w:rPr>
          <w:szCs w:val="22"/>
        </w:rPr>
      </w:pPr>
    </w:p>
    <w:p w:rsidR="00990081" w:rsidP="003F7324" w14:paraId="0246F520" w14:textId="0C156D35">
      <w:pPr>
        <w:jc w:val="center"/>
        <w:rPr>
          <w:b/>
          <w:caps/>
          <w:szCs w:val="22"/>
        </w:rPr>
      </w:pPr>
      <w:r w:rsidRPr="000213DA">
        <w:rPr>
          <w:b/>
          <w:caps/>
          <w:szCs w:val="22"/>
        </w:rPr>
        <w:t xml:space="preserve">Comment </w:t>
      </w:r>
      <w:r>
        <w:rPr>
          <w:b/>
          <w:caps/>
          <w:szCs w:val="22"/>
        </w:rPr>
        <w:t xml:space="preserve">due </w:t>
      </w:r>
      <w:r w:rsidRPr="000213DA">
        <w:rPr>
          <w:b/>
          <w:caps/>
          <w:szCs w:val="22"/>
        </w:rPr>
        <w:t>dates set</w:t>
      </w:r>
      <w:r w:rsidR="00E64555">
        <w:rPr>
          <w:b/>
          <w:caps/>
          <w:szCs w:val="22"/>
        </w:rPr>
        <w:t xml:space="preserve"> </w:t>
      </w:r>
      <w:r>
        <w:rPr>
          <w:b/>
          <w:caps/>
          <w:szCs w:val="22"/>
        </w:rPr>
        <w:t xml:space="preserve">for Sixth </w:t>
      </w:r>
      <w:r w:rsidR="007504FA">
        <w:rPr>
          <w:b/>
          <w:caps/>
          <w:szCs w:val="22"/>
        </w:rPr>
        <w:t xml:space="preserve">Further Notice </w:t>
      </w:r>
      <w:r>
        <w:rPr>
          <w:b/>
          <w:caps/>
          <w:szCs w:val="22"/>
        </w:rPr>
        <w:t xml:space="preserve">on </w:t>
      </w:r>
    </w:p>
    <w:p w:rsidR="00F53BB4" w:rsidRPr="00060AEC" w:rsidP="000213DA" w14:paraId="435F5934" w14:textId="5BC93D32">
      <w:pPr>
        <w:spacing w:after="240"/>
        <w:jc w:val="center"/>
        <w:rPr>
          <w:b/>
          <w:caps/>
          <w:szCs w:val="22"/>
        </w:rPr>
      </w:pPr>
      <w:r>
        <w:rPr>
          <w:b/>
          <w:caps/>
          <w:szCs w:val="22"/>
        </w:rPr>
        <w:t>cal</w:t>
      </w:r>
      <w:r w:rsidR="00652CFB">
        <w:rPr>
          <w:b/>
          <w:caps/>
          <w:szCs w:val="22"/>
        </w:rPr>
        <w:t>l</w:t>
      </w:r>
      <w:r>
        <w:rPr>
          <w:b/>
          <w:caps/>
          <w:szCs w:val="22"/>
        </w:rPr>
        <w:t>ing Services for incarcerated people</w:t>
      </w:r>
    </w:p>
    <w:p w:rsidR="00F53BB4" w:rsidRPr="00060AEC" w14:paraId="3BEDEB58" w14:textId="5C054EF0">
      <w:pPr>
        <w:spacing w:after="240"/>
        <w:jc w:val="center"/>
        <w:rPr>
          <w:b/>
          <w:szCs w:val="22"/>
        </w:rPr>
      </w:pPr>
      <w:r w:rsidRPr="00060AEC">
        <w:rPr>
          <w:b/>
          <w:szCs w:val="22"/>
        </w:rPr>
        <w:t>WC Docket No. 12-375</w:t>
      </w:r>
    </w:p>
    <w:p w:rsidR="00F53BB4" w:rsidRPr="00060AEC" w:rsidP="0071087D" w14:paraId="5BCD6D27" w14:textId="3E2DC319">
      <w:pPr>
        <w:rPr>
          <w:b/>
          <w:szCs w:val="22"/>
        </w:rPr>
      </w:pPr>
      <w:bookmarkStart w:id="0" w:name="TOChere"/>
      <w:r w:rsidRPr="00060AEC">
        <w:rPr>
          <w:b/>
          <w:szCs w:val="22"/>
        </w:rPr>
        <w:t>Comment</w:t>
      </w:r>
      <w:r w:rsidRPr="00060AEC" w:rsidR="00066082">
        <w:rPr>
          <w:b/>
          <w:szCs w:val="22"/>
        </w:rPr>
        <w:t>s</w:t>
      </w:r>
      <w:r w:rsidRPr="00060AEC">
        <w:rPr>
          <w:b/>
          <w:szCs w:val="22"/>
        </w:rPr>
        <w:t xml:space="preserve"> </w:t>
      </w:r>
      <w:r w:rsidRPr="00060AEC" w:rsidR="00066082">
        <w:rPr>
          <w:b/>
          <w:szCs w:val="22"/>
        </w:rPr>
        <w:t>Due</w:t>
      </w:r>
      <w:r w:rsidRPr="00060AEC">
        <w:rPr>
          <w:b/>
          <w:szCs w:val="22"/>
        </w:rPr>
        <w:t xml:space="preserve">: </w:t>
      </w:r>
      <w:r w:rsidRPr="00060AEC" w:rsidR="00066082">
        <w:rPr>
          <w:b/>
          <w:szCs w:val="22"/>
        </w:rPr>
        <w:t xml:space="preserve"> </w:t>
      </w:r>
      <w:r w:rsidRPr="00060AEC">
        <w:rPr>
          <w:b/>
          <w:szCs w:val="22"/>
        </w:rPr>
        <w:t>December 15, 2022</w:t>
      </w:r>
    </w:p>
    <w:p w:rsidR="004C5E0D" w:rsidRPr="00060AEC" w:rsidP="0071087D" w14:paraId="459C3896" w14:textId="7CA2711E">
      <w:pPr>
        <w:rPr>
          <w:b/>
          <w:szCs w:val="22"/>
        </w:rPr>
      </w:pPr>
      <w:r w:rsidRPr="00060AEC">
        <w:rPr>
          <w:b/>
          <w:szCs w:val="22"/>
        </w:rPr>
        <w:t>Reply Comment</w:t>
      </w:r>
      <w:r w:rsidRPr="00060AEC" w:rsidR="00066082">
        <w:rPr>
          <w:b/>
          <w:szCs w:val="22"/>
        </w:rPr>
        <w:t>s</w:t>
      </w:r>
      <w:r w:rsidRPr="00060AEC">
        <w:rPr>
          <w:b/>
          <w:szCs w:val="22"/>
        </w:rPr>
        <w:t xml:space="preserve"> </w:t>
      </w:r>
      <w:r w:rsidRPr="00060AEC" w:rsidR="00066082">
        <w:rPr>
          <w:b/>
          <w:szCs w:val="22"/>
        </w:rPr>
        <w:t>Due</w:t>
      </w:r>
      <w:r w:rsidRPr="00060AEC">
        <w:rPr>
          <w:b/>
          <w:szCs w:val="22"/>
        </w:rPr>
        <w:t xml:space="preserve">: </w:t>
      </w:r>
      <w:r w:rsidRPr="00060AEC" w:rsidR="00066082">
        <w:rPr>
          <w:b/>
          <w:szCs w:val="22"/>
        </w:rPr>
        <w:t xml:space="preserve"> </w:t>
      </w:r>
      <w:r w:rsidRPr="00060AEC">
        <w:rPr>
          <w:b/>
          <w:szCs w:val="22"/>
        </w:rPr>
        <w:t>January 17, 2023</w:t>
      </w:r>
    </w:p>
    <w:p w:rsidR="004C5E0D" w:rsidRPr="00060AEC" w:rsidP="004C5E0D" w14:paraId="23E265E8" w14:textId="3F6C33C6">
      <w:pPr>
        <w:jc w:val="center"/>
        <w:rPr>
          <w:b/>
          <w:szCs w:val="22"/>
        </w:rPr>
      </w:pPr>
    </w:p>
    <w:p w:rsidR="00E64555" w:rsidP="005017B2" w14:paraId="000C34F2" w14:textId="432F6D41">
      <w:pPr>
        <w:rPr>
          <w:bCs/>
          <w:szCs w:val="22"/>
        </w:rPr>
      </w:pPr>
      <w:r w:rsidRPr="00060AEC">
        <w:rPr>
          <w:b/>
          <w:szCs w:val="22"/>
        </w:rPr>
        <w:tab/>
      </w:r>
      <w:r w:rsidRPr="003365F0">
        <w:rPr>
          <w:bCs/>
          <w:szCs w:val="22"/>
        </w:rPr>
        <w:t xml:space="preserve">By this Public Notice, the </w:t>
      </w:r>
      <w:r w:rsidRPr="00E64555">
        <w:rPr>
          <w:bCs/>
          <w:szCs w:val="22"/>
        </w:rPr>
        <w:t>Consumer</w:t>
      </w:r>
      <w:r w:rsidRPr="00066082">
        <w:rPr>
          <w:szCs w:val="22"/>
        </w:rPr>
        <w:t xml:space="preserve"> and Governmental Affairs Bureau</w:t>
      </w:r>
      <w:r>
        <w:rPr>
          <w:szCs w:val="22"/>
        </w:rPr>
        <w:t xml:space="preserve"> and the Wireline Competition Bureau announce that comments in response to the </w:t>
      </w:r>
      <w:r>
        <w:rPr>
          <w:bCs/>
          <w:szCs w:val="22"/>
        </w:rPr>
        <w:t>Sixth</w:t>
      </w:r>
      <w:r w:rsidRPr="00060AEC">
        <w:rPr>
          <w:bCs/>
          <w:szCs w:val="22"/>
        </w:rPr>
        <w:t xml:space="preserve"> Further Notice of Proposed Rulemaking</w:t>
      </w:r>
      <w:r>
        <w:rPr>
          <w:bCs/>
          <w:szCs w:val="22"/>
        </w:rPr>
        <w:t xml:space="preserve"> on calling services for incarcerated people are due no later than December 15, 2022, and </w:t>
      </w:r>
      <w:r w:rsidR="007504FA">
        <w:rPr>
          <w:bCs/>
          <w:szCs w:val="22"/>
        </w:rPr>
        <w:t xml:space="preserve">reply comments are due no later than </w:t>
      </w:r>
      <w:r>
        <w:rPr>
          <w:bCs/>
          <w:szCs w:val="22"/>
        </w:rPr>
        <w:t>January 17, 2023</w:t>
      </w:r>
      <w:r w:rsidRPr="00066082">
        <w:rPr>
          <w:szCs w:val="22"/>
        </w:rPr>
        <w:t>.</w:t>
      </w:r>
      <w:r>
        <w:rPr>
          <w:rStyle w:val="FootnoteReference"/>
          <w:szCs w:val="22"/>
        </w:rPr>
        <w:footnoteReference w:id="3"/>
      </w:r>
      <w:r w:rsidRPr="00066082">
        <w:rPr>
          <w:szCs w:val="22"/>
        </w:rPr>
        <w:t xml:space="preserve">  </w:t>
      </w:r>
    </w:p>
    <w:p w:rsidR="00E64555" w:rsidP="005017B2" w14:paraId="15CE9778" w14:textId="77777777">
      <w:pPr>
        <w:rPr>
          <w:bCs/>
          <w:szCs w:val="22"/>
        </w:rPr>
      </w:pPr>
    </w:p>
    <w:p w:rsidR="00F53BB4" w:rsidRPr="00066082" w:rsidP="00611D83" w14:paraId="4996EB6C" w14:textId="0CB0568E">
      <w:pPr>
        <w:ind w:firstLine="720"/>
        <w:rPr>
          <w:szCs w:val="22"/>
        </w:rPr>
      </w:pPr>
      <w:r w:rsidRPr="00066082">
        <w:rPr>
          <w:szCs w:val="22"/>
        </w:rPr>
        <w:t>The</w:t>
      </w:r>
      <w:r w:rsidR="007E0AD7">
        <w:rPr>
          <w:szCs w:val="22"/>
        </w:rPr>
        <w:t xml:space="preserve"> </w:t>
      </w:r>
      <w:r w:rsidRPr="003F7324" w:rsidR="007E0AD7">
        <w:rPr>
          <w:i/>
          <w:iCs/>
          <w:szCs w:val="22"/>
        </w:rPr>
        <w:t>Further Notice</w:t>
      </w:r>
      <w:r w:rsidR="00611D83">
        <w:rPr>
          <w:szCs w:val="22"/>
        </w:rPr>
        <w:t xml:space="preserve">, which </w:t>
      </w:r>
      <w:r w:rsidR="007E0AD7">
        <w:rPr>
          <w:szCs w:val="22"/>
        </w:rPr>
        <w:t>seeks</w:t>
      </w:r>
      <w:r w:rsidR="00153C7E">
        <w:rPr>
          <w:szCs w:val="22"/>
        </w:rPr>
        <w:t xml:space="preserve"> comment o</w:t>
      </w:r>
      <w:r w:rsidR="00611D83">
        <w:rPr>
          <w:szCs w:val="22"/>
        </w:rPr>
        <w:t xml:space="preserve">n </w:t>
      </w:r>
      <w:r w:rsidRPr="00611D83" w:rsidR="00611D83">
        <w:rPr>
          <w:szCs w:val="22"/>
        </w:rPr>
        <w:t xml:space="preserve">a number of </w:t>
      </w:r>
      <w:r w:rsidR="00611D83">
        <w:rPr>
          <w:szCs w:val="22"/>
        </w:rPr>
        <w:t xml:space="preserve">additional </w:t>
      </w:r>
      <w:r w:rsidRPr="00611D83" w:rsidR="00611D83">
        <w:rPr>
          <w:szCs w:val="22"/>
        </w:rPr>
        <w:t>reforms to facilitate accessible and affordable inmate calling services</w:t>
      </w:r>
      <w:r w:rsidR="00611D83">
        <w:rPr>
          <w:szCs w:val="22"/>
        </w:rPr>
        <w:t xml:space="preserve">, </w:t>
      </w:r>
      <w:r w:rsidR="00D572FB">
        <w:rPr>
          <w:szCs w:val="22"/>
        </w:rPr>
        <w:t>set deadlines for filing c</w:t>
      </w:r>
      <w:r w:rsidR="00106BA1">
        <w:rPr>
          <w:szCs w:val="22"/>
        </w:rPr>
        <w:t xml:space="preserve">omments </w:t>
      </w:r>
      <w:r w:rsidR="00D572FB">
        <w:rPr>
          <w:szCs w:val="22"/>
        </w:rPr>
        <w:t>and reply comments at</w:t>
      </w:r>
      <w:r w:rsidR="00106BA1">
        <w:rPr>
          <w:szCs w:val="22"/>
        </w:rPr>
        <w:t xml:space="preserve"> </w:t>
      </w:r>
      <w:r w:rsidRPr="00066082">
        <w:rPr>
          <w:szCs w:val="22"/>
        </w:rPr>
        <w:t xml:space="preserve">30 </w:t>
      </w:r>
      <w:r w:rsidR="003E4DBC">
        <w:rPr>
          <w:szCs w:val="22"/>
        </w:rPr>
        <w:t>days</w:t>
      </w:r>
      <w:r w:rsidR="00D572FB">
        <w:rPr>
          <w:szCs w:val="22"/>
        </w:rPr>
        <w:t xml:space="preserve"> and</w:t>
      </w:r>
      <w:r w:rsidR="003E4DBC">
        <w:rPr>
          <w:szCs w:val="22"/>
        </w:rPr>
        <w:t xml:space="preserve"> </w:t>
      </w:r>
      <w:r w:rsidR="00D572FB">
        <w:rPr>
          <w:szCs w:val="22"/>
        </w:rPr>
        <w:t xml:space="preserve">60 days </w:t>
      </w:r>
      <w:r w:rsidRPr="00066082">
        <w:rPr>
          <w:szCs w:val="22"/>
        </w:rPr>
        <w:t>after publication in the Federal Register.</w:t>
      </w:r>
      <w:r>
        <w:rPr>
          <w:rStyle w:val="FootnoteReference"/>
          <w:szCs w:val="22"/>
        </w:rPr>
        <w:footnoteReference w:id="4"/>
      </w:r>
      <w:r w:rsidR="00D572FB">
        <w:rPr>
          <w:szCs w:val="22"/>
        </w:rPr>
        <w:t xml:space="preserve">  </w:t>
      </w:r>
      <w:r w:rsidRPr="00066082" w:rsidR="00AF35C8">
        <w:rPr>
          <w:szCs w:val="22"/>
        </w:rPr>
        <w:t xml:space="preserve">On </w:t>
      </w:r>
      <w:r w:rsidRPr="00066082">
        <w:rPr>
          <w:szCs w:val="22"/>
        </w:rPr>
        <w:t>November 15, 2022</w:t>
      </w:r>
      <w:r w:rsidRPr="00066082" w:rsidR="00AF35C8">
        <w:rPr>
          <w:szCs w:val="22"/>
        </w:rPr>
        <w:t xml:space="preserve">, </w:t>
      </w:r>
      <w:r w:rsidRPr="00106BA1" w:rsidR="00D20137">
        <w:rPr>
          <w:szCs w:val="22"/>
        </w:rPr>
        <w:t xml:space="preserve">the </w:t>
      </w:r>
      <w:r w:rsidRPr="00060AEC" w:rsidR="00D20137">
        <w:rPr>
          <w:szCs w:val="22"/>
        </w:rPr>
        <w:t>Federal Register</w:t>
      </w:r>
      <w:r w:rsidR="00D20137">
        <w:rPr>
          <w:szCs w:val="22"/>
        </w:rPr>
        <w:t xml:space="preserve"> published </w:t>
      </w:r>
      <w:r w:rsidR="00106BA1">
        <w:rPr>
          <w:szCs w:val="22"/>
        </w:rPr>
        <w:t xml:space="preserve">a summary of the </w:t>
      </w:r>
      <w:r w:rsidRPr="003365F0" w:rsidR="00106BA1">
        <w:rPr>
          <w:i/>
          <w:iCs/>
          <w:szCs w:val="22"/>
        </w:rPr>
        <w:t>Further Notice</w:t>
      </w:r>
      <w:r w:rsidR="007504FA">
        <w:rPr>
          <w:i/>
          <w:iCs/>
          <w:szCs w:val="22"/>
        </w:rPr>
        <w:t>,</w:t>
      </w:r>
      <w:r w:rsidRPr="00066082" w:rsidR="00AF35C8">
        <w:rPr>
          <w:szCs w:val="22"/>
        </w:rPr>
        <w:t xml:space="preserve"> </w:t>
      </w:r>
      <w:r w:rsidR="00D572FB">
        <w:rPr>
          <w:szCs w:val="22"/>
        </w:rPr>
        <w:t xml:space="preserve">establishing </w:t>
      </w:r>
      <w:r w:rsidRPr="00066082" w:rsidR="0071087D">
        <w:rPr>
          <w:szCs w:val="22"/>
        </w:rPr>
        <w:t>December 15</w:t>
      </w:r>
      <w:r w:rsidRPr="00066082">
        <w:rPr>
          <w:szCs w:val="22"/>
        </w:rPr>
        <w:t>, 2022</w:t>
      </w:r>
      <w:r w:rsidR="00106BA1">
        <w:rPr>
          <w:szCs w:val="22"/>
        </w:rPr>
        <w:t>,</w:t>
      </w:r>
      <w:r w:rsidR="00D572FB">
        <w:rPr>
          <w:szCs w:val="22"/>
        </w:rPr>
        <w:t xml:space="preserve"> as the comment deadline </w:t>
      </w:r>
      <w:r w:rsidR="00106BA1">
        <w:rPr>
          <w:szCs w:val="22"/>
        </w:rPr>
        <w:t xml:space="preserve">and </w:t>
      </w:r>
      <w:r w:rsidRPr="00066082" w:rsidR="0071087D">
        <w:rPr>
          <w:szCs w:val="22"/>
        </w:rPr>
        <w:t>January 17</w:t>
      </w:r>
      <w:r w:rsidRPr="00066082">
        <w:rPr>
          <w:szCs w:val="22"/>
        </w:rPr>
        <w:t>, 202</w:t>
      </w:r>
      <w:r w:rsidRPr="00066082" w:rsidR="0071087D">
        <w:rPr>
          <w:szCs w:val="22"/>
        </w:rPr>
        <w:t>3</w:t>
      </w:r>
      <w:r w:rsidR="00D572FB">
        <w:rPr>
          <w:szCs w:val="22"/>
        </w:rPr>
        <w:t xml:space="preserve">, as the reply comment </w:t>
      </w:r>
      <w:r w:rsidR="00D20137">
        <w:rPr>
          <w:szCs w:val="22"/>
        </w:rPr>
        <w:t>deadline</w:t>
      </w:r>
      <w:r w:rsidRPr="00066082">
        <w:rPr>
          <w:szCs w:val="22"/>
        </w:rPr>
        <w:t>.</w:t>
      </w:r>
      <w:r>
        <w:rPr>
          <w:rStyle w:val="FootnoteReference"/>
          <w:szCs w:val="22"/>
        </w:rPr>
        <w:footnoteReference w:id="5"/>
      </w:r>
      <w:r w:rsidRPr="00066082" w:rsidR="00D572FB">
        <w:rPr>
          <w:szCs w:val="22"/>
        </w:rPr>
        <w:t xml:space="preserve"> </w:t>
      </w:r>
      <w:r w:rsidR="003365F0">
        <w:rPr>
          <w:szCs w:val="22"/>
        </w:rPr>
        <w:t xml:space="preserve"> </w:t>
      </w:r>
      <w:r w:rsidR="00D20137">
        <w:rPr>
          <w:szCs w:val="22"/>
        </w:rPr>
        <w:t xml:space="preserve">The </w:t>
      </w:r>
      <w:r w:rsidRPr="003365F0" w:rsidR="00D20137">
        <w:rPr>
          <w:i/>
          <w:iCs/>
          <w:szCs w:val="22"/>
        </w:rPr>
        <w:t>Further</w:t>
      </w:r>
      <w:r w:rsidRPr="00A94B83" w:rsidR="00D20137">
        <w:rPr>
          <w:szCs w:val="22"/>
        </w:rPr>
        <w:t xml:space="preserve"> </w:t>
      </w:r>
      <w:r w:rsidRPr="003365F0" w:rsidR="00D20137">
        <w:rPr>
          <w:i/>
          <w:iCs/>
          <w:szCs w:val="22"/>
        </w:rPr>
        <w:t>Notice</w:t>
      </w:r>
      <w:r w:rsidRPr="00A94B83" w:rsidR="00D20137">
        <w:rPr>
          <w:szCs w:val="22"/>
        </w:rPr>
        <w:t xml:space="preserve"> and the </w:t>
      </w:r>
      <w:r w:rsidRPr="003365F0" w:rsidR="003365F0">
        <w:rPr>
          <w:i/>
          <w:iCs/>
          <w:szCs w:val="22"/>
        </w:rPr>
        <w:t>Federal</w:t>
      </w:r>
      <w:r w:rsidRPr="003365F0" w:rsidR="00D20137">
        <w:rPr>
          <w:i/>
          <w:iCs/>
          <w:szCs w:val="22"/>
        </w:rPr>
        <w:t xml:space="preserve"> Register Notice</w:t>
      </w:r>
      <w:r w:rsidR="00D20137">
        <w:rPr>
          <w:szCs w:val="22"/>
        </w:rPr>
        <w:t xml:space="preserve"> contain com</w:t>
      </w:r>
      <w:r w:rsidRPr="003365F0" w:rsidR="00D20137">
        <w:rPr>
          <w:szCs w:val="22"/>
        </w:rPr>
        <w:t>plete filing instructions</w:t>
      </w:r>
      <w:r w:rsidR="00D20137">
        <w:rPr>
          <w:szCs w:val="22"/>
        </w:rPr>
        <w:t>.</w:t>
      </w:r>
      <w:r>
        <w:rPr>
          <w:rStyle w:val="FootnoteReference"/>
          <w:szCs w:val="22"/>
        </w:rPr>
        <w:footnoteReference w:id="6"/>
      </w:r>
    </w:p>
    <w:bookmarkEnd w:id="0"/>
    <w:p w:rsidR="004C5E0D" w:rsidRPr="00066082" w14:paraId="3DD26A52" w14:textId="7E32C95A">
      <w:pPr>
        <w:rPr>
          <w:szCs w:val="22"/>
        </w:rPr>
      </w:pPr>
    </w:p>
    <w:p w:rsidR="0071087D" w:rsidP="0071087D" w14:paraId="6E0ADFD5" w14:textId="4587585A">
      <w:pPr>
        <w:spacing w:after="120"/>
        <w:ind w:firstLine="720"/>
        <w:rPr>
          <w:szCs w:val="22"/>
        </w:rPr>
      </w:pPr>
      <w:r w:rsidRPr="00066082">
        <w:rPr>
          <w:szCs w:val="22"/>
        </w:rPr>
        <w:t xml:space="preserve">To request materials in accessible formats for people with disabilities (Braille, large print, electronic files, audio format), send an e-mail to </w:t>
      </w:r>
      <w:hyperlink r:id="rId5" w:history="1">
        <w:r w:rsidRPr="00066082">
          <w:rPr>
            <w:rStyle w:val="Hyperlink"/>
            <w:szCs w:val="22"/>
          </w:rPr>
          <w:t>fcc504@fcc.gov</w:t>
        </w:r>
      </w:hyperlink>
      <w:r w:rsidRPr="00066082">
        <w:rPr>
          <w:szCs w:val="22"/>
        </w:rPr>
        <w:t xml:space="preserve"> or call the Consumer and Governmental Affairs Bureau at 202-418-0530 (voice).</w:t>
      </w:r>
    </w:p>
    <w:p w:rsidR="00AF35C8" w:rsidRPr="003E4DBC" w:rsidP="003E4DBC" w14:paraId="68074AD4" w14:textId="0A279D96">
      <w:pPr>
        <w:spacing w:after="120"/>
        <w:ind w:firstLine="720"/>
        <w:rPr>
          <w:color w:val="0000FF"/>
          <w:szCs w:val="22"/>
        </w:rPr>
      </w:pPr>
      <w:r w:rsidRPr="00066082">
        <w:rPr>
          <w:szCs w:val="22"/>
        </w:rPr>
        <w:t xml:space="preserve">For further information, please contact Michael Scott, Disability Rights Office, Consumer and Governmental Affairs Bureau, at (202) 418-1264 or </w:t>
      </w:r>
      <w:hyperlink r:id="rId6" w:history="1">
        <w:r w:rsidRPr="00066082">
          <w:rPr>
            <w:color w:val="0000FF"/>
            <w:szCs w:val="22"/>
            <w:u w:val="single"/>
          </w:rPr>
          <w:t>Michael.Scott@fcc.gov</w:t>
        </w:r>
      </w:hyperlink>
      <w:r w:rsidRPr="003E4DBC" w:rsidR="003E4DBC">
        <w:rPr>
          <w:szCs w:val="22"/>
        </w:rPr>
        <w:t>, on matters relating to the provision of communication services for incarcerated people with hearing and speech disabilities; and Jennifer Best Vickers, Pricing Policy Division, Wireline Communications Bureau, at (202) 418-1526 or</w:t>
      </w:r>
      <w:r w:rsidRPr="003E4DBC" w:rsidR="003E4DBC">
        <w:rPr>
          <w:szCs w:val="22"/>
          <w:u w:val="single"/>
        </w:rPr>
        <w:t xml:space="preserve"> </w:t>
      </w:r>
      <w:hyperlink r:id="rId7" w:history="1">
        <w:r w:rsidRPr="003E4DBC" w:rsidR="003E4DBC">
          <w:rPr>
            <w:rStyle w:val="Hyperlink"/>
            <w:szCs w:val="22"/>
            <w:u w:val="none"/>
          </w:rPr>
          <w:t>jennifer.vickers@fcc.gov</w:t>
        </w:r>
      </w:hyperlink>
      <w:r w:rsidR="00D20137">
        <w:rPr>
          <w:szCs w:val="22"/>
        </w:rPr>
        <w:t xml:space="preserve">, on other matters relating to the </w:t>
      </w:r>
      <w:r w:rsidRPr="003365F0" w:rsidR="00D20137">
        <w:rPr>
          <w:i/>
          <w:iCs/>
          <w:szCs w:val="22"/>
        </w:rPr>
        <w:t>Further Notice</w:t>
      </w:r>
      <w:r w:rsidR="00D20137">
        <w:rPr>
          <w:szCs w:val="22"/>
        </w:rPr>
        <w:t>.</w:t>
      </w:r>
    </w:p>
    <w:p w:rsidR="0071087D" w:rsidRPr="00066082" w:rsidP="0071087D" w14:paraId="725D6910" w14:textId="77777777">
      <w:pPr>
        <w:pStyle w:val="BodyText"/>
        <w:widowControl/>
        <w:ind w:firstLine="0"/>
        <w:jc w:val="center"/>
        <w:rPr>
          <w:b/>
          <w:bCs/>
          <w:szCs w:val="22"/>
        </w:rPr>
      </w:pPr>
      <w:r w:rsidRPr="00066082">
        <w:rPr>
          <w:b/>
          <w:bCs/>
          <w:szCs w:val="22"/>
        </w:rPr>
        <w:t>-FCC-</w:t>
      </w:r>
    </w:p>
    <w:p w:rsidR="0071087D" w:rsidRPr="00066082" w14:paraId="7D6385A4" w14:textId="77777777">
      <w:pPr>
        <w:rPr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BB4" w14:paraId="652E6C79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F53BB4" w14:paraId="41044B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BB4" w14:paraId="55272B2E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BB4" w14:paraId="6CF463F1" w14:textId="77777777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E5368" w14:paraId="77B11140" w14:textId="77777777">
      <w:r>
        <w:separator/>
      </w:r>
    </w:p>
  </w:footnote>
  <w:footnote w:type="continuationSeparator" w:id="1">
    <w:p w:rsidR="008E5368" w14:paraId="2FC082EC" w14:textId="77777777">
      <w:pPr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8E5368" w14:paraId="3B1FBD8E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E64555" w:rsidRPr="005754FF" w:rsidP="00E64555" w14:paraId="6D6D5687" w14:textId="50FF51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Rates for Interstate Inmate Calling Services</w:t>
      </w:r>
      <w:r>
        <w:t>, WC Docket No. 12-375, Fourth Report and Order and Sixth Further Notice of Proposed Rulemaking, FCC 22-76 (rel. Sept. 30, 2022)</w:t>
      </w:r>
      <w:r w:rsidR="00D20137">
        <w:t xml:space="preserve"> (</w:t>
      </w:r>
      <w:r w:rsidRPr="003F7324" w:rsidR="00D20137">
        <w:rPr>
          <w:i/>
          <w:iCs/>
        </w:rPr>
        <w:t>Further Notice</w:t>
      </w:r>
      <w:r w:rsidR="00D20137">
        <w:t>)</w:t>
      </w:r>
      <w:r>
        <w:t xml:space="preserve">.  </w:t>
      </w:r>
    </w:p>
  </w:footnote>
  <w:footnote w:id="4">
    <w:p w:rsidR="005017B2" w:rsidRPr="005017B2" w14:paraId="60471775" w14:textId="0863A0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See id.</w:t>
      </w:r>
      <w:r>
        <w:t xml:space="preserve"> at 1.  </w:t>
      </w:r>
    </w:p>
  </w:footnote>
  <w:footnote w:id="5">
    <w:p w:rsidR="00D572FB" w:rsidRPr="0071087D" w:rsidP="00D572FB" w14:paraId="3A709CAA" w14:textId="46DC7C6A">
      <w:pPr>
        <w:pStyle w:val="FootnoteText"/>
      </w:pPr>
      <w:r>
        <w:rPr>
          <w:rStyle w:val="FootnoteReference"/>
        </w:rPr>
        <w:footnoteRef/>
      </w:r>
      <w:r>
        <w:t xml:space="preserve"> Federal Communications Commission, </w:t>
      </w:r>
      <w:r w:rsidRPr="00421AFB">
        <w:t>Rates for Interstate Inmate Calling Services</w:t>
      </w:r>
      <w:r>
        <w:t>, 87 Fed. Reg. 68416 (Nov. 15, 2022)</w:t>
      </w:r>
      <w:r w:rsidR="00D20137">
        <w:t xml:space="preserve"> (</w:t>
      </w:r>
      <w:r w:rsidRPr="003365F0" w:rsidR="00D20137">
        <w:rPr>
          <w:i/>
          <w:iCs/>
        </w:rPr>
        <w:t>Federal Register Notice</w:t>
      </w:r>
      <w:r w:rsidR="00D20137">
        <w:t>)</w:t>
      </w:r>
      <w:r>
        <w:t xml:space="preserve">.  </w:t>
      </w:r>
    </w:p>
  </w:footnote>
  <w:footnote w:id="6">
    <w:p w:rsidR="00D20137" w:rsidRPr="003365F0" w14:paraId="2ACA06DE" w14:textId="16EC9104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See </w:t>
      </w:r>
      <w:r w:rsidRPr="003365F0">
        <w:rPr>
          <w:i/>
          <w:iCs/>
        </w:rPr>
        <w:t>Further</w:t>
      </w:r>
      <w:r>
        <w:t xml:space="preserve"> </w:t>
      </w:r>
      <w:r w:rsidRPr="003365F0">
        <w:rPr>
          <w:i/>
          <w:iCs/>
        </w:rPr>
        <w:t>Notice</w:t>
      </w:r>
      <w:r>
        <w:t xml:space="preserve"> at paras. </w:t>
      </w:r>
      <w:r w:rsidR="003365F0">
        <w:t>169-71</w:t>
      </w:r>
      <w:r>
        <w:t xml:space="preserve">; </w:t>
      </w:r>
      <w:r w:rsidRPr="003365F0">
        <w:rPr>
          <w:i/>
          <w:iCs/>
        </w:rPr>
        <w:t>Federal Register Notice</w:t>
      </w:r>
      <w:r>
        <w:t xml:space="preserve"> at </w:t>
      </w:r>
      <w:r w:rsidR="003365F0">
        <w:t>68417.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BB4" w14:paraId="3DD55C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BB4" w14:paraId="31603FF1" w14:textId="77777777">
    <w:pPr>
      <w:tabs>
        <w:tab w:val="center" w:pos="4680"/>
        <w:tab w:val="right" w:pos="9360"/>
      </w:tabs>
    </w:pPr>
    <w:r>
      <w:rPr>
        <w:b/>
      </w:rPr>
      <w:tab/>
      <w:t>Federal Communications Commission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MACROBUTTON  AcceptAllChangesShown "FCC/DA  XX-XXX" </w:instrText>
    </w:r>
    <w:r>
      <w:rPr>
        <w:b/>
      </w:rPr>
      <w:fldChar w:fldCharType="end"/>
    </w:r>
  </w:p>
  <w:p w:rsidR="00F53BB4" w14:paraId="5481CD6D" w14:textId="7FA48181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2049" style="width:468pt;height:0.95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 strokeweight="0.05pt">
              <w10:wrap anchorx="margin"/>
            </v:rect>
          </w:pict>
        </mc:Fallback>
      </mc:AlternateContent>
    </w:r>
  </w:p>
  <w:p w:rsidR="00F53BB4" w14:paraId="12B2B660" w14:textId="77777777">
    <w:pPr>
      <w:spacing w:before="40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BB4" w14:paraId="3C9709A9" w14:textId="62D50964">
    <w:pPr>
      <w:pStyle w:val="Header"/>
    </w:pPr>
    <w:r>
      <w:rPr>
        <w:noProof/>
        <w:snapToGrid/>
      </w:rPr>
      <w:drawing>
        <wp:inline distT="0" distB="0" distL="0" distR="0">
          <wp:extent cx="5943600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D"/>
    <w:rsid w:val="000213DA"/>
    <w:rsid w:val="000419B9"/>
    <w:rsid w:val="00060AEC"/>
    <w:rsid w:val="00066082"/>
    <w:rsid w:val="00077965"/>
    <w:rsid w:val="00106BA1"/>
    <w:rsid w:val="00153C7E"/>
    <w:rsid w:val="001964B6"/>
    <w:rsid w:val="00290F4A"/>
    <w:rsid w:val="002B37E5"/>
    <w:rsid w:val="002C3EC3"/>
    <w:rsid w:val="003365F0"/>
    <w:rsid w:val="003401EF"/>
    <w:rsid w:val="003929E5"/>
    <w:rsid w:val="003A187E"/>
    <w:rsid w:val="003E4DBC"/>
    <w:rsid w:val="003F7324"/>
    <w:rsid w:val="00421AFB"/>
    <w:rsid w:val="00474A31"/>
    <w:rsid w:val="00490709"/>
    <w:rsid w:val="004C5E0D"/>
    <w:rsid w:val="005017B2"/>
    <w:rsid w:val="005754FF"/>
    <w:rsid w:val="005A404C"/>
    <w:rsid w:val="005B056C"/>
    <w:rsid w:val="00611D83"/>
    <w:rsid w:val="00652CFB"/>
    <w:rsid w:val="006B2DFE"/>
    <w:rsid w:val="006B749B"/>
    <w:rsid w:val="006D4DCD"/>
    <w:rsid w:val="0071087D"/>
    <w:rsid w:val="007504FA"/>
    <w:rsid w:val="007E0AD7"/>
    <w:rsid w:val="008E5368"/>
    <w:rsid w:val="008F7411"/>
    <w:rsid w:val="00907BA4"/>
    <w:rsid w:val="00990081"/>
    <w:rsid w:val="009F2D85"/>
    <w:rsid w:val="00A94B83"/>
    <w:rsid w:val="00AC5AFD"/>
    <w:rsid w:val="00AF35C8"/>
    <w:rsid w:val="00AF4A33"/>
    <w:rsid w:val="00B31CCE"/>
    <w:rsid w:val="00B841B0"/>
    <w:rsid w:val="00C3309B"/>
    <w:rsid w:val="00C53E9D"/>
    <w:rsid w:val="00C563C1"/>
    <w:rsid w:val="00C67FBC"/>
    <w:rsid w:val="00D14FB6"/>
    <w:rsid w:val="00D20137"/>
    <w:rsid w:val="00D572FB"/>
    <w:rsid w:val="00D92A57"/>
    <w:rsid w:val="00DD74B3"/>
    <w:rsid w:val="00DE43A0"/>
    <w:rsid w:val="00E64555"/>
    <w:rsid w:val="00F17018"/>
    <w:rsid w:val="00F44422"/>
    <w:rsid w:val="00F53BB4"/>
    <w:rsid w:val="00F71701"/>
    <w:rsid w:val="00FC6A25"/>
    <w:rsid w:val="00FD077A"/>
    <w:rsid w:val="00FE2514"/>
    <w:rsid w:val="00FE5F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F2A9C3"/>
  <w15:chartTrackingRefBased/>
  <w15:docId w15:val="{05F53407-C030-4C52-82C5-7FEF3B5E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semiHidden/>
    <w:pPr>
      <w:spacing w:after="120"/>
    </w:pPr>
  </w:style>
  <w:style w:type="character" w:styleId="FootnoteReference">
    <w:name w:val="footnote reference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napToGrid w:val="0"/>
      <w:kern w:val="28"/>
      <w:sz w:val="22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1"/>
    <w:rsid w:val="0071087D"/>
    <w:pPr>
      <w:spacing w:after="120"/>
      <w:ind w:firstLine="720"/>
    </w:pPr>
    <w:rPr>
      <w:snapToGrid/>
      <w:kern w:val="0"/>
    </w:rPr>
  </w:style>
  <w:style w:type="character" w:customStyle="1" w:styleId="BodyTextChar">
    <w:name w:val="Body Text Char"/>
    <w:basedOn w:val="DefaultParagraphFont"/>
    <w:uiPriority w:val="99"/>
    <w:semiHidden/>
    <w:rsid w:val="0071087D"/>
    <w:rPr>
      <w:snapToGrid w:val="0"/>
      <w:kern w:val="28"/>
      <w:sz w:val="22"/>
    </w:rPr>
  </w:style>
  <w:style w:type="character" w:customStyle="1" w:styleId="BodyTextChar1">
    <w:name w:val="Body Text Char1"/>
    <w:link w:val="BodyText"/>
    <w:rsid w:val="0071087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6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4B6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4B6"/>
    <w:rPr>
      <w:b/>
      <w:bCs/>
      <w:snapToGrid w:val="0"/>
      <w:kern w:val="28"/>
    </w:rPr>
  </w:style>
  <w:style w:type="paragraph" w:styleId="Revision">
    <w:name w:val="Revision"/>
    <w:hidden/>
    <w:uiPriority w:val="99"/>
    <w:semiHidden/>
    <w:rsid w:val="00066082"/>
    <w:rPr>
      <w:snapToGrid w:val="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fcc504@fcc.gov" TargetMode="External" /><Relationship Id="rId6" Type="http://schemas.openxmlformats.org/officeDocument/2006/relationships/hyperlink" Target="mailto:Michael.Scott@fcc.gov" TargetMode="External" /><Relationship Id="rId7" Type="http://schemas.openxmlformats.org/officeDocument/2006/relationships/hyperlink" Target="mailto:jennifer.vickers@fcc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M:\forms\OS%20Process\Public%20Notice%20Portrai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Notice Portrait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