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B73399" w:rsidRPr="005A1A1D" w14:paraId="3F6C71F8" w14:textId="71221156">
      <w:pPr>
        <w:jc w:val="right"/>
        <w:rPr>
          <w:b/>
          <w:szCs w:val="22"/>
        </w:rPr>
      </w:pPr>
      <w:r w:rsidRPr="005A1A1D">
        <w:rPr>
          <w:b/>
          <w:szCs w:val="22"/>
        </w:rPr>
        <w:t>DA 2</w:t>
      </w:r>
      <w:r w:rsidR="00C540C4">
        <w:rPr>
          <w:b/>
          <w:szCs w:val="22"/>
        </w:rPr>
        <w:t>3-28</w:t>
      </w:r>
    </w:p>
    <w:p w:rsidR="00B73399" w:rsidRPr="005A1A1D" w14:paraId="3E5CFAD4" w14:textId="1147910E">
      <w:pPr>
        <w:spacing w:before="60"/>
        <w:jc w:val="right"/>
        <w:rPr>
          <w:b/>
          <w:szCs w:val="22"/>
        </w:rPr>
      </w:pPr>
      <w:r w:rsidRPr="005A1A1D">
        <w:rPr>
          <w:b/>
          <w:szCs w:val="22"/>
        </w:rPr>
        <w:t xml:space="preserve">Released:  </w:t>
      </w:r>
      <w:r w:rsidR="003F61D9">
        <w:rPr>
          <w:b/>
          <w:szCs w:val="22"/>
        </w:rPr>
        <w:t>January</w:t>
      </w:r>
      <w:r w:rsidRPr="005A1A1D" w:rsidR="005E2094">
        <w:rPr>
          <w:b/>
          <w:szCs w:val="22"/>
        </w:rPr>
        <w:t xml:space="preserve"> </w:t>
      </w:r>
      <w:r w:rsidR="003F5B98">
        <w:rPr>
          <w:b/>
          <w:szCs w:val="22"/>
        </w:rPr>
        <w:t>12</w:t>
      </w:r>
      <w:r w:rsidRPr="005A1A1D" w:rsidR="005E2094">
        <w:rPr>
          <w:b/>
          <w:szCs w:val="22"/>
        </w:rPr>
        <w:t>, 202</w:t>
      </w:r>
      <w:r w:rsidR="000C5964">
        <w:rPr>
          <w:b/>
          <w:szCs w:val="22"/>
        </w:rPr>
        <w:t>3</w:t>
      </w:r>
    </w:p>
    <w:p w:rsidR="00B73399" w:rsidRPr="005A1A1D" w14:paraId="100F78A7" w14:textId="77777777">
      <w:pPr>
        <w:jc w:val="right"/>
        <w:rPr>
          <w:szCs w:val="22"/>
        </w:rPr>
      </w:pPr>
    </w:p>
    <w:p w:rsidR="00B73399" w:rsidRPr="005A1A1D" w14:paraId="3C9445C8" w14:textId="7CE730B8">
      <w:pPr>
        <w:spacing w:after="240"/>
        <w:jc w:val="center"/>
        <w:rPr>
          <w:b/>
          <w:caps/>
          <w:szCs w:val="22"/>
        </w:rPr>
      </w:pPr>
      <w:r w:rsidRPr="005A1A1D">
        <w:rPr>
          <w:b/>
          <w:caps/>
          <w:szCs w:val="22"/>
        </w:rPr>
        <w:t xml:space="preserve">Consumer and governmental affairs bureau seeks comment on sorenson communications, llc’s petition for </w:t>
      </w:r>
      <w:r w:rsidR="00881030">
        <w:rPr>
          <w:b/>
          <w:caps/>
          <w:szCs w:val="22"/>
        </w:rPr>
        <w:t xml:space="preserve">a </w:t>
      </w:r>
      <w:r w:rsidRPr="005A1A1D">
        <w:rPr>
          <w:b/>
          <w:caps/>
          <w:szCs w:val="22"/>
        </w:rPr>
        <w:t xml:space="preserve">limited waiver of </w:t>
      </w:r>
      <w:r w:rsidR="00F11478">
        <w:rPr>
          <w:b/>
          <w:caps/>
          <w:szCs w:val="22"/>
        </w:rPr>
        <w:t xml:space="preserve">the </w:t>
      </w:r>
      <w:r w:rsidRPr="005A1A1D" w:rsidR="00857655">
        <w:rPr>
          <w:b/>
          <w:caps/>
          <w:szCs w:val="22"/>
        </w:rPr>
        <w:t>privacy screen rule for video relay service</w:t>
      </w:r>
    </w:p>
    <w:p w:rsidR="00B73399" w:rsidRPr="005A1A1D" w:rsidP="00857655" w14:paraId="56271CF7" w14:textId="486106D3">
      <w:pPr>
        <w:spacing w:after="240"/>
        <w:jc w:val="center"/>
        <w:rPr>
          <w:b/>
          <w:szCs w:val="22"/>
        </w:rPr>
      </w:pPr>
      <w:r w:rsidRPr="005A1A1D">
        <w:rPr>
          <w:b/>
          <w:szCs w:val="22"/>
        </w:rPr>
        <w:t>CG Docket Nos. 03-123 and 10-51</w:t>
      </w:r>
    </w:p>
    <w:p w:rsidR="00857655" w:rsidRPr="005A1A1D" w:rsidP="00857655" w14:paraId="698EA735" w14:textId="487E6142">
      <w:pPr>
        <w:rPr>
          <w:b/>
          <w:szCs w:val="22"/>
        </w:rPr>
      </w:pPr>
      <w:r w:rsidRPr="005A1A1D">
        <w:rPr>
          <w:b/>
          <w:szCs w:val="22"/>
        </w:rPr>
        <w:t>Comments due:</w:t>
      </w:r>
      <w:r w:rsidR="00D10845">
        <w:rPr>
          <w:b/>
          <w:szCs w:val="22"/>
        </w:rPr>
        <w:t xml:space="preserve">  </w:t>
      </w:r>
      <w:r w:rsidR="009C4FD9">
        <w:rPr>
          <w:b/>
          <w:szCs w:val="22"/>
        </w:rPr>
        <w:t xml:space="preserve">February </w:t>
      </w:r>
      <w:r w:rsidR="00171101">
        <w:rPr>
          <w:b/>
          <w:szCs w:val="22"/>
        </w:rPr>
        <w:t>13, 2023</w:t>
      </w:r>
    </w:p>
    <w:p w:rsidR="00857655" w:rsidRPr="005A1A1D" w:rsidP="00857655" w14:paraId="26D95A98" w14:textId="6A3E95B9">
      <w:pPr>
        <w:rPr>
          <w:b/>
          <w:szCs w:val="22"/>
        </w:rPr>
      </w:pPr>
      <w:r w:rsidRPr="005A1A1D">
        <w:rPr>
          <w:b/>
          <w:szCs w:val="22"/>
        </w:rPr>
        <w:t>Reply Comments due:</w:t>
      </w:r>
      <w:r w:rsidR="007858C5">
        <w:rPr>
          <w:b/>
          <w:szCs w:val="22"/>
        </w:rPr>
        <w:t xml:space="preserve">  </w:t>
      </w:r>
      <w:r w:rsidR="00171101">
        <w:rPr>
          <w:b/>
          <w:szCs w:val="22"/>
        </w:rPr>
        <w:t>February 28, 2023</w:t>
      </w:r>
    </w:p>
    <w:p w:rsidR="00857655" w:rsidRPr="005A1A1D" w:rsidP="00857655" w14:paraId="3476C667" w14:textId="4BA61C22">
      <w:pPr>
        <w:rPr>
          <w:b/>
          <w:szCs w:val="22"/>
        </w:rPr>
      </w:pPr>
    </w:p>
    <w:p w:rsidR="00857655" w:rsidP="00857655" w14:paraId="04805ECB" w14:textId="4C8607DE">
      <w:pPr>
        <w:rPr>
          <w:szCs w:val="22"/>
        </w:rPr>
      </w:pPr>
      <w:r w:rsidRPr="005A1A1D">
        <w:rPr>
          <w:b/>
          <w:szCs w:val="22"/>
        </w:rPr>
        <w:tab/>
      </w:r>
      <w:r w:rsidRPr="005A1A1D">
        <w:rPr>
          <w:bCs/>
          <w:szCs w:val="22"/>
        </w:rPr>
        <w:t>Pursuant to sections 1.</w:t>
      </w:r>
      <w:r w:rsidR="002F68CE">
        <w:rPr>
          <w:bCs/>
          <w:szCs w:val="22"/>
        </w:rPr>
        <w:t xml:space="preserve">1, 1.3, </w:t>
      </w:r>
      <w:r w:rsidRPr="005A1A1D">
        <w:rPr>
          <w:bCs/>
          <w:szCs w:val="22"/>
        </w:rPr>
        <w:t>and 1.4</w:t>
      </w:r>
      <w:r w:rsidR="002F68CE">
        <w:rPr>
          <w:bCs/>
          <w:szCs w:val="22"/>
        </w:rPr>
        <w:t>5</w:t>
      </w:r>
      <w:r w:rsidRPr="005A1A1D">
        <w:rPr>
          <w:bCs/>
          <w:szCs w:val="22"/>
        </w:rPr>
        <w:t xml:space="preserve"> of the Commission’s Rules (47 CFR §§ 1.</w:t>
      </w:r>
      <w:r w:rsidR="00A46E87">
        <w:rPr>
          <w:bCs/>
          <w:szCs w:val="22"/>
        </w:rPr>
        <w:t>1,</w:t>
      </w:r>
      <w:r w:rsidR="002F68CE">
        <w:rPr>
          <w:bCs/>
          <w:szCs w:val="22"/>
        </w:rPr>
        <w:t xml:space="preserve"> 1.</w:t>
      </w:r>
      <w:r w:rsidR="007C6506">
        <w:rPr>
          <w:bCs/>
          <w:szCs w:val="22"/>
        </w:rPr>
        <w:t>3</w:t>
      </w:r>
      <w:r w:rsidRPr="005A1A1D">
        <w:rPr>
          <w:bCs/>
          <w:szCs w:val="22"/>
        </w:rPr>
        <w:t xml:space="preserve">, </w:t>
      </w:r>
      <w:r w:rsidR="002F68CE">
        <w:rPr>
          <w:bCs/>
          <w:szCs w:val="22"/>
        </w:rPr>
        <w:t>and 1.45</w:t>
      </w:r>
      <w:r w:rsidRPr="005A1A1D">
        <w:rPr>
          <w:bCs/>
          <w:szCs w:val="22"/>
        </w:rPr>
        <w:t xml:space="preserve">), the Consumer and Governmental Affairs Bureau (CGB or Bureau) of the Federal Communications Commission (FCC or Commission) seeks comment on </w:t>
      </w:r>
      <w:r w:rsidR="00E361B6">
        <w:rPr>
          <w:bCs/>
          <w:szCs w:val="22"/>
        </w:rPr>
        <w:t xml:space="preserve">a </w:t>
      </w:r>
      <w:r w:rsidRPr="005A1A1D">
        <w:rPr>
          <w:bCs/>
          <w:szCs w:val="22"/>
        </w:rPr>
        <w:t xml:space="preserve">Petition for </w:t>
      </w:r>
      <w:r w:rsidR="00881030">
        <w:rPr>
          <w:bCs/>
          <w:szCs w:val="22"/>
        </w:rPr>
        <w:t xml:space="preserve">a </w:t>
      </w:r>
      <w:r w:rsidRPr="005A1A1D">
        <w:rPr>
          <w:bCs/>
          <w:szCs w:val="22"/>
        </w:rPr>
        <w:t xml:space="preserve">Limited Waiver </w:t>
      </w:r>
      <w:r w:rsidRPr="005A1A1D" w:rsidR="005953D2">
        <w:rPr>
          <w:bCs/>
          <w:szCs w:val="22"/>
        </w:rPr>
        <w:t>f</w:t>
      </w:r>
      <w:r w:rsidRPr="005A1A1D" w:rsidR="00FB3891">
        <w:rPr>
          <w:bCs/>
          <w:szCs w:val="22"/>
        </w:rPr>
        <w:t>iled by Sorenson Communications, LLC (Sorenson).</w:t>
      </w:r>
      <w:r>
        <w:rPr>
          <w:rStyle w:val="FootnoteReference"/>
          <w:bCs/>
          <w:szCs w:val="22"/>
        </w:rPr>
        <w:footnoteReference w:id="3"/>
      </w:r>
      <w:r w:rsidRPr="005A1A1D" w:rsidR="00FB3891">
        <w:rPr>
          <w:bCs/>
          <w:szCs w:val="22"/>
        </w:rPr>
        <w:t xml:space="preserve">  </w:t>
      </w:r>
      <w:r w:rsidR="002D7DA8">
        <w:rPr>
          <w:bCs/>
          <w:szCs w:val="22"/>
        </w:rPr>
        <w:t>As a provider</w:t>
      </w:r>
      <w:r w:rsidR="00DE0497">
        <w:rPr>
          <w:bCs/>
          <w:szCs w:val="22"/>
        </w:rPr>
        <w:t xml:space="preserve"> of Video Relay Service (VRS), Sorenson </w:t>
      </w:r>
      <w:r w:rsidR="00295159">
        <w:rPr>
          <w:bCs/>
          <w:szCs w:val="22"/>
        </w:rPr>
        <w:t>requests</w:t>
      </w:r>
      <w:r w:rsidR="00DE0497">
        <w:rPr>
          <w:bCs/>
          <w:szCs w:val="22"/>
        </w:rPr>
        <w:t xml:space="preserve"> the Commission</w:t>
      </w:r>
      <w:r w:rsidR="00295159">
        <w:rPr>
          <w:bCs/>
          <w:szCs w:val="22"/>
        </w:rPr>
        <w:t xml:space="preserve"> waive its</w:t>
      </w:r>
      <w:r w:rsidR="00DE0497">
        <w:rPr>
          <w:bCs/>
          <w:szCs w:val="22"/>
        </w:rPr>
        <w:t xml:space="preserve"> </w:t>
      </w:r>
      <w:r w:rsidR="00D72CC8">
        <w:rPr>
          <w:bCs/>
          <w:szCs w:val="22"/>
        </w:rPr>
        <w:t xml:space="preserve">visual </w:t>
      </w:r>
      <w:r w:rsidR="00DE0497">
        <w:rPr>
          <w:bCs/>
          <w:szCs w:val="22"/>
        </w:rPr>
        <w:t xml:space="preserve">privacy screen rule to </w:t>
      </w:r>
      <w:r w:rsidR="00DA0C0A">
        <w:rPr>
          <w:bCs/>
          <w:szCs w:val="22"/>
        </w:rPr>
        <w:t>allow VRS providers to pilot integration of VRS with video conferencing services.</w:t>
      </w:r>
      <w:r>
        <w:rPr>
          <w:rStyle w:val="FootnoteReference"/>
          <w:bCs/>
          <w:szCs w:val="22"/>
        </w:rPr>
        <w:footnoteReference w:id="4"/>
      </w:r>
      <w:r w:rsidR="00DA0C0A">
        <w:rPr>
          <w:bCs/>
          <w:szCs w:val="22"/>
        </w:rPr>
        <w:t xml:space="preserve">  </w:t>
      </w:r>
      <w:r w:rsidR="00D72CC8">
        <w:t xml:space="preserve">A “visual privacy screen” is defined as </w:t>
      </w:r>
      <w:r w:rsidRPr="003A644E" w:rsidR="00D72CC8">
        <w:t>“a screen or any other feature that is</w:t>
      </w:r>
      <w:r w:rsidR="00D72CC8">
        <w:t xml:space="preserve"> </w:t>
      </w:r>
      <w:r w:rsidRPr="003A644E" w:rsidR="00D72CC8">
        <w:t>designed to prevent one party or both parties on the video leg of a VRS call from viewing the</w:t>
      </w:r>
      <w:r w:rsidR="00D72CC8">
        <w:t xml:space="preserve"> </w:t>
      </w:r>
      <w:r w:rsidRPr="003A644E" w:rsidR="00D72CC8">
        <w:t>other party during a call.”</w:t>
      </w:r>
      <w:r>
        <w:rPr>
          <w:rStyle w:val="FootnoteReference"/>
        </w:rPr>
        <w:footnoteReference w:id="5"/>
      </w:r>
      <w:r w:rsidR="00D72CC8">
        <w:t xml:space="preserve"> </w:t>
      </w:r>
      <w:r w:rsidR="00D72CC8">
        <w:rPr>
          <w:szCs w:val="22"/>
        </w:rPr>
        <w:t xml:space="preserve"> </w:t>
      </w:r>
      <w:r w:rsidR="002D7DA8">
        <w:t xml:space="preserve">The </w:t>
      </w:r>
      <w:r w:rsidR="00DA0C0A">
        <w:t>privacy screen rule</w:t>
      </w:r>
      <w:r w:rsidR="002D7DA8">
        <w:t xml:space="preserve"> prohibit</w:t>
      </w:r>
      <w:r w:rsidR="00E80B6B">
        <w:t>s</w:t>
      </w:r>
      <w:r w:rsidR="002D7DA8">
        <w:t xml:space="preserve"> a VRS</w:t>
      </w:r>
      <w:r w:rsidR="00E80B6B">
        <w:t xml:space="preserve"> communications assistant (CA)</w:t>
      </w:r>
      <w:r w:rsidR="002D7DA8">
        <w:t xml:space="preserve"> from enabling a </w:t>
      </w:r>
      <w:r w:rsidR="004800B4">
        <w:t xml:space="preserve">visual </w:t>
      </w:r>
      <w:r w:rsidR="002D7DA8">
        <w:t>privacy screen or similar feature during a VRS call and require</w:t>
      </w:r>
      <w:r w:rsidR="009D2B71">
        <w:t>s</w:t>
      </w:r>
      <w:r w:rsidR="002D7DA8">
        <w:t xml:space="preserve"> the CA to disconnect a VRS call if the caller or called party enables a privacy screen or similar feature for more than five minutes or is otherwise unresponsive or unengaged for more than five minutes.</w:t>
      </w:r>
      <w:r>
        <w:rPr>
          <w:rStyle w:val="FootnoteReference"/>
        </w:rPr>
        <w:footnoteReference w:id="6"/>
      </w:r>
      <w:r w:rsidR="003A644E">
        <w:t xml:space="preserve"> </w:t>
      </w:r>
      <w:r w:rsidR="00456C68">
        <w:t xml:space="preserve"> This rule was adopted to prevent fraudulent practices where VRS minutes were logged while no one was engaged in a conversation.</w:t>
      </w:r>
      <w:r>
        <w:rPr>
          <w:rStyle w:val="FootnoteReference"/>
        </w:rPr>
        <w:footnoteReference w:id="7"/>
      </w:r>
    </w:p>
    <w:p w:rsidR="00A20721" w:rsidP="00857655" w14:paraId="5CE89B55" w14:textId="629BFA2C">
      <w:pPr>
        <w:rPr>
          <w:szCs w:val="22"/>
        </w:rPr>
      </w:pPr>
    </w:p>
    <w:p w:rsidR="00B73399" w:rsidRPr="001338F4" w14:paraId="358F0CDE" w14:textId="5BAD9036">
      <w:pPr>
        <w:rPr>
          <w:bCs/>
          <w:szCs w:val="22"/>
        </w:rPr>
      </w:pPr>
      <w:r>
        <w:rPr>
          <w:szCs w:val="22"/>
        </w:rPr>
        <w:tab/>
        <w:t xml:space="preserve">Sorenson contends that </w:t>
      </w:r>
      <w:r w:rsidR="006D1D3F">
        <w:rPr>
          <w:szCs w:val="22"/>
        </w:rPr>
        <w:t>enfo</w:t>
      </w:r>
      <w:r w:rsidR="00D744F7">
        <w:rPr>
          <w:szCs w:val="22"/>
        </w:rPr>
        <w:t xml:space="preserve">rcement of </w:t>
      </w:r>
      <w:r>
        <w:rPr>
          <w:szCs w:val="22"/>
        </w:rPr>
        <w:t xml:space="preserve">the privacy screen rule </w:t>
      </w:r>
      <w:r w:rsidR="001E2E15">
        <w:rPr>
          <w:szCs w:val="22"/>
        </w:rPr>
        <w:t xml:space="preserve">would </w:t>
      </w:r>
      <w:r>
        <w:rPr>
          <w:szCs w:val="22"/>
        </w:rPr>
        <w:t>h</w:t>
      </w:r>
      <w:r w:rsidR="001378E8">
        <w:rPr>
          <w:szCs w:val="22"/>
        </w:rPr>
        <w:t xml:space="preserve">inder the participation of VRS users in video conferencing calls because </w:t>
      </w:r>
      <w:r w:rsidR="00CD1A80">
        <w:rPr>
          <w:szCs w:val="22"/>
        </w:rPr>
        <w:t>t</w:t>
      </w:r>
      <w:r w:rsidR="008A63FD">
        <w:rPr>
          <w:szCs w:val="22"/>
        </w:rPr>
        <w:t xml:space="preserve">he participants, including </w:t>
      </w:r>
      <w:r w:rsidR="00746FC2">
        <w:rPr>
          <w:szCs w:val="22"/>
        </w:rPr>
        <w:t xml:space="preserve">deaf </w:t>
      </w:r>
      <w:r w:rsidR="001378E8">
        <w:rPr>
          <w:szCs w:val="22"/>
        </w:rPr>
        <w:t>participants</w:t>
      </w:r>
      <w:r w:rsidR="008A63FD">
        <w:rPr>
          <w:szCs w:val="22"/>
        </w:rPr>
        <w:t>,</w:t>
      </w:r>
      <w:r w:rsidR="001378E8">
        <w:rPr>
          <w:szCs w:val="22"/>
        </w:rPr>
        <w:t xml:space="preserve"> in such call</w:t>
      </w:r>
      <w:r w:rsidR="008F6071">
        <w:rPr>
          <w:szCs w:val="22"/>
        </w:rPr>
        <w:t>s</w:t>
      </w:r>
      <w:r w:rsidR="001378E8">
        <w:rPr>
          <w:szCs w:val="22"/>
        </w:rPr>
        <w:t xml:space="preserve"> may turn off their video</w:t>
      </w:r>
      <w:r w:rsidR="005A41CA">
        <w:rPr>
          <w:szCs w:val="22"/>
        </w:rPr>
        <w:t xml:space="preserve"> </w:t>
      </w:r>
      <w:r w:rsidR="00DC7C36">
        <w:rPr>
          <w:szCs w:val="22"/>
        </w:rPr>
        <w:t>connection</w:t>
      </w:r>
      <w:r w:rsidR="001378E8">
        <w:rPr>
          <w:szCs w:val="22"/>
        </w:rPr>
        <w:t xml:space="preserve">s </w:t>
      </w:r>
      <w:r w:rsidR="00BE3318">
        <w:rPr>
          <w:szCs w:val="22"/>
        </w:rPr>
        <w:t xml:space="preserve">for reasons </w:t>
      </w:r>
      <w:r w:rsidR="0022041B">
        <w:rPr>
          <w:szCs w:val="22"/>
        </w:rPr>
        <w:t>unrelated to</w:t>
      </w:r>
      <w:r w:rsidR="00BE3318">
        <w:rPr>
          <w:szCs w:val="22"/>
        </w:rPr>
        <w:t xml:space="preserve"> inactivit</w:t>
      </w:r>
      <w:r w:rsidR="009755E5">
        <w:rPr>
          <w:szCs w:val="22"/>
        </w:rPr>
        <w:t>y</w:t>
      </w:r>
      <w:r w:rsidR="00D744F7">
        <w:rPr>
          <w:szCs w:val="22"/>
        </w:rPr>
        <w:t>.</w:t>
      </w:r>
      <w:r>
        <w:rPr>
          <w:rStyle w:val="FootnoteReference"/>
          <w:szCs w:val="22"/>
        </w:rPr>
        <w:footnoteReference w:id="8"/>
      </w:r>
      <w:r w:rsidR="00D744F7">
        <w:rPr>
          <w:szCs w:val="22"/>
        </w:rPr>
        <w:t xml:space="preserve">  Sorenson seeks a limited waiver of the rule</w:t>
      </w:r>
      <w:r w:rsidR="009D2B71">
        <w:rPr>
          <w:szCs w:val="22"/>
        </w:rPr>
        <w:t xml:space="preserve"> </w:t>
      </w:r>
      <w:r w:rsidR="0094508F">
        <w:rPr>
          <w:szCs w:val="22"/>
        </w:rPr>
        <w:t xml:space="preserve">that would allow </w:t>
      </w:r>
      <w:r w:rsidR="003B50E5">
        <w:rPr>
          <w:szCs w:val="22"/>
        </w:rPr>
        <w:t>VRS users</w:t>
      </w:r>
      <w:r w:rsidR="004514DC">
        <w:rPr>
          <w:szCs w:val="22"/>
        </w:rPr>
        <w:t xml:space="preserve"> </w:t>
      </w:r>
      <w:r w:rsidR="0094508F">
        <w:rPr>
          <w:szCs w:val="22"/>
        </w:rPr>
        <w:t xml:space="preserve">to use interactive </w:t>
      </w:r>
      <w:r w:rsidR="004514DC">
        <w:rPr>
          <w:szCs w:val="22"/>
        </w:rPr>
        <w:t xml:space="preserve">video conferencing </w:t>
      </w:r>
      <w:r w:rsidR="0094508F">
        <w:rPr>
          <w:szCs w:val="22"/>
        </w:rPr>
        <w:t>services without video being activated, for longer than five minutes.</w:t>
      </w:r>
      <w:r>
        <w:rPr>
          <w:rStyle w:val="FootnoteReference"/>
          <w:szCs w:val="22"/>
        </w:rPr>
        <w:footnoteReference w:id="9"/>
      </w:r>
      <w:r w:rsidR="0094508F">
        <w:rPr>
          <w:szCs w:val="22"/>
        </w:rPr>
        <w:t xml:space="preserve">  Sorenson </w:t>
      </w:r>
      <w:r w:rsidR="003B50E5">
        <w:rPr>
          <w:szCs w:val="22"/>
        </w:rPr>
        <w:t xml:space="preserve">does not seek a waiver </w:t>
      </w:r>
      <w:r w:rsidR="0094508F">
        <w:rPr>
          <w:szCs w:val="22"/>
        </w:rPr>
        <w:t xml:space="preserve">that would allow </w:t>
      </w:r>
      <w:r w:rsidR="003B50E5">
        <w:rPr>
          <w:szCs w:val="22"/>
        </w:rPr>
        <w:t xml:space="preserve">CAs </w:t>
      </w:r>
      <w:r w:rsidR="0094508F">
        <w:rPr>
          <w:szCs w:val="22"/>
        </w:rPr>
        <w:t xml:space="preserve">to turn off their videos or use </w:t>
      </w:r>
      <w:r w:rsidR="003B50E5">
        <w:rPr>
          <w:szCs w:val="22"/>
        </w:rPr>
        <w:t>a privacy screen.</w:t>
      </w:r>
      <w:r>
        <w:rPr>
          <w:rStyle w:val="FootnoteReference"/>
          <w:szCs w:val="22"/>
        </w:rPr>
        <w:footnoteReference w:id="10"/>
      </w:r>
      <w:bookmarkStart w:id="1" w:name="TOChere"/>
    </w:p>
    <w:bookmarkEnd w:id="1"/>
    <w:p w:rsidR="005E2094" w:rsidRPr="00B35F45" w:rsidP="005E2094" w14:paraId="6DBE8652" w14:textId="1C416CE5">
      <w:pPr>
        <w:pStyle w:val="ParaNum"/>
        <w:numPr>
          <w:ilvl w:val="0"/>
          <w:numId w:val="0"/>
        </w:numPr>
        <w:ind w:firstLine="720"/>
        <w:rPr>
          <w:rFonts w:eastAsia="Calibri"/>
        </w:rPr>
      </w:pPr>
      <w:r>
        <w:rPr>
          <w:rFonts w:eastAsia="Calibri"/>
          <w:i/>
          <w:iCs/>
        </w:rPr>
        <w:t>Filing Requirements.</w:t>
      </w:r>
      <w:r w:rsidRPr="00B35F45">
        <w:rPr>
          <w:rFonts w:eastAsia="Calibri"/>
        </w:rPr>
        <w:t xml:space="preserve"> </w:t>
      </w:r>
      <w:r>
        <w:rPr>
          <w:rFonts w:eastAsia="Calibri"/>
        </w:rPr>
        <w:t xml:space="preserve"> Interested parties may file comments on Sorenson’s Petition on or before the dates shown on the first page of this document.</w:t>
      </w:r>
      <w:r>
        <w:rPr>
          <w:rStyle w:val="FootnoteReference"/>
          <w:rFonts w:eastAsia="Calibri"/>
        </w:rPr>
        <w:footnoteReference w:id="11"/>
      </w:r>
      <w:r>
        <w:rPr>
          <w:rFonts w:eastAsia="Calibri"/>
        </w:rPr>
        <w:t xml:space="preserve">  All comments must reference CG Docket Nos. 03-123 and 10-51. </w:t>
      </w:r>
      <w:r w:rsidRPr="00B35F45">
        <w:rPr>
          <w:rFonts w:eastAsia="Calibri"/>
        </w:rPr>
        <w:t xml:space="preserve"> Comments may be filed using the Commission’s Electronic Comment Filing System (ECFS).</w:t>
      </w:r>
      <w:r>
        <w:rPr>
          <w:rStyle w:val="FootnoteReference"/>
          <w:rFonts w:eastAsia="Calibri"/>
        </w:rPr>
        <w:footnoteReference w:id="12"/>
      </w:r>
      <w:r w:rsidRPr="00B35F45">
        <w:rPr>
          <w:rFonts w:eastAsia="Calibri"/>
        </w:rPr>
        <w:t xml:space="preserve">    </w:t>
      </w:r>
    </w:p>
    <w:p w:rsidR="005E2094" w:rsidRPr="00031E84" w:rsidP="005E2094" w14:paraId="4133F020" w14:textId="77777777">
      <w:pPr>
        <w:widowControl/>
        <w:numPr>
          <w:ilvl w:val="0"/>
          <w:numId w:val="7"/>
        </w:numPr>
        <w:spacing w:after="120"/>
        <w:ind w:left="1080"/>
        <w:rPr>
          <w:szCs w:val="22"/>
        </w:rPr>
      </w:pPr>
      <w:r w:rsidRPr="00031E84">
        <w:rPr>
          <w:szCs w:val="22"/>
        </w:rPr>
        <w:t xml:space="preserve">Electronic Filers:  Comments may be filed electronically using the Internet by accessing the ECFS:  </w:t>
      </w:r>
      <w:hyperlink r:id="rId5" w:history="1">
        <w:r w:rsidRPr="00031E84">
          <w:rPr>
            <w:color w:val="0000FF"/>
            <w:szCs w:val="22"/>
            <w:u w:val="single"/>
          </w:rPr>
          <w:t>https://www.fcc.gov/ecfs/filings</w:t>
        </w:r>
      </w:hyperlink>
      <w:r w:rsidRPr="00031E84">
        <w:rPr>
          <w:szCs w:val="22"/>
        </w:rPr>
        <w:t xml:space="preserve">.  </w:t>
      </w:r>
    </w:p>
    <w:p w:rsidR="005E2094" w:rsidRPr="001775DA" w:rsidP="005E2094" w14:paraId="008FCAAE" w14:textId="77777777">
      <w:pPr>
        <w:widowControl/>
        <w:numPr>
          <w:ilvl w:val="0"/>
          <w:numId w:val="7"/>
        </w:numPr>
        <w:spacing w:after="120"/>
        <w:ind w:left="1080"/>
        <w:rPr>
          <w:szCs w:val="22"/>
        </w:rPr>
      </w:pPr>
      <w:r w:rsidRPr="001775DA">
        <w:rPr>
          <w:szCs w:val="22"/>
        </w:rPr>
        <w:t xml:space="preserve">Paper Filers:  </w:t>
      </w:r>
    </w:p>
    <w:p w:rsidR="005E2094" w:rsidRPr="001775DA" w:rsidP="005E2094" w14:paraId="275F1A87"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5E2094" w:rsidRPr="00AB7C96" w:rsidP="005E2094" w14:paraId="0689720F"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5E2094" w:rsidRPr="0054212D" w:rsidP="005E2094" w14:paraId="61E94D3A" w14:textId="77777777">
      <w:pPr>
        <w:widowControl/>
        <w:numPr>
          <w:ilvl w:val="1"/>
          <w:numId w:val="9"/>
        </w:numPr>
        <w:spacing w:after="120"/>
        <w:rPr>
          <w:rFonts w:ascii="Arial" w:hAnsi="Arial" w:cs="Arial"/>
          <w:snapToGrid/>
          <w:kern w:val="0"/>
        </w:rPr>
      </w:pPr>
      <w:r w:rsidRPr="00F11583">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w:t>
      </w:r>
      <w:r>
        <w:rPr>
          <w:szCs w:val="22"/>
        </w:rPr>
        <w:t xml:space="preserve"> Junction</w:t>
      </w:r>
      <w:r w:rsidRPr="00F11583">
        <w:rPr>
          <w:szCs w:val="22"/>
        </w:rPr>
        <w:t xml:space="preserve">, </w:t>
      </w:r>
      <w:r>
        <w:rPr>
          <w:szCs w:val="22"/>
        </w:rPr>
        <w:t xml:space="preserve">MD </w:t>
      </w:r>
      <w:r w:rsidRPr="00F11583">
        <w:rPr>
          <w:szCs w:val="22"/>
        </w:rPr>
        <w:t xml:space="preserve"> 20701</w:t>
      </w:r>
      <w:r>
        <w:rPr>
          <w:rFonts w:ascii="Arial" w:hAnsi="Arial" w:cs="Arial"/>
        </w:rPr>
        <w:t>.</w:t>
      </w:r>
      <w:r>
        <w:rPr>
          <w:rStyle w:val="FootnoteReference"/>
        </w:rPr>
        <w:footnoteReference w:id="13"/>
      </w:r>
      <w:r w:rsidRPr="0054212D">
        <w:rPr>
          <w:szCs w:val="22"/>
        </w:rPr>
        <w:t xml:space="preserve">  </w:t>
      </w:r>
    </w:p>
    <w:p w:rsidR="005E2094" w:rsidRPr="00AB7C96" w:rsidP="005E2094" w14:paraId="4E448CDD" w14:textId="77777777">
      <w:pPr>
        <w:widowControl/>
        <w:numPr>
          <w:ilvl w:val="1"/>
          <w:numId w:val="10"/>
        </w:numPr>
        <w:spacing w:after="24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5E2094" w:rsidP="005E2094" w14:paraId="36DCD3E6" w14:textId="77777777">
      <w:pPr>
        <w:widowControl/>
        <w:numPr>
          <w:ilvl w:val="1"/>
          <w:numId w:val="10"/>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r w:rsidRPr="00AB7C96">
        <w:rPr>
          <w:szCs w:val="22"/>
        </w:rPr>
        <w:t xml:space="preserve"> </w:t>
      </w:r>
    </w:p>
    <w:p w:rsidR="005E2094" w:rsidRPr="002875BF" w:rsidP="005E2094" w14:paraId="50BA01AF" w14:textId="77777777">
      <w:pPr>
        <w:widowControl/>
        <w:numPr>
          <w:ilvl w:val="1"/>
          <w:numId w:val="10"/>
        </w:numPr>
        <w:spacing w:after="120"/>
        <w:rPr>
          <w:szCs w:val="22"/>
        </w:rPr>
      </w:pPr>
      <w:r>
        <w:rPr>
          <w:szCs w:val="18"/>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5E2094" w:rsidP="005E2094" w14:paraId="554EB9C3" w14:textId="77777777">
      <w:pPr>
        <w:pStyle w:val="ParaNum"/>
        <w:numPr>
          <w:ilvl w:val="0"/>
          <w:numId w:val="0"/>
        </w:numPr>
        <w:ind w:firstLine="720"/>
        <w:rPr>
          <w:rFonts w:eastAsia="Calibri"/>
        </w:rPr>
      </w:pPr>
      <w:r w:rsidRPr="00B35F45">
        <w:rPr>
          <w:rFonts w:eastAsia="Calibri"/>
          <w:i/>
          <w:iCs/>
        </w:rPr>
        <w:t>Ex Parte Rules.</w:t>
      </w:r>
      <w:r w:rsidRPr="00B35F45">
        <w:rPr>
          <w:rFonts w:eastAsia="Calibri"/>
        </w:rPr>
        <w:t xml:space="preserve">  The proceeding th</w:t>
      </w:r>
      <w:r>
        <w:rPr>
          <w:rFonts w:eastAsia="Calibri"/>
        </w:rPr>
        <w:t>e</w:t>
      </w:r>
      <w:r w:rsidRPr="00B35F45">
        <w:rPr>
          <w:rFonts w:eastAsia="Calibri"/>
        </w:rPr>
        <w:t xml:space="preserve"> Notice </w:t>
      </w:r>
      <w:r>
        <w:rPr>
          <w:rFonts w:eastAsia="Calibri"/>
        </w:rPr>
        <w:t xml:space="preserve">of Proposed Rulemaking </w:t>
      </w:r>
      <w:r w:rsidRPr="00B35F45">
        <w:rPr>
          <w:rFonts w:eastAsia="Calibri"/>
        </w:rPr>
        <w:t>initiates shall be treated as a “permit-but-disclose” proceeding in accordance with the Commission’s ex parte rules.</w:t>
      </w:r>
      <w:r>
        <w:rPr>
          <w:rStyle w:val="FootnoteReference"/>
          <w:rFonts w:eastAsia="Calibri"/>
        </w:rPr>
        <w:footnoteReference w:id="14"/>
      </w:r>
      <w:r w:rsidRPr="00B35F45">
        <w:rPr>
          <w:rFonts w:eastAsia="Calibri"/>
        </w:rPr>
        <w:t xml:space="preserve">  Persons making ex parte presentations must file a copy of any written presentation or a memorandum summarizing any oral presentation within two business days after the presentation (unless a different deadline applicable to the Sunshine period applies).  Persons making oral ex parte presentations are reminded that memoranda summarizing the presentation must (1) list all persons attending or otherwise participating in the meeting at which the ex parte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w:t>
      </w:r>
      <w:r w:rsidRPr="00B35F45">
        <w:rPr>
          <w:rFonts w:eastAsia="Calibri"/>
        </w:rPr>
        <w:t>memoranda, or other filings (specifying the relevant page and/or paragraph numbers where such data or arguments can be found) in lieu of summarizing them in the memorandum.  Documents shown or given to Commission staff during ex parte meetings are deemed to be written ex parte presentations and must be filed consistent with section 1.1206(b).  In proceedings governed by section 1.49(f) or for which the Commission has made available a method of electronic filing, written ex parte presentations and memoranda summarizing oral ex parte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ex parte rules.</w:t>
      </w:r>
    </w:p>
    <w:p w:rsidR="005E2094" w:rsidP="005E2094" w14:paraId="4E831989" w14:textId="39B30FD6">
      <w:pPr>
        <w:pStyle w:val="ParaNum"/>
        <w:numPr>
          <w:ilvl w:val="0"/>
          <w:numId w:val="0"/>
        </w:numPr>
        <w:ind w:firstLine="720"/>
        <w:rPr>
          <w:rFonts w:eastAsia="Calibri"/>
        </w:rPr>
      </w:pPr>
      <w:r>
        <w:rPr>
          <w:rFonts w:eastAsia="Calibri"/>
          <w:i/>
          <w:iCs/>
        </w:rPr>
        <w:t>Accessible Materials.</w:t>
      </w:r>
      <w:r w:rsidRPr="00B35F45">
        <w:rPr>
          <w:rFonts w:eastAsia="Calibri"/>
        </w:rPr>
        <w:t xml:space="preserve">  To request materials in accessible formats for people with disabilities (Braille, large print, electronic files, audio format), send an e-mail </w:t>
      </w:r>
      <w:r w:rsidR="00BF60B2">
        <w:rPr>
          <w:rFonts w:eastAsia="Calibri"/>
        </w:rPr>
        <w:t xml:space="preserve">to </w:t>
      </w:r>
      <w:hyperlink r:id="rId6" w:history="1">
        <w:r w:rsidRPr="00D13AA6" w:rsidR="00187A86">
          <w:rPr>
            <w:rStyle w:val="Hyperlink"/>
            <w:rFonts w:eastAsia="Calibri"/>
          </w:rPr>
          <w:t>fcc504@fcc.gov</w:t>
        </w:r>
      </w:hyperlink>
      <w:r w:rsidR="00187A86">
        <w:rPr>
          <w:rFonts w:eastAsia="Calibri"/>
        </w:rPr>
        <w:t xml:space="preserve"> </w:t>
      </w:r>
      <w:r w:rsidRPr="00B35F45">
        <w:rPr>
          <w:rFonts w:eastAsia="Calibri"/>
        </w:rPr>
        <w:t>or call the Consumer and Governmental Affairs Bureau at 202-418-0530.</w:t>
      </w:r>
    </w:p>
    <w:p w:rsidR="005E2094" w:rsidRPr="005E2094" w:rsidP="005E2094" w14:paraId="48210DE9" w14:textId="484F6F78">
      <w:pPr>
        <w:pStyle w:val="ParaNum"/>
        <w:numPr>
          <w:ilvl w:val="0"/>
          <w:numId w:val="0"/>
        </w:numPr>
        <w:ind w:firstLine="720"/>
        <w:rPr>
          <w:rFonts w:eastAsia="Calibri"/>
        </w:rPr>
      </w:pPr>
      <w:r w:rsidRPr="00B35F45">
        <w:rPr>
          <w:i/>
          <w:iCs/>
        </w:rPr>
        <w:t>Additional Information.</w:t>
      </w:r>
      <w:r w:rsidRPr="00B35F45">
        <w:t xml:space="preserve">  For additional information on this proceeding, contact </w:t>
      </w:r>
      <w:r>
        <w:t xml:space="preserve">William Wallace, Disability Rights Office, Consumer and Governmental Affairs Bureau, at 202-418-2716, or </w:t>
      </w:r>
      <w:hyperlink r:id="rId7">
        <w:r w:rsidRPr="026C2F58">
          <w:rPr>
            <w:rStyle w:val="Hyperlink"/>
          </w:rPr>
          <w:t>William.Wallace@fcc.gov</w:t>
        </w:r>
      </w:hyperlink>
      <w:r w:rsidRPr="00B35F45">
        <w:t>.</w:t>
      </w:r>
    </w:p>
    <w:p w:rsidR="005E2094" w:rsidRPr="00881790" w:rsidP="00881790" w14:paraId="7DAC8C72" w14:textId="1E3F7CC2">
      <w:pPr>
        <w:jc w:val="center"/>
        <w:rPr>
          <w:b/>
          <w:bCs/>
        </w:rPr>
      </w:pPr>
      <w:r>
        <w:rPr>
          <w:b/>
          <w:bCs/>
        </w:rPr>
        <w:t>-FCC-</w:t>
      </w: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99" w14:paraId="753322EF" w14:textId="77777777">
    <w:pPr>
      <w:pStyle w:val="Footer"/>
      <w:framePr w:wrap="around" w:vAnchor="text" w:hAnchor="margin" w:xAlign="center" w:y="1"/>
    </w:pPr>
    <w:r>
      <w:fldChar w:fldCharType="begin"/>
    </w:r>
    <w:r>
      <w:instrText xml:space="preserve">PAGE  </w:instrText>
    </w:r>
    <w:r>
      <w:fldChar w:fldCharType="separate"/>
    </w:r>
    <w:r>
      <w:fldChar w:fldCharType="end"/>
    </w:r>
  </w:p>
  <w:p w:rsidR="00B73399" w14:paraId="45D012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99" w14:paraId="706BE5A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99" w14:paraId="31DAC3C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57D5" w14:paraId="58502C32" w14:textId="77777777">
      <w:r>
        <w:separator/>
      </w:r>
    </w:p>
  </w:footnote>
  <w:footnote w:type="continuationSeparator" w:id="1">
    <w:p w:rsidR="006857D5" w14:paraId="78936A37" w14:textId="77777777">
      <w:pPr>
        <w:rPr>
          <w:sz w:val="20"/>
        </w:rPr>
      </w:pPr>
      <w:r>
        <w:rPr>
          <w:sz w:val="20"/>
        </w:rPr>
        <w:t xml:space="preserve">(Continued from previous page)  </w:t>
      </w:r>
      <w:r>
        <w:rPr>
          <w:sz w:val="20"/>
        </w:rPr>
        <w:separator/>
      </w:r>
    </w:p>
  </w:footnote>
  <w:footnote w:type="continuationNotice" w:id="2">
    <w:p w:rsidR="006857D5" w14:paraId="30EB5238" w14:textId="77777777">
      <w:pPr>
        <w:jc w:val="right"/>
        <w:rPr>
          <w:sz w:val="20"/>
        </w:rPr>
      </w:pPr>
      <w:r>
        <w:rPr>
          <w:sz w:val="20"/>
        </w:rPr>
        <w:t>(continued….)</w:t>
      </w:r>
    </w:p>
  </w:footnote>
  <w:footnote w:id="3">
    <w:p w:rsidR="00BB6693" w14:paraId="4EF89D16" w14:textId="7E0FDAF2">
      <w:pPr>
        <w:pStyle w:val="FootnoteText"/>
      </w:pPr>
      <w:r>
        <w:rPr>
          <w:rStyle w:val="FootnoteReference"/>
        </w:rPr>
        <w:footnoteRef/>
      </w:r>
      <w:r>
        <w:t xml:space="preserve"> </w:t>
      </w:r>
      <w:r w:rsidR="004F25DC">
        <w:t>Petition of Sorenson Communications</w:t>
      </w:r>
      <w:r w:rsidR="004F3D86">
        <w:t xml:space="preserve">, LLC </w:t>
      </w:r>
      <w:r w:rsidR="004F25DC">
        <w:t xml:space="preserve">for </w:t>
      </w:r>
      <w:r w:rsidR="00657BDA">
        <w:t xml:space="preserve">a </w:t>
      </w:r>
      <w:r w:rsidR="004F25DC">
        <w:t>Limited Waiver of the Privacy Screen Rule</w:t>
      </w:r>
      <w:r w:rsidR="004F3D86">
        <w:t xml:space="preserve"> for Piloting VRS Integration with Video Conferencing Services, CG Docket Nos. 03-123 and </w:t>
      </w:r>
      <w:r w:rsidR="00047A5F">
        <w:t>10-51 (filed Dec. 19, 2022)</w:t>
      </w:r>
      <w:r w:rsidR="00043CE2">
        <w:t xml:space="preserve"> (Petition)</w:t>
      </w:r>
      <w:r w:rsidR="00047A5F">
        <w:t xml:space="preserve">, </w:t>
      </w:r>
      <w:hyperlink r:id="rId1" w:history="1">
        <w:r w:rsidRPr="008D27A8" w:rsidR="00047A5F">
          <w:rPr>
            <w:rStyle w:val="Hyperlink"/>
          </w:rPr>
          <w:t>https://www.fcc.gov/ecfs/document/12190888126091/1</w:t>
        </w:r>
      </w:hyperlink>
      <w:r w:rsidR="00047A5F">
        <w:t xml:space="preserve">.  </w:t>
      </w:r>
    </w:p>
  </w:footnote>
  <w:footnote w:id="4">
    <w:p w:rsidR="00CC7A78" w:rsidRPr="00171127" w14:paraId="33B9EFD5" w14:textId="3CEEC9A1">
      <w:pPr>
        <w:pStyle w:val="FootnoteText"/>
      </w:pPr>
      <w:r>
        <w:rPr>
          <w:rStyle w:val="FootnoteReference"/>
        </w:rPr>
        <w:footnoteRef/>
      </w:r>
      <w:r>
        <w:t xml:space="preserve"> </w:t>
      </w:r>
      <w:r>
        <w:rPr>
          <w:i/>
          <w:iCs/>
        </w:rPr>
        <w:t xml:space="preserve">See </w:t>
      </w:r>
      <w:r w:rsidR="00171127">
        <w:t xml:space="preserve">Petition at </w:t>
      </w:r>
      <w:r w:rsidR="00C270E8">
        <w:t>1-3.</w:t>
      </w:r>
    </w:p>
  </w:footnote>
  <w:footnote w:id="5">
    <w:p w:rsidR="00D72CC8" w:rsidP="00D72CC8" w14:paraId="45171991" w14:textId="77777777">
      <w:pPr>
        <w:pStyle w:val="FootnoteText"/>
      </w:pPr>
      <w:r>
        <w:rPr>
          <w:rStyle w:val="FootnoteReference"/>
        </w:rPr>
        <w:footnoteRef/>
      </w:r>
      <w:r>
        <w:t xml:space="preserve"> </w:t>
      </w:r>
      <w:r w:rsidRPr="003A644E">
        <w:t>47 CFR § 64.60</w:t>
      </w:r>
      <w:r>
        <w:t>1</w:t>
      </w:r>
      <w:r w:rsidRPr="003A644E">
        <w:t>(a)(</w:t>
      </w:r>
      <w:r>
        <w:t>51</w:t>
      </w:r>
      <w:r w:rsidRPr="003A644E">
        <w:t>).</w:t>
      </w:r>
    </w:p>
  </w:footnote>
  <w:footnote w:id="6">
    <w:p w:rsidR="00456C68" w:rsidRPr="00A83AF0" w:rsidP="002D7DA8" w14:paraId="6C9E45AB" w14:textId="75BB65A4">
      <w:pPr>
        <w:pStyle w:val="FootnoteText"/>
      </w:pPr>
      <w:r>
        <w:rPr>
          <w:rStyle w:val="FootnoteReference"/>
        </w:rPr>
        <w:footnoteRef/>
      </w:r>
      <w:r w:rsidR="00D72CC8">
        <w:t xml:space="preserve"> </w:t>
      </w:r>
      <w:r w:rsidR="00D72CC8">
        <w:t>47 CFR § 64.604(a)(6).</w:t>
      </w:r>
    </w:p>
  </w:footnote>
  <w:footnote w:id="7">
    <w:p w:rsidR="00456C68" w:rsidRPr="00FB713A" w14:paraId="1D21A9DB" w14:textId="0C217BDF">
      <w:pPr>
        <w:pStyle w:val="FootnoteText"/>
      </w:pPr>
      <w:r>
        <w:rPr>
          <w:rStyle w:val="FootnoteReference"/>
        </w:rPr>
        <w:footnoteRef/>
      </w:r>
      <w:r>
        <w:t xml:space="preserve"> </w:t>
      </w:r>
      <w:r w:rsidR="00C21AE0">
        <w:rPr>
          <w:i/>
          <w:iCs/>
        </w:rPr>
        <w:t>See Structure and Practices of</w:t>
      </w:r>
      <w:r w:rsidR="00FB713A">
        <w:rPr>
          <w:i/>
          <w:iCs/>
        </w:rPr>
        <w:t xml:space="preserve"> the Video Relay Service Program, </w:t>
      </w:r>
      <w:r w:rsidR="00FB713A">
        <w:t xml:space="preserve">CG Docket No. 10-51, 26 FCC </w:t>
      </w:r>
      <w:r w:rsidR="00FB713A">
        <w:t>Rcd</w:t>
      </w:r>
      <w:r w:rsidR="00FB713A">
        <w:t xml:space="preserve"> </w:t>
      </w:r>
      <w:r w:rsidR="00DC4E7C">
        <w:t xml:space="preserve">5545, </w:t>
      </w:r>
      <w:r w:rsidR="00731F47">
        <w:t>5566-6</w:t>
      </w:r>
      <w:r w:rsidR="00175A7A">
        <w:t xml:space="preserve">8, paras. </w:t>
      </w:r>
      <w:r w:rsidR="00AF439A">
        <w:t>39-42 (2011).</w:t>
      </w:r>
    </w:p>
  </w:footnote>
  <w:footnote w:id="8">
    <w:p w:rsidR="00612C83" w14:paraId="3AED7541" w14:textId="3025ED45">
      <w:pPr>
        <w:pStyle w:val="FootnoteText"/>
      </w:pPr>
      <w:r>
        <w:rPr>
          <w:rStyle w:val="FootnoteReference"/>
        </w:rPr>
        <w:footnoteRef/>
      </w:r>
      <w:r>
        <w:t xml:space="preserve"> </w:t>
      </w:r>
      <w:r w:rsidR="00402760">
        <w:rPr>
          <w:i/>
          <w:iCs/>
        </w:rPr>
        <w:t xml:space="preserve">See </w:t>
      </w:r>
      <w:r>
        <w:t xml:space="preserve">Petition at </w:t>
      </w:r>
      <w:r w:rsidR="00A32240">
        <w:t>3-7.</w:t>
      </w:r>
    </w:p>
  </w:footnote>
  <w:footnote w:id="9">
    <w:p w:rsidR="0094508F" w14:paraId="51771508" w14:textId="27A793CF">
      <w:pPr>
        <w:pStyle w:val="FootnoteText"/>
      </w:pPr>
      <w:r>
        <w:rPr>
          <w:rStyle w:val="FootnoteReference"/>
        </w:rPr>
        <w:footnoteRef/>
      </w:r>
      <w:r>
        <w:t xml:space="preserve"> </w:t>
      </w:r>
      <w:r w:rsidRPr="0094508F">
        <w:rPr>
          <w:i/>
          <w:iCs/>
        </w:rPr>
        <w:t xml:space="preserve">See </w:t>
      </w:r>
      <w:r w:rsidRPr="0094508F">
        <w:t>Petition</w:t>
      </w:r>
      <w:r w:rsidRPr="0094508F">
        <w:rPr>
          <w:i/>
          <w:iCs/>
        </w:rPr>
        <w:t xml:space="preserve"> </w:t>
      </w:r>
      <w:r w:rsidRPr="0094508F">
        <w:t xml:space="preserve">at </w:t>
      </w:r>
      <w:r>
        <w:t>9</w:t>
      </w:r>
      <w:r w:rsidRPr="0094508F">
        <w:t>.</w:t>
      </w:r>
    </w:p>
  </w:footnote>
  <w:footnote w:id="10">
    <w:p w:rsidR="00402760" w:rsidRPr="00402760" w14:paraId="40C2EB6C" w14:textId="09A3040B">
      <w:pPr>
        <w:pStyle w:val="FootnoteText"/>
      </w:pPr>
      <w:r>
        <w:rPr>
          <w:rStyle w:val="FootnoteReference"/>
        </w:rPr>
        <w:footnoteRef/>
      </w:r>
      <w:r>
        <w:t xml:space="preserve"> </w:t>
      </w:r>
      <w:bookmarkStart w:id="0" w:name="_Hlk123052609"/>
      <w:r>
        <w:rPr>
          <w:i/>
          <w:iCs/>
        </w:rPr>
        <w:t xml:space="preserve">See </w:t>
      </w:r>
      <w:r w:rsidR="00191DEC">
        <w:t>Petition</w:t>
      </w:r>
      <w:r>
        <w:rPr>
          <w:i/>
          <w:iCs/>
        </w:rPr>
        <w:t xml:space="preserve"> </w:t>
      </w:r>
      <w:r>
        <w:t>at 7.</w:t>
      </w:r>
      <w:bookmarkEnd w:id="0"/>
    </w:p>
  </w:footnote>
  <w:footnote w:id="11">
    <w:p w:rsidR="005E2094" w:rsidP="005E2094" w14:paraId="6F1AD274" w14:textId="64173729">
      <w:pPr>
        <w:pStyle w:val="FootnoteText"/>
      </w:pPr>
      <w:r>
        <w:rPr>
          <w:rStyle w:val="FootnoteReference"/>
        </w:rPr>
        <w:footnoteRef/>
      </w:r>
      <w:r>
        <w:t xml:space="preserve"> </w:t>
      </w:r>
      <w:r>
        <w:rPr>
          <w:i/>
          <w:iCs/>
        </w:rPr>
        <w:t xml:space="preserve">See </w:t>
      </w:r>
      <w:r w:rsidRPr="520AE9D0">
        <w:rPr>
          <w:rFonts w:eastAsia="Calibri"/>
        </w:rPr>
        <w:t>47 CFR §§ 1.</w:t>
      </w:r>
      <w:r>
        <w:rPr>
          <w:rFonts w:eastAsia="Calibri"/>
        </w:rPr>
        <w:t>1, 1.</w:t>
      </w:r>
      <w:r w:rsidR="00C43164">
        <w:rPr>
          <w:rFonts w:eastAsia="Calibri"/>
        </w:rPr>
        <w:t>3</w:t>
      </w:r>
      <w:r>
        <w:rPr>
          <w:rFonts w:eastAsia="Calibri"/>
        </w:rPr>
        <w:t>, 1.4</w:t>
      </w:r>
      <w:r w:rsidR="00C43164">
        <w:rPr>
          <w:rFonts w:eastAsia="Calibri"/>
        </w:rPr>
        <w:t>5</w:t>
      </w:r>
      <w:r>
        <w:rPr>
          <w:rFonts w:eastAsia="Calibri"/>
        </w:rPr>
        <w:t>.</w:t>
      </w:r>
    </w:p>
  </w:footnote>
  <w:footnote w:id="12">
    <w:p w:rsidR="005E2094" w:rsidP="005E2094" w14:paraId="4E546D43" w14:textId="018362BB">
      <w:pPr>
        <w:pStyle w:val="FootnoteText"/>
      </w:pPr>
      <w:r>
        <w:rPr>
          <w:rStyle w:val="FootnoteReference"/>
        </w:rPr>
        <w:footnoteRef/>
      </w:r>
      <w:r>
        <w:t xml:space="preserve"> </w:t>
      </w:r>
      <w:r w:rsidRPr="520AE9D0">
        <w:rPr>
          <w:rFonts w:eastAsia="Calibri"/>
          <w:i/>
          <w:iCs/>
        </w:rPr>
        <w:t>See</w:t>
      </w:r>
      <w:r w:rsidRPr="520AE9D0">
        <w:rPr>
          <w:rFonts w:eastAsia="Calibri"/>
        </w:rPr>
        <w:t xml:space="preserve"> </w:t>
      </w:r>
      <w:r w:rsidRPr="005E2094">
        <w:rPr>
          <w:i/>
          <w:iCs/>
        </w:rPr>
        <w:t>Electronic Filing of Documents in Rulemaking Proceedings</w:t>
      </w:r>
      <w:r>
        <w:t>, GC Docket No. 97-113, Report and Order, 13 FCC Rcd 11322 (1998).</w:t>
      </w:r>
    </w:p>
  </w:footnote>
  <w:footnote w:id="13">
    <w:p w:rsidR="005E2094" w:rsidP="005E2094" w14:paraId="17F07B29"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hyperlink r:id="rId2" w:history="1">
        <w:r w:rsidRPr="001107FF">
          <w:rPr>
            <w:rStyle w:val="Hyperlink"/>
          </w:rPr>
          <w:t>https://www.fcc.gov/document/fcc-closesheadquarters-open-window-and-changes-hand-delivery-policy</w:t>
        </w:r>
      </w:hyperlink>
      <w:r>
        <w:t xml:space="preserve">. </w:t>
      </w:r>
    </w:p>
  </w:footnote>
  <w:footnote w:id="14">
    <w:p w:rsidR="005E2094" w:rsidRPr="001933F7" w:rsidP="005E2094" w14:paraId="7FB182DF" w14:textId="77777777">
      <w:pPr>
        <w:pStyle w:val="FootnoteText"/>
        <w:rPr>
          <w:i/>
          <w:iCs/>
        </w:rPr>
      </w:pPr>
      <w:r w:rsidRPr="001933F7">
        <w:rPr>
          <w:rStyle w:val="FootnoteReference"/>
        </w:rPr>
        <w:footnoteRef/>
      </w:r>
      <w:r w:rsidRPr="001933F7">
        <w:t xml:space="preserve"> </w:t>
      </w:r>
      <w:r w:rsidRPr="001933F7">
        <w:t xml:space="preserve">47 CFR § 1.1200 </w:t>
      </w:r>
      <w:r w:rsidRPr="001933F7">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99" w14:paraId="7C3F07CA" w14:textId="7EA9A9E2">
    <w:pPr>
      <w:tabs>
        <w:tab w:val="center" w:pos="4680"/>
        <w:tab w:val="right" w:pos="9360"/>
      </w:tabs>
    </w:pPr>
    <w:r>
      <w:rPr>
        <w:b/>
      </w:rPr>
      <w:tab/>
    </w:r>
    <w:r>
      <w:rPr>
        <w:b/>
      </w:rPr>
      <w:t>Federal Communications Commission</w:t>
    </w:r>
    <w:r>
      <w:rPr>
        <w:b/>
      </w:rPr>
      <w:tab/>
    </w:r>
    <w:r w:rsidR="00413593">
      <w:rPr>
        <w:b/>
      </w:rPr>
      <w:t>DA 23</w:t>
    </w:r>
    <w:r w:rsidR="003B72E6">
      <w:rPr>
        <w:b/>
      </w:rPr>
      <w:t>-</w:t>
    </w:r>
    <w:r w:rsidR="00C540C4">
      <w:rPr>
        <w:b/>
      </w:rPr>
      <w:t>28</w:t>
    </w:r>
  </w:p>
  <w:p w:rsidR="00B73399" w14:paraId="191AC07A" w14:textId="77777777">
    <w:pPr>
      <w:tabs>
        <w:tab w:val="left" w:pos="-720"/>
      </w:tabs>
      <w:suppressAutoHyphens/>
      <w:spacing w:line="19" w:lineRule="exact"/>
      <w:rPr>
        <w:spacing w:val="-2"/>
      </w:rPr>
    </w:pPr>
    <w:r>
      <w:rPr>
        <w:noProof/>
      </w:rPr>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strokeweight="0.05pt">
          <w10:wrap anchorx="margin"/>
        </v:rect>
      </w:pict>
    </w:r>
  </w:p>
  <w:p w:rsidR="00B73399" w14:paraId="3256D7F8"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3399" w14:paraId="1007844E"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75pt;height:113.25pt;mso-height-percent:0;mso-width-percent:0;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9"/>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94"/>
    <w:rsid w:val="00031E84"/>
    <w:rsid w:val="00043CE2"/>
    <w:rsid w:val="00047458"/>
    <w:rsid w:val="00047A5F"/>
    <w:rsid w:val="0005056B"/>
    <w:rsid w:val="000C5964"/>
    <w:rsid w:val="000E4C09"/>
    <w:rsid w:val="000F428F"/>
    <w:rsid w:val="001107FF"/>
    <w:rsid w:val="001338F4"/>
    <w:rsid w:val="001378E8"/>
    <w:rsid w:val="00171101"/>
    <w:rsid w:val="00171127"/>
    <w:rsid w:val="00175A7A"/>
    <w:rsid w:val="001775DA"/>
    <w:rsid w:val="00187A86"/>
    <w:rsid w:val="00191DEC"/>
    <w:rsid w:val="001933F7"/>
    <w:rsid w:val="001947A9"/>
    <w:rsid w:val="001E2E15"/>
    <w:rsid w:val="0022041B"/>
    <w:rsid w:val="00243468"/>
    <w:rsid w:val="002875BF"/>
    <w:rsid w:val="00295159"/>
    <w:rsid w:val="002A424E"/>
    <w:rsid w:val="002D7DA8"/>
    <w:rsid w:val="002F1733"/>
    <w:rsid w:val="002F68CE"/>
    <w:rsid w:val="00363539"/>
    <w:rsid w:val="003A644E"/>
    <w:rsid w:val="003B50E5"/>
    <w:rsid w:val="003B72E6"/>
    <w:rsid w:val="003F5B98"/>
    <w:rsid w:val="003F61D9"/>
    <w:rsid w:val="00402760"/>
    <w:rsid w:val="00413593"/>
    <w:rsid w:val="004514DC"/>
    <w:rsid w:val="004531A7"/>
    <w:rsid w:val="00456C68"/>
    <w:rsid w:val="004800B4"/>
    <w:rsid w:val="004F25DC"/>
    <w:rsid w:val="004F3D86"/>
    <w:rsid w:val="0054212D"/>
    <w:rsid w:val="005953D2"/>
    <w:rsid w:val="005A1A1D"/>
    <w:rsid w:val="005A3707"/>
    <w:rsid w:val="005A41CA"/>
    <w:rsid w:val="005E2094"/>
    <w:rsid w:val="005F195C"/>
    <w:rsid w:val="00612C83"/>
    <w:rsid w:val="00657BDA"/>
    <w:rsid w:val="0066300D"/>
    <w:rsid w:val="006857D5"/>
    <w:rsid w:val="006D1D3F"/>
    <w:rsid w:val="006D3108"/>
    <w:rsid w:val="00731F47"/>
    <w:rsid w:val="00746FC2"/>
    <w:rsid w:val="00761D96"/>
    <w:rsid w:val="00762C86"/>
    <w:rsid w:val="007858C5"/>
    <w:rsid w:val="007C6506"/>
    <w:rsid w:val="007D3DA4"/>
    <w:rsid w:val="00857655"/>
    <w:rsid w:val="00881030"/>
    <w:rsid w:val="00881790"/>
    <w:rsid w:val="00894F71"/>
    <w:rsid w:val="008A63FD"/>
    <w:rsid w:val="008D27A8"/>
    <w:rsid w:val="008F6071"/>
    <w:rsid w:val="00907928"/>
    <w:rsid w:val="0094508F"/>
    <w:rsid w:val="00961D1A"/>
    <w:rsid w:val="009755E5"/>
    <w:rsid w:val="009C4FD9"/>
    <w:rsid w:val="009D0F23"/>
    <w:rsid w:val="009D2B71"/>
    <w:rsid w:val="00A20721"/>
    <w:rsid w:val="00A32240"/>
    <w:rsid w:val="00A46E87"/>
    <w:rsid w:val="00A511AD"/>
    <w:rsid w:val="00A83AF0"/>
    <w:rsid w:val="00AB7C96"/>
    <w:rsid w:val="00AF439A"/>
    <w:rsid w:val="00B35F45"/>
    <w:rsid w:val="00B36C37"/>
    <w:rsid w:val="00B73399"/>
    <w:rsid w:val="00BA4A91"/>
    <w:rsid w:val="00BB6693"/>
    <w:rsid w:val="00BE3318"/>
    <w:rsid w:val="00BF60B2"/>
    <w:rsid w:val="00C03E67"/>
    <w:rsid w:val="00C21AE0"/>
    <w:rsid w:val="00C2391E"/>
    <w:rsid w:val="00C270E8"/>
    <w:rsid w:val="00C43164"/>
    <w:rsid w:val="00C540C4"/>
    <w:rsid w:val="00C6163A"/>
    <w:rsid w:val="00CC7A78"/>
    <w:rsid w:val="00CD1A80"/>
    <w:rsid w:val="00D10845"/>
    <w:rsid w:val="00D13AA6"/>
    <w:rsid w:val="00D72CC8"/>
    <w:rsid w:val="00D744F7"/>
    <w:rsid w:val="00DA0C0A"/>
    <w:rsid w:val="00DA4B57"/>
    <w:rsid w:val="00DC4E7C"/>
    <w:rsid w:val="00DC7C36"/>
    <w:rsid w:val="00DE0497"/>
    <w:rsid w:val="00E361B6"/>
    <w:rsid w:val="00E80B6B"/>
    <w:rsid w:val="00F11478"/>
    <w:rsid w:val="00F11583"/>
    <w:rsid w:val="00F31C7C"/>
    <w:rsid w:val="00FB3891"/>
    <w:rsid w:val="00FB713A"/>
    <w:rsid w:val="00FC5E5A"/>
    <w:rsid w:val="026C2F58"/>
    <w:rsid w:val="520AE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5844B64"/>
  <w15:chartTrackingRefBased/>
  <w15:docId w15:val="{B741E3C7-8BB6-40D2-96C4-9C08BE85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 Char1,Footnote Text Char Char Char1 Char Char,Footnote Text Char1,Footnote Text Char1 Char,Footnote Text Char1 Char Char1 Char,Footnote Text Char1 Char Char1 Char Char2 Char,Footnote Text Char2,f,fn"/>
    <w:link w:val="FootnoteTextChar"/>
    <w:uiPriority w:val="99"/>
    <w:qFormat/>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uiPriority w:val="99"/>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aliases w:val="Footnote Text Char Char Char1 Char,Footnote Text Char Char Char1 Char Char Char,Footnote Text Char1 Char Char,Footnote Text Char1 Char Char1 Char Char,Footnote Text Char1 Char Char1 Char Char2 Char Char,Footnote Text Char1 Char1"/>
    <w:basedOn w:val="DefaultParagraphFont"/>
    <w:link w:val="FootnoteText"/>
    <w:uiPriority w:val="99"/>
    <w:rsid w:val="005E2094"/>
  </w:style>
  <w:style w:type="character" w:customStyle="1" w:styleId="ParaNumChar">
    <w:name w:val="ParaNum Char"/>
    <w:link w:val="ParaNum"/>
    <w:locked/>
    <w:rsid w:val="005E2094"/>
    <w:rPr>
      <w:snapToGrid w:val="0"/>
      <w:kern w:val="28"/>
      <w:sz w:val="22"/>
    </w:rPr>
  </w:style>
  <w:style w:type="numbering" w:customStyle="1" w:styleId="StyleBulletedLatinCourierNewLeft075Hanging0252">
    <w:name w:val="Style Bulleted (Latin) Courier New Left:  0.75&quot; Hanging:  0.25&quot;...2"/>
    <w:basedOn w:val="NoList"/>
    <w:rsid w:val="005E2094"/>
    <w:pPr>
      <w:numPr>
        <w:numId w:val="8"/>
      </w:numPr>
    </w:pPr>
  </w:style>
  <w:style w:type="paragraph" w:styleId="Revision">
    <w:name w:val="Revision"/>
    <w:hidden/>
    <w:uiPriority w:val="99"/>
    <w:semiHidden/>
    <w:rsid w:val="00295159"/>
    <w:rPr>
      <w:snapToGrid w:val="0"/>
      <w:kern w:val="28"/>
      <w:sz w:val="22"/>
    </w:rPr>
  </w:style>
  <w:style w:type="character" w:styleId="CommentReference">
    <w:name w:val="annotation reference"/>
    <w:uiPriority w:val="99"/>
    <w:semiHidden/>
    <w:unhideWhenUsed/>
    <w:rsid w:val="00295159"/>
    <w:rPr>
      <w:sz w:val="16"/>
      <w:szCs w:val="16"/>
    </w:rPr>
  </w:style>
  <w:style w:type="paragraph" w:styleId="CommentText">
    <w:name w:val="annotation text"/>
    <w:basedOn w:val="Normal"/>
    <w:link w:val="CommentTextChar"/>
    <w:uiPriority w:val="99"/>
    <w:unhideWhenUsed/>
    <w:rsid w:val="00295159"/>
    <w:rPr>
      <w:sz w:val="20"/>
    </w:rPr>
  </w:style>
  <w:style w:type="character" w:customStyle="1" w:styleId="CommentTextChar">
    <w:name w:val="Comment Text Char"/>
    <w:link w:val="CommentText"/>
    <w:uiPriority w:val="99"/>
    <w:rsid w:val="00295159"/>
    <w:rPr>
      <w:snapToGrid w:val="0"/>
      <w:kern w:val="28"/>
    </w:rPr>
  </w:style>
  <w:style w:type="paragraph" w:styleId="CommentSubject">
    <w:name w:val="annotation subject"/>
    <w:basedOn w:val="CommentText"/>
    <w:next w:val="CommentText"/>
    <w:link w:val="CommentSubjectChar"/>
    <w:uiPriority w:val="99"/>
    <w:semiHidden/>
    <w:unhideWhenUsed/>
    <w:rsid w:val="00295159"/>
    <w:rPr>
      <w:b/>
      <w:bCs/>
    </w:rPr>
  </w:style>
  <w:style w:type="character" w:customStyle="1" w:styleId="CommentSubjectChar">
    <w:name w:val="Comment Subject Char"/>
    <w:link w:val="CommentSubject"/>
    <w:uiPriority w:val="99"/>
    <w:semiHidden/>
    <w:rsid w:val="00295159"/>
    <w:rPr>
      <w:b/>
      <w:bCs/>
      <w:snapToGrid w:val="0"/>
      <w:kern w:val="28"/>
    </w:rPr>
  </w:style>
  <w:style w:type="character" w:styleId="FollowedHyperlink">
    <w:name w:val="FollowedHyperlink"/>
    <w:uiPriority w:val="99"/>
    <w:semiHidden/>
    <w:unhideWhenUsed/>
    <w:rsid w:val="003A64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William.Wallace@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2190888126091/1" TargetMode="External" /><Relationship Id="rId2"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