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013A8B" w:rsidRPr="00541432" w:rsidP="00013A8B" w14:paraId="09DD7D7B" w14:textId="693BCDB2">
      <w:pPr>
        <w:jc w:val="right"/>
        <w:rPr>
          <w:b/>
          <w:szCs w:val="22"/>
        </w:rPr>
      </w:pPr>
      <w:r w:rsidRPr="00541432">
        <w:rPr>
          <w:b/>
          <w:szCs w:val="22"/>
        </w:rPr>
        <w:t>DA 2</w:t>
      </w:r>
      <w:r w:rsidR="00340FE6">
        <w:rPr>
          <w:b/>
          <w:szCs w:val="22"/>
        </w:rPr>
        <w:t>3-</w:t>
      </w:r>
      <w:r w:rsidR="001358DC">
        <w:rPr>
          <w:b/>
          <w:szCs w:val="22"/>
        </w:rPr>
        <w:t>29</w:t>
      </w:r>
    </w:p>
    <w:p w:rsidR="00013A8B" w:rsidRPr="00541432" w:rsidP="00013A8B" w14:paraId="11239248" w14:textId="0688EC4E">
      <w:pPr>
        <w:spacing w:before="60"/>
        <w:jc w:val="right"/>
        <w:rPr>
          <w:b/>
          <w:szCs w:val="22"/>
        </w:rPr>
      </w:pPr>
      <w:r w:rsidRPr="00541432">
        <w:rPr>
          <w:b/>
          <w:szCs w:val="22"/>
        </w:rPr>
        <w:t xml:space="preserve">Released:  </w:t>
      </w:r>
      <w:r w:rsidR="00340FE6">
        <w:rPr>
          <w:b/>
          <w:szCs w:val="22"/>
        </w:rPr>
        <w:t xml:space="preserve">January </w:t>
      </w:r>
      <w:r w:rsidR="001358DC">
        <w:rPr>
          <w:b/>
          <w:szCs w:val="22"/>
        </w:rPr>
        <w:t>12</w:t>
      </w:r>
      <w:r w:rsidR="001B19BC">
        <w:rPr>
          <w:b/>
          <w:szCs w:val="22"/>
        </w:rPr>
        <w:t>, 2023</w:t>
      </w:r>
    </w:p>
    <w:p w:rsidR="00013A8B" w:rsidRPr="00541432" w:rsidP="00013A8B" w14:paraId="1CAF8948" w14:textId="77777777">
      <w:pPr>
        <w:jc w:val="right"/>
        <w:rPr>
          <w:szCs w:val="22"/>
        </w:rPr>
      </w:pPr>
    </w:p>
    <w:p w:rsidR="00013A8B" w:rsidRPr="00541432" w:rsidP="00013A8B" w14:paraId="153260AE" w14:textId="365DBA23">
      <w:pPr>
        <w:spacing w:after="240"/>
        <w:jc w:val="center"/>
        <w:rPr>
          <w:rFonts w:ascii="Times New Roman Bold" w:hAnsi="Times New Roman Bold"/>
          <w:b/>
          <w:caps/>
          <w:szCs w:val="22"/>
        </w:rPr>
      </w:pPr>
      <w:r w:rsidRPr="00541432">
        <w:rPr>
          <w:rFonts w:ascii="Times New Roman Bold" w:hAnsi="Times New Roman Bold"/>
          <w:b/>
          <w:caps/>
          <w:szCs w:val="22"/>
        </w:rPr>
        <w:t xml:space="preserve">Comment </w:t>
      </w:r>
      <w:r w:rsidR="00CF7294">
        <w:rPr>
          <w:rFonts w:ascii="Times New Roman Bold" w:hAnsi="Times New Roman Bold"/>
          <w:b/>
          <w:caps/>
          <w:szCs w:val="22"/>
        </w:rPr>
        <w:t xml:space="preserve">SOUGHT </w:t>
      </w:r>
      <w:r w:rsidRPr="00541432">
        <w:rPr>
          <w:rFonts w:ascii="Times New Roman Bold" w:hAnsi="Times New Roman Bold"/>
          <w:b/>
          <w:caps/>
          <w:szCs w:val="22"/>
        </w:rPr>
        <w:t>on Petition for</w:t>
      </w:r>
      <w:r w:rsidR="00F45B5D">
        <w:rPr>
          <w:rFonts w:ascii="Times New Roman Bold" w:hAnsi="Times New Roman Bold"/>
          <w:b/>
          <w:caps/>
          <w:szCs w:val="22"/>
        </w:rPr>
        <w:t xml:space="preserve"> </w:t>
      </w:r>
      <w:r w:rsidR="00A609F3">
        <w:rPr>
          <w:rFonts w:ascii="Times New Roman Bold" w:hAnsi="Times New Roman Bold"/>
          <w:b/>
          <w:caps/>
          <w:szCs w:val="22"/>
        </w:rPr>
        <w:t xml:space="preserve">Partial </w:t>
      </w:r>
      <w:r w:rsidRPr="00541432">
        <w:rPr>
          <w:rFonts w:ascii="Times New Roman Bold" w:hAnsi="Times New Roman Bold"/>
          <w:b/>
          <w:caps/>
          <w:szCs w:val="22"/>
        </w:rPr>
        <w:t>Reconsideration</w:t>
      </w:r>
      <w:r w:rsidR="00DF6A6F">
        <w:rPr>
          <w:rFonts w:ascii="Times New Roman Bold" w:hAnsi="Times New Roman Bold"/>
          <w:b/>
          <w:caps/>
          <w:szCs w:val="22"/>
        </w:rPr>
        <w:t xml:space="preserve"> </w:t>
      </w:r>
      <w:r w:rsidR="00D87242">
        <w:rPr>
          <w:rFonts w:ascii="Times New Roman Bold" w:hAnsi="Times New Roman Bold"/>
          <w:b/>
          <w:caps/>
          <w:szCs w:val="22"/>
        </w:rPr>
        <w:t xml:space="preserve">of </w:t>
      </w:r>
      <w:r w:rsidR="00F45B5D">
        <w:rPr>
          <w:rFonts w:ascii="Times New Roman Bold" w:hAnsi="Times New Roman Bold"/>
          <w:b/>
          <w:caps/>
          <w:szCs w:val="22"/>
        </w:rPr>
        <w:t xml:space="preserve">Report and Order </w:t>
      </w:r>
      <w:r>
        <w:rPr>
          <w:rFonts w:ascii="Times New Roman Bold" w:hAnsi="Times New Roman Bold"/>
          <w:b/>
          <w:caps/>
          <w:szCs w:val="22"/>
        </w:rPr>
        <w:t xml:space="preserve">ON TRS USER </w:t>
      </w:r>
      <w:r w:rsidR="008C2D87">
        <w:rPr>
          <w:rFonts w:ascii="Times New Roman Bold" w:hAnsi="Times New Roman Bold"/>
          <w:b/>
          <w:caps/>
          <w:szCs w:val="22"/>
        </w:rPr>
        <w:t xml:space="preserve">registration </w:t>
      </w:r>
    </w:p>
    <w:p w:rsidR="00013A8B" w:rsidRPr="00541432" w:rsidP="00013A8B" w14:paraId="48B3BEAA" w14:textId="42123CA4">
      <w:pPr>
        <w:jc w:val="center"/>
        <w:rPr>
          <w:b/>
          <w:szCs w:val="22"/>
        </w:rPr>
      </w:pPr>
      <w:r w:rsidRPr="00541432">
        <w:rPr>
          <w:b/>
          <w:szCs w:val="22"/>
        </w:rPr>
        <w:t xml:space="preserve">CG Docket Nos. </w:t>
      </w:r>
      <w:r w:rsidR="0097081E">
        <w:rPr>
          <w:b/>
          <w:szCs w:val="22"/>
        </w:rPr>
        <w:t>03-123, 1</w:t>
      </w:r>
      <w:r w:rsidRPr="00541432">
        <w:rPr>
          <w:b/>
          <w:szCs w:val="22"/>
        </w:rPr>
        <w:t xml:space="preserve">0-51, and </w:t>
      </w:r>
      <w:r w:rsidR="0097081E">
        <w:rPr>
          <w:b/>
          <w:szCs w:val="22"/>
        </w:rPr>
        <w:t>13-24</w:t>
      </w:r>
    </w:p>
    <w:p w:rsidR="00541432" w:rsidP="00541432" w14:paraId="56D25B91" w14:textId="2EB3160E">
      <w:pPr>
        <w:rPr>
          <w:b/>
          <w:szCs w:val="22"/>
        </w:rPr>
      </w:pPr>
    </w:p>
    <w:p w:rsidR="00541432" w:rsidRPr="00DF6A6F" w:rsidP="00541432" w14:paraId="2761E8C2" w14:textId="0091993E">
      <w:pPr>
        <w:rPr>
          <w:b/>
          <w:szCs w:val="22"/>
        </w:rPr>
      </w:pPr>
      <w:r>
        <w:rPr>
          <w:b/>
          <w:szCs w:val="22"/>
        </w:rPr>
        <w:t>Oppositions Due:  [</w:t>
      </w:r>
      <w:r w:rsidRPr="00C140E0" w:rsidR="00DF6A6F">
        <w:rPr>
          <w:b/>
          <w:szCs w:val="22"/>
        </w:rPr>
        <w:t xml:space="preserve">15 days </w:t>
      </w:r>
      <w:r w:rsidR="006D5614">
        <w:rPr>
          <w:b/>
          <w:szCs w:val="22"/>
        </w:rPr>
        <w:t>after</w:t>
      </w:r>
      <w:r w:rsidRPr="00C140E0" w:rsidR="00DF6A6F">
        <w:rPr>
          <w:b/>
          <w:szCs w:val="22"/>
        </w:rPr>
        <w:t xml:space="preserve"> date of publication </w:t>
      </w:r>
      <w:r w:rsidRPr="00DF6A6F" w:rsidR="00DF6A6F">
        <w:rPr>
          <w:b/>
          <w:szCs w:val="22"/>
        </w:rPr>
        <w:t>in the Federal Register</w:t>
      </w:r>
      <w:r w:rsidR="00DF6A6F">
        <w:rPr>
          <w:b/>
          <w:szCs w:val="22"/>
        </w:rPr>
        <w:t>]</w:t>
      </w:r>
    </w:p>
    <w:p w:rsidR="00541432" w:rsidRPr="00DF6A6F" w:rsidP="00541432" w14:paraId="7F20FE89" w14:textId="1348C9A6">
      <w:pPr>
        <w:rPr>
          <w:b/>
          <w:szCs w:val="22"/>
        </w:rPr>
      </w:pPr>
      <w:r w:rsidRPr="00DF6A6F">
        <w:rPr>
          <w:b/>
          <w:szCs w:val="22"/>
        </w:rPr>
        <w:t xml:space="preserve">Replies Due: </w:t>
      </w:r>
      <w:r w:rsidR="001A2B21">
        <w:rPr>
          <w:b/>
          <w:szCs w:val="22"/>
        </w:rPr>
        <w:t xml:space="preserve"> </w:t>
      </w:r>
      <w:r w:rsidRPr="00DF6A6F">
        <w:rPr>
          <w:b/>
          <w:szCs w:val="22"/>
        </w:rPr>
        <w:t>[</w:t>
      </w:r>
      <w:r w:rsidR="00F13D44">
        <w:rPr>
          <w:b/>
          <w:szCs w:val="22"/>
        </w:rPr>
        <w:t>10</w:t>
      </w:r>
      <w:r w:rsidRPr="00C140E0" w:rsidR="00F13D44">
        <w:rPr>
          <w:b/>
          <w:szCs w:val="22"/>
        </w:rPr>
        <w:t xml:space="preserve"> </w:t>
      </w:r>
      <w:r w:rsidRPr="00C140E0" w:rsidR="00D370DF">
        <w:rPr>
          <w:b/>
          <w:szCs w:val="22"/>
        </w:rPr>
        <w:t xml:space="preserve">days </w:t>
      </w:r>
      <w:r w:rsidR="006D5614">
        <w:rPr>
          <w:b/>
          <w:szCs w:val="22"/>
        </w:rPr>
        <w:t>after</w:t>
      </w:r>
      <w:r w:rsidRPr="00C140E0" w:rsidR="00D370DF">
        <w:rPr>
          <w:b/>
          <w:szCs w:val="22"/>
        </w:rPr>
        <w:t xml:space="preserve"> date </w:t>
      </w:r>
      <w:r w:rsidR="00F13D44">
        <w:rPr>
          <w:b/>
          <w:szCs w:val="22"/>
        </w:rPr>
        <w:t>oppositions are due</w:t>
      </w:r>
      <w:r w:rsidR="00DF6A6F">
        <w:rPr>
          <w:b/>
          <w:szCs w:val="22"/>
        </w:rPr>
        <w:t>]</w:t>
      </w:r>
    </w:p>
    <w:p w:rsidR="00497FEC" w:rsidP="00497FEC" w14:paraId="32A6563A" w14:textId="0C8CA028">
      <w:pPr>
        <w:rPr>
          <w:b/>
          <w:szCs w:val="22"/>
        </w:rPr>
      </w:pPr>
    </w:p>
    <w:p w:rsidR="00EA27BF" w:rsidP="00497FEC" w14:paraId="4A37A59F" w14:textId="46CA10D8">
      <w:pPr>
        <w:spacing w:after="120"/>
        <w:ind w:firstLine="720"/>
        <w:rPr>
          <w:szCs w:val="22"/>
        </w:rPr>
      </w:pPr>
      <w:r>
        <w:rPr>
          <w:szCs w:val="22"/>
        </w:rPr>
        <w:t xml:space="preserve">The Consumer and Governmental Affairs Bureau (Bureau) of the Federal Communications Commission (Commission) seeks comment on </w:t>
      </w:r>
      <w:r w:rsidR="00E755A4">
        <w:rPr>
          <w:szCs w:val="22"/>
        </w:rPr>
        <w:t xml:space="preserve">a </w:t>
      </w:r>
      <w:r>
        <w:rPr>
          <w:szCs w:val="22"/>
        </w:rPr>
        <w:t xml:space="preserve">petition </w:t>
      </w:r>
      <w:r w:rsidR="0063211A">
        <w:rPr>
          <w:szCs w:val="22"/>
        </w:rPr>
        <w:t xml:space="preserve">for </w:t>
      </w:r>
      <w:r w:rsidR="007F4F7E">
        <w:rPr>
          <w:szCs w:val="22"/>
        </w:rPr>
        <w:t xml:space="preserve">partial </w:t>
      </w:r>
      <w:r>
        <w:rPr>
          <w:szCs w:val="22"/>
        </w:rPr>
        <w:t>reconsider</w:t>
      </w:r>
      <w:r w:rsidR="0063211A">
        <w:rPr>
          <w:szCs w:val="22"/>
        </w:rPr>
        <w:t>ation of the</w:t>
      </w:r>
      <w:r>
        <w:rPr>
          <w:szCs w:val="22"/>
        </w:rPr>
        <w:t xml:space="preserve"> </w:t>
      </w:r>
      <w:r w:rsidR="00CB31CD">
        <w:rPr>
          <w:i/>
          <w:iCs/>
          <w:szCs w:val="22"/>
        </w:rPr>
        <w:t>Registration</w:t>
      </w:r>
      <w:r w:rsidR="00E755A4">
        <w:rPr>
          <w:i/>
          <w:iCs/>
          <w:szCs w:val="22"/>
        </w:rPr>
        <w:t xml:space="preserve"> </w:t>
      </w:r>
      <w:r w:rsidR="007C556F">
        <w:rPr>
          <w:i/>
          <w:iCs/>
          <w:szCs w:val="22"/>
        </w:rPr>
        <w:t>Grace Period Order</w:t>
      </w:r>
      <w:r>
        <w:rPr>
          <w:i/>
          <w:iCs/>
          <w:szCs w:val="22"/>
        </w:rPr>
        <w:t>.</w:t>
      </w:r>
      <w:r>
        <w:rPr>
          <w:rStyle w:val="FootnoteReference"/>
          <w:szCs w:val="22"/>
        </w:rPr>
        <w:footnoteReference w:id="3"/>
      </w:r>
      <w:r>
        <w:rPr>
          <w:i/>
          <w:iCs/>
          <w:szCs w:val="22"/>
        </w:rPr>
        <w:t xml:space="preserve">  </w:t>
      </w:r>
      <w:r>
        <w:rPr>
          <w:szCs w:val="22"/>
        </w:rPr>
        <w:t xml:space="preserve">In that Report and Order, </w:t>
      </w:r>
      <w:r w:rsidR="00DF127B">
        <w:rPr>
          <w:szCs w:val="22"/>
        </w:rPr>
        <w:t xml:space="preserve">the Commission amended its rules </w:t>
      </w:r>
      <w:r w:rsidR="00DF127B">
        <w:t>for Video Relay Service (VRS) and Internet Protocol Captioned Telephone Service (IP CTS) to allow consumers who are registering for service for the first time, or changing their service provider, to begin using the service without delay, pending completion of the user registration process.</w:t>
      </w:r>
    </w:p>
    <w:p w:rsidR="00590AFE" w:rsidP="00497FEC" w14:paraId="2F584E4F" w14:textId="41AB32EC">
      <w:pPr>
        <w:spacing w:after="120"/>
        <w:ind w:firstLine="720"/>
        <w:rPr>
          <w:szCs w:val="22"/>
        </w:rPr>
      </w:pPr>
      <w:r>
        <w:rPr>
          <w:szCs w:val="22"/>
        </w:rPr>
        <w:t>Sorenson Communications, LLC (Sorenson), a prov</w:t>
      </w:r>
      <w:r w:rsidR="009543FF">
        <w:rPr>
          <w:szCs w:val="22"/>
        </w:rPr>
        <w:t xml:space="preserve">ider of VRS, </w:t>
      </w:r>
      <w:r w:rsidR="00E352C2">
        <w:rPr>
          <w:szCs w:val="22"/>
        </w:rPr>
        <w:t>has petitioned for reconside</w:t>
      </w:r>
      <w:r w:rsidR="003C1E00">
        <w:rPr>
          <w:szCs w:val="22"/>
        </w:rPr>
        <w:t>ration of two aspects of that decision.</w:t>
      </w:r>
      <w:r>
        <w:rPr>
          <w:rStyle w:val="FootnoteReference"/>
          <w:szCs w:val="22"/>
        </w:rPr>
        <w:footnoteReference w:id="4"/>
      </w:r>
      <w:r w:rsidR="003C1E00">
        <w:rPr>
          <w:szCs w:val="22"/>
        </w:rPr>
        <w:t xml:space="preserve">  First, </w:t>
      </w:r>
      <w:r w:rsidR="009543FF">
        <w:t xml:space="preserve">Sorenson asks the Commission </w:t>
      </w:r>
      <w:r w:rsidR="003C1E00">
        <w:t xml:space="preserve">to </w:t>
      </w:r>
      <w:r w:rsidR="009543FF">
        <w:t xml:space="preserve">reconsider the requirement for </w:t>
      </w:r>
      <w:r w:rsidR="003C1E00">
        <w:t xml:space="preserve">VRS </w:t>
      </w:r>
      <w:r w:rsidR="009543FF">
        <w:t>providers to terminate service to users who cannot complete the registration process within the two-week “grace period.”</w:t>
      </w:r>
      <w:r>
        <w:rPr>
          <w:rStyle w:val="FootnoteReference"/>
        </w:rPr>
        <w:footnoteReference w:id="5"/>
      </w:r>
      <w:r w:rsidR="003C1E00">
        <w:t xml:space="preserve">  </w:t>
      </w:r>
      <w:r w:rsidR="009543FF">
        <w:t>Second, Sorenson asks the Commission reconsider the requirement to port a user back to the user’s prior provider when re-registration upon porting</w:t>
      </w:r>
      <w:r w:rsidR="00265170">
        <w:t>-in to a new provider</w:t>
      </w:r>
      <w:r w:rsidR="009543FF">
        <w:t xml:space="preserve"> has not been completed within two weeks.</w:t>
      </w:r>
      <w:r>
        <w:rPr>
          <w:rStyle w:val="FootnoteReference"/>
        </w:rPr>
        <w:footnoteReference w:id="6"/>
      </w:r>
      <w:r>
        <w:t xml:space="preserve"> </w:t>
      </w:r>
    </w:p>
    <w:p w:rsidR="00497FEC" w:rsidRPr="00541432" w:rsidP="00497FEC" w14:paraId="3246BA13" w14:textId="1F7C9559">
      <w:pPr>
        <w:spacing w:after="120"/>
        <w:ind w:firstLine="720"/>
        <w:rPr>
          <w:szCs w:val="22"/>
        </w:rPr>
      </w:pPr>
      <w:r w:rsidRPr="00541432">
        <w:rPr>
          <w:szCs w:val="22"/>
        </w:rPr>
        <w:t xml:space="preserve">Pursuant to sections 1.1 and </w:t>
      </w:r>
      <w:r w:rsidR="0041054E">
        <w:rPr>
          <w:szCs w:val="22"/>
        </w:rPr>
        <w:t>1.</w:t>
      </w:r>
      <w:r w:rsidRPr="0041054E" w:rsidR="0041054E">
        <w:rPr>
          <w:szCs w:val="22"/>
        </w:rPr>
        <w:t>429</w:t>
      </w:r>
      <w:r w:rsidRPr="0041054E">
        <w:rPr>
          <w:szCs w:val="22"/>
        </w:rPr>
        <w:t xml:space="preserve"> of</w:t>
      </w:r>
      <w:r w:rsidRPr="00541432">
        <w:rPr>
          <w:szCs w:val="22"/>
        </w:rPr>
        <w:t xml:space="preserve"> the Commission’s rules, we invite interested parties to file and serve oppositions to and replies to oppositions to this petition on or before the dates specified above.</w:t>
      </w:r>
      <w:r>
        <w:rPr>
          <w:rStyle w:val="FootnoteReference"/>
          <w:szCs w:val="22"/>
        </w:rPr>
        <w:footnoteReference w:id="7"/>
      </w:r>
      <w:r w:rsidRPr="00541432">
        <w:rPr>
          <w:szCs w:val="22"/>
        </w:rPr>
        <w:t xml:space="preserve">  All filings must reference CG Docket Nos. </w:t>
      </w:r>
      <w:r w:rsidR="0042347A">
        <w:rPr>
          <w:szCs w:val="22"/>
        </w:rPr>
        <w:t>03-123,</w:t>
      </w:r>
      <w:r w:rsidR="008400AF">
        <w:rPr>
          <w:szCs w:val="22"/>
        </w:rPr>
        <w:t xml:space="preserve"> 10</w:t>
      </w:r>
      <w:r w:rsidRPr="00541432">
        <w:rPr>
          <w:szCs w:val="22"/>
        </w:rPr>
        <w:t xml:space="preserve">-51, and </w:t>
      </w:r>
      <w:r w:rsidR="008400AF">
        <w:rPr>
          <w:szCs w:val="22"/>
        </w:rPr>
        <w:t>13-24.</w:t>
      </w:r>
      <w:r w:rsidRPr="00541432">
        <w:rPr>
          <w:szCs w:val="22"/>
        </w:rPr>
        <w:t xml:space="preserve"> </w:t>
      </w:r>
    </w:p>
    <w:p w:rsidR="00DD12DB" w:rsidRPr="00DD12DB" w:rsidP="00DD12DB" w14:paraId="03D6EA3C" w14:textId="41B9D027">
      <w:pPr>
        <w:autoSpaceDE w:val="0"/>
        <w:autoSpaceDN w:val="0"/>
        <w:adjustRightInd w:val="0"/>
        <w:spacing w:after="120"/>
        <w:ind w:firstLine="720"/>
        <w:rPr>
          <w:szCs w:val="22"/>
        </w:rPr>
      </w:pPr>
      <w:r w:rsidRPr="00541432">
        <w:rPr>
          <w:szCs w:val="22"/>
        </w:rPr>
        <w:t>Oppositions and replies may be filed using the Commission’s Electronic Comment Filing System (ECFS).</w:t>
      </w:r>
      <w:r>
        <w:rPr>
          <w:rStyle w:val="FootnoteReference"/>
          <w:szCs w:val="22"/>
        </w:rPr>
        <w:footnoteReference w:id="8"/>
      </w:r>
      <w:r w:rsidRPr="00541432">
        <w:rPr>
          <w:szCs w:val="22"/>
        </w:rPr>
        <w:t xml:space="preserve">  </w:t>
      </w:r>
    </w:p>
    <w:p w:rsidR="00DD12DB" w:rsidRPr="00031E84" w:rsidP="00DD12DB" w14:paraId="66E4BFA2" w14:textId="77777777">
      <w:pPr>
        <w:widowControl/>
        <w:numPr>
          <w:ilvl w:val="0"/>
          <w:numId w:val="8"/>
        </w:numPr>
        <w:spacing w:after="120"/>
        <w:ind w:left="1080"/>
        <w:rPr>
          <w:szCs w:val="22"/>
        </w:rPr>
      </w:pPr>
      <w:r w:rsidRPr="00031E84">
        <w:rPr>
          <w:szCs w:val="22"/>
        </w:rPr>
        <w:t xml:space="preserve">Electronic Filers:  Comments may be filed electronically using the Internet by accessing the ECFS:  </w:t>
      </w:r>
      <w:hyperlink r:id="rId5" w:history="1">
        <w:r w:rsidRPr="00031E84">
          <w:rPr>
            <w:color w:val="0000FF"/>
            <w:szCs w:val="22"/>
            <w:u w:val="single"/>
          </w:rPr>
          <w:t>https://www.fcc.gov/ecfs/filings</w:t>
        </w:r>
      </w:hyperlink>
      <w:r w:rsidRPr="00031E84">
        <w:rPr>
          <w:szCs w:val="22"/>
        </w:rPr>
        <w:t xml:space="preserve">.  </w:t>
      </w:r>
    </w:p>
    <w:p w:rsidR="00DD12DB" w:rsidRPr="001775DA" w:rsidP="00DD12DB" w14:paraId="7098A0C3" w14:textId="77777777">
      <w:pPr>
        <w:widowControl/>
        <w:numPr>
          <w:ilvl w:val="0"/>
          <w:numId w:val="8"/>
        </w:numPr>
        <w:spacing w:after="120"/>
        <w:ind w:left="1080"/>
        <w:rPr>
          <w:szCs w:val="22"/>
        </w:rPr>
      </w:pPr>
      <w:r w:rsidRPr="001775DA">
        <w:rPr>
          <w:szCs w:val="22"/>
        </w:rPr>
        <w:t xml:space="preserve">Paper Filers:  </w:t>
      </w:r>
    </w:p>
    <w:p w:rsidR="00DD12DB" w:rsidRPr="001775DA" w:rsidP="00DD12DB" w14:paraId="2A5C3CCC" w14:textId="77777777">
      <w:pPr>
        <w:widowControl/>
        <w:numPr>
          <w:ilvl w:val="1"/>
          <w:numId w:val="10"/>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DD12DB" w:rsidRPr="00AB7C96" w:rsidP="00DD12DB" w14:paraId="2F951D93" w14:textId="77777777">
      <w:pPr>
        <w:widowControl/>
        <w:numPr>
          <w:ilvl w:val="1"/>
          <w:numId w:val="10"/>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DD12DB" w:rsidRPr="0054212D" w:rsidP="00DD12DB" w14:paraId="069C647A" w14:textId="77777777">
      <w:pPr>
        <w:widowControl/>
        <w:numPr>
          <w:ilvl w:val="1"/>
          <w:numId w:val="10"/>
        </w:numPr>
        <w:spacing w:after="120"/>
        <w:rPr>
          <w:rFonts w:ascii="Arial" w:hAnsi="Arial" w:cs="Arial"/>
          <w:snapToGrid/>
          <w:kern w:val="0"/>
        </w:rPr>
      </w:pPr>
      <w:r w:rsidRPr="00F11583">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w:t>
      </w:r>
      <w:r>
        <w:rPr>
          <w:szCs w:val="22"/>
        </w:rPr>
        <w:t xml:space="preserve"> Junction</w:t>
      </w:r>
      <w:r w:rsidRPr="00F11583">
        <w:rPr>
          <w:szCs w:val="22"/>
        </w:rPr>
        <w:t xml:space="preserve">, </w:t>
      </w:r>
      <w:r>
        <w:rPr>
          <w:szCs w:val="22"/>
        </w:rPr>
        <w:t xml:space="preserve">MD </w:t>
      </w:r>
      <w:r w:rsidRPr="00F11583">
        <w:rPr>
          <w:szCs w:val="22"/>
        </w:rPr>
        <w:t xml:space="preserve"> 20701</w:t>
      </w:r>
      <w:r>
        <w:rPr>
          <w:rFonts w:ascii="Arial" w:hAnsi="Arial" w:cs="Arial"/>
        </w:rPr>
        <w:t>.</w:t>
      </w:r>
      <w:r>
        <w:rPr>
          <w:rStyle w:val="FootnoteReference"/>
        </w:rPr>
        <w:footnoteReference w:id="9"/>
      </w:r>
      <w:r w:rsidRPr="0054212D">
        <w:rPr>
          <w:szCs w:val="22"/>
        </w:rPr>
        <w:t xml:space="preserve">  </w:t>
      </w:r>
    </w:p>
    <w:p w:rsidR="00DD12DB" w:rsidRPr="00AB7C96" w:rsidP="00DD12DB" w14:paraId="38C74827" w14:textId="77777777">
      <w:pPr>
        <w:widowControl/>
        <w:numPr>
          <w:ilvl w:val="1"/>
          <w:numId w:val="11"/>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9948DF" w:rsidP="009948DF" w14:paraId="12430549" w14:textId="77777777">
      <w:pPr>
        <w:widowControl/>
        <w:numPr>
          <w:ilvl w:val="1"/>
          <w:numId w:val="11"/>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r w:rsidRPr="00AB7C96">
        <w:rPr>
          <w:szCs w:val="22"/>
        </w:rPr>
        <w:t xml:space="preserve"> </w:t>
      </w:r>
    </w:p>
    <w:p w:rsidR="00DD12DB" w:rsidRPr="009948DF" w:rsidP="009948DF" w14:paraId="304FE37C" w14:textId="16994D9C">
      <w:pPr>
        <w:widowControl/>
        <w:numPr>
          <w:ilvl w:val="1"/>
          <w:numId w:val="11"/>
        </w:numPr>
        <w:spacing w:after="120"/>
        <w:rPr>
          <w:szCs w:val="22"/>
        </w:rPr>
      </w:pPr>
      <w:r w:rsidRPr="009948DF">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497FEC" w:rsidRPr="00541432" w:rsidP="00497FEC" w14:paraId="108EDA1F" w14:textId="1ED7C58D">
      <w:pPr>
        <w:spacing w:after="120"/>
        <w:ind w:firstLine="720"/>
        <w:rPr>
          <w:szCs w:val="22"/>
        </w:rPr>
      </w:pPr>
      <w:r w:rsidRPr="00541432">
        <w:rPr>
          <w:szCs w:val="22"/>
        </w:rPr>
        <w:t xml:space="preserve">For further information, please contact </w:t>
      </w:r>
      <w:r w:rsidR="008A2AFC">
        <w:rPr>
          <w:szCs w:val="22"/>
        </w:rPr>
        <w:t>William Wallace</w:t>
      </w:r>
      <w:r w:rsidRPr="00541432">
        <w:rPr>
          <w:szCs w:val="22"/>
        </w:rPr>
        <w:t>, at (202) 418-</w:t>
      </w:r>
      <w:r w:rsidR="008A2AFC">
        <w:rPr>
          <w:szCs w:val="22"/>
        </w:rPr>
        <w:t>2716</w:t>
      </w:r>
      <w:r w:rsidRPr="00541432">
        <w:rPr>
          <w:szCs w:val="22"/>
        </w:rPr>
        <w:t xml:space="preserve"> or </w:t>
      </w:r>
      <w:hyperlink r:id="rId6" w:history="1">
        <w:r w:rsidRPr="005E08C4" w:rsidR="004A58C5">
          <w:rPr>
            <w:rStyle w:val="Hyperlink"/>
            <w:szCs w:val="22"/>
          </w:rPr>
          <w:t>William.Wallace@fcc.gov</w:t>
        </w:r>
      </w:hyperlink>
      <w:r w:rsidRPr="00541432">
        <w:rPr>
          <w:szCs w:val="22"/>
        </w:rPr>
        <w:t>.</w:t>
      </w:r>
    </w:p>
    <w:p w:rsidR="00497FEC" w:rsidRPr="00541432" w:rsidP="00497FEC" w14:paraId="5352935A" w14:textId="77777777">
      <w:pPr>
        <w:autoSpaceDE w:val="0"/>
        <w:autoSpaceDN w:val="0"/>
        <w:adjustRightInd w:val="0"/>
        <w:spacing w:after="120"/>
        <w:jc w:val="center"/>
        <w:rPr>
          <w:b/>
          <w:szCs w:val="22"/>
        </w:rPr>
      </w:pPr>
      <w:r w:rsidRPr="00541432">
        <w:rPr>
          <w:b/>
          <w:szCs w:val="22"/>
        </w:rPr>
        <w:t xml:space="preserve">-FCC- </w:t>
      </w:r>
    </w:p>
    <w:p w:rsidR="00497FEC" w:rsidRPr="00541432" w:rsidP="00497FEC" w14:paraId="21EBD776" w14:textId="77777777">
      <w:pPr>
        <w:spacing w:after="120"/>
        <w:ind w:firstLine="720"/>
        <w:rPr>
          <w:b/>
          <w:szCs w:val="22"/>
        </w:rPr>
      </w:pPr>
      <w:r w:rsidRPr="00541432">
        <w:rPr>
          <w:szCs w:val="22"/>
        </w:rPr>
        <w:t xml:space="preserve"> </w:t>
      </w:r>
    </w:p>
    <w:p w:rsidR="00497FEC" w:rsidRPr="00541432" w:rsidP="00497FEC" w14:paraId="6FB595B1" w14:textId="77777777">
      <w:pPr>
        <w:rPr>
          <w:szCs w:val="22"/>
        </w:rPr>
      </w:pPr>
    </w:p>
    <w:p w:rsidR="00497FEC" w:rsidRPr="00541432" w:rsidP="00497FEC" w14:paraId="243CA09D" w14:textId="77777777">
      <w:pPr>
        <w:rPr>
          <w:b/>
          <w:szCs w:val="22"/>
        </w:rPr>
      </w:pPr>
    </w:p>
    <w:p w:rsidR="00F96F63" w:rsidRPr="00541432" w:rsidP="00F96F63" w14:paraId="44EA5D82" w14:textId="77777777">
      <w:pPr>
        <w:rPr>
          <w:szCs w:val="22"/>
        </w:rPr>
      </w:pPr>
      <w:bookmarkStart w:id="0" w:name="TOChere"/>
    </w:p>
    <w:bookmarkEnd w:id="0"/>
    <w:p w:rsidR="00F96F63" w:rsidRPr="00541432" w:rsidP="00F96F63" w14:paraId="6E122016" w14:textId="77777777">
      <w:pPr>
        <w:rPr>
          <w:szCs w:val="22"/>
        </w:rPr>
      </w:pPr>
    </w:p>
    <w:p w:rsidR="00930ECF" w:rsidRPr="00541432" w:rsidP="00F96F63" w14:paraId="4865E05B" w14:textId="77777777">
      <w:pPr>
        <w:rPr>
          <w:szCs w:val="22"/>
        </w:rPr>
      </w:pPr>
    </w:p>
    <w:sectPr w:rsidSect="000E5884">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1B01A930" w14:textId="77777777">
    <w:pPr>
      <w:pStyle w:val="Footer"/>
      <w:framePr w:wrap="around" w:vAnchor="text" w:hAnchor="margin" w:xAlign="center" w:y="1"/>
    </w:pPr>
    <w:r>
      <w:fldChar w:fldCharType="begin"/>
    </w:r>
    <w:r>
      <w:instrText xml:space="preserve">PAGE  </w:instrText>
    </w:r>
    <w:r w:rsidR="001358DC">
      <w:fldChar w:fldCharType="separate"/>
    </w:r>
    <w:r>
      <w:fldChar w:fldCharType="end"/>
    </w:r>
  </w:p>
  <w:p w:rsidR="006F7393" w14:paraId="29C44D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5AA7B7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15B7B14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41D0" w14:paraId="1986D98B" w14:textId="77777777">
      <w:r>
        <w:separator/>
      </w:r>
    </w:p>
  </w:footnote>
  <w:footnote w:type="continuationSeparator" w:id="1">
    <w:p w:rsidR="00C341D0" w14:paraId="733FCE71" w14:textId="77777777">
      <w:pPr>
        <w:rPr>
          <w:sz w:val="20"/>
        </w:rPr>
      </w:pPr>
      <w:r>
        <w:rPr>
          <w:sz w:val="20"/>
        </w:rPr>
        <w:t xml:space="preserve">(Continued from previous page)  </w:t>
      </w:r>
      <w:r>
        <w:rPr>
          <w:sz w:val="20"/>
        </w:rPr>
        <w:separator/>
      </w:r>
    </w:p>
  </w:footnote>
  <w:footnote w:type="continuationNotice" w:id="2">
    <w:p w:rsidR="00C341D0" w:rsidP="00910F12" w14:paraId="2EB9564B" w14:textId="77777777">
      <w:pPr>
        <w:jc w:val="right"/>
        <w:rPr>
          <w:sz w:val="20"/>
        </w:rPr>
      </w:pPr>
      <w:r>
        <w:rPr>
          <w:sz w:val="20"/>
        </w:rPr>
        <w:t>(continued….)</w:t>
      </w:r>
    </w:p>
  </w:footnote>
  <w:footnote w:id="3">
    <w:p w:rsidR="00622F34" w14:paraId="012F1B83" w14:textId="1FC57809">
      <w:pPr>
        <w:pStyle w:val="FootnoteText"/>
      </w:pPr>
      <w:r>
        <w:rPr>
          <w:rStyle w:val="FootnoteReference"/>
        </w:rPr>
        <w:footnoteRef/>
      </w:r>
      <w:r>
        <w:t xml:space="preserve"> </w:t>
      </w:r>
      <w:r>
        <w:rPr>
          <w:i/>
          <w:iCs/>
        </w:rPr>
        <w:t>See</w:t>
      </w:r>
      <w:r>
        <w:t xml:space="preserve"> </w:t>
      </w:r>
      <w:r>
        <w:rPr>
          <w:i/>
          <w:iCs/>
        </w:rPr>
        <w:t xml:space="preserve">Telecommunications Relay Services and Speech-to-Speech Services for Individuals with Hearing and Speech Disabilities; Structure and Practices of the Video Relay Service Program; Misuse of Internet Protocol (IP) Captioned Telephone Service; Petition for Rulemaking and Interim Waiver of Convo Communications, LLC, </w:t>
      </w:r>
      <w:r>
        <w:t>CG Docket Nos. 03-123, 10-51, and 13-24, Report and Order, Notice of Proposed Rulemaking, Order, and Declaratory Ruling, FCC 22-51 (June 30, 2022) (</w:t>
      </w:r>
      <w:r>
        <w:rPr>
          <w:i/>
          <w:iCs/>
        </w:rPr>
        <w:t>Registration Grace Period Order</w:t>
      </w:r>
      <w:r>
        <w:t>).</w:t>
      </w:r>
    </w:p>
  </w:footnote>
  <w:footnote w:id="4">
    <w:p w:rsidR="00265170" w:rsidRPr="00265170" w14:paraId="6939C2D6" w14:textId="4201A841">
      <w:pPr>
        <w:pStyle w:val="FootnoteText"/>
      </w:pPr>
      <w:r>
        <w:rPr>
          <w:rStyle w:val="FootnoteReference"/>
        </w:rPr>
        <w:footnoteRef/>
      </w:r>
      <w:r>
        <w:t xml:space="preserve"> </w:t>
      </w:r>
      <w:r>
        <w:rPr>
          <w:i/>
          <w:iCs/>
        </w:rPr>
        <w:t>See</w:t>
      </w:r>
      <w:r>
        <w:t xml:space="preserve"> </w:t>
      </w:r>
      <w:r w:rsidR="006B2B19">
        <w:t xml:space="preserve">Sorenson Communications, LLC, Petition for Partial Reconsideration, CG </w:t>
      </w:r>
      <w:r w:rsidR="00B1466C">
        <w:t xml:space="preserve">Docket Nos. 03-123, 10-51, and 13-24 (filed Oct. 21, 2022) (Petition), </w:t>
      </w:r>
      <w:hyperlink r:id="rId1" w:history="1">
        <w:r w:rsidRPr="005E08C4" w:rsidR="0012174E">
          <w:rPr>
            <w:rStyle w:val="Hyperlink"/>
          </w:rPr>
          <w:t>https://www.fcc.gov/ecfs/document/1021129108560/1</w:t>
        </w:r>
      </w:hyperlink>
      <w:r w:rsidR="0012174E">
        <w:t xml:space="preserve">. </w:t>
      </w:r>
    </w:p>
  </w:footnote>
  <w:footnote w:id="5">
    <w:p w:rsidR="0012174E" w:rsidRPr="0035470D" w14:paraId="2E96B365" w14:textId="5C812ACE">
      <w:pPr>
        <w:pStyle w:val="FootnoteText"/>
      </w:pPr>
      <w:r>
        <w:rPr>
          <w:rStyle w:val="FootnoteReference"/>
        </w:rPr>
        <w:footnoteRef/>
      </w:r>
      <w:r>
        <w:t xml:space="preserve"> </w:t>
      </w:r>
      <w:r>
        <w:rPr>
          <w:i/>
          <w:iCs/>
        </w:rPr>
        <w:t>See</w:t>
      </w:r>
      <w:r>
        <w:t xml:space="preserve"> </w:t>
      </w:r>
      <w:r w:rsidR="0035470D">
        <w:rPr>
          <w:i/>
          <w:iCs/>
        </w:rPr>
        <w:t>Registration Grace Period Order</w:t>
      </w:r>
      <w:r w:rsidR="0035470D">
        <w:t xml:space="preserve">, para. </w:t>
      </w:r>
      <w:r w:rsidR="004338AB">
        <w:t>20</w:t>
      </w:r>
      <w:r w:rsidR="00901215">
        <w:t xml:space="preserve">; Petition at </w:t>
      </w:r>
      <w:r w:rsidR="00154928">
        <w:t>6-8.</w:t>
      </w:r>
    </w:p>
  </w:footnote>
  <w:footnote w:id="6">
    <w:p w:rsidR="0042347A" w:rsidRPr="0042347A" w14:paraId="02CBAE01" w14:textId="19DC3391">
      <w:pPr>
        <w:pStyle w:val="FootnoteText"/>
      </w:pPr>
      <w:r>
        <w:rPr>
          <w:rStyle w:val="FootnoteReference"/>
        </w:rPr>
        <w:footnoteRef/>
      </w:r>
      <w:r>
        <w:t xml:space="preserve"> </w:t>
      </w:r>
      <w:r w:rsidR="006F3B44">
        <w:rPr>
          <w:i/>
          <w:iCs/>
        </w:rPr>
        <w:t>See Registration Grace Period Order</w:t>
      </w:r>
      <w:r>
        <w:t>, para. 21</w:t>
      </w:r>
      <w:r w:rsidR="006F3B44">
        <w:t>; Petition at 8-10.</w:t>
      </w:r>
    </w:p>
  </w:footnote>
  <w:footnote w:id="7">
    <w:p w:rsidR="00497FEC" w:rsidRPr="00D209A9" w:rsidP="00497FEC" w14:paraId="693EAEDE" w14:textId="34CA0E68">
      <w:pPr>
        <w:pStyle w:val="FootnoteText"/>
      </w:pPr>
      <w:r w:rsidRPr="00D209A9">
        <w:rPr>
          <w:rStyle w:val="FootnoteReference"/>
          <w:sz w:val="20"/>
        </w:rPr>
        <w:footnoteRef/>
      </w:r>
      <w:r w:rsidRPr="00D209A9">
        <w:t xml:space="preserve"> 47 CFR §§ 1.1</w:t>
      </w:r>
      <w:r w:rsidRPr="0041054E">
        <w:t xml:space="preserve">, </w:t>
      </w:r>
      <w:r w:rsidRPr="0041054E" w:rsidR="0041054E">
        <w:t>1.429</w:t>
      </w:r>
      <w:r w:rsidRPr="0041054E">
        <w:t>.</w:t>
      </w:r>
    </w:p>
  </w:footnote>
  <w:footnote w:id="8">
    <w:p w:rsidR="00497FEC" w:rsidRPr="00D209A9" w:rsidP="00497FEC" w14:paraId="24C77442" w14:textId="77777777">
      <w:pPr>
        <w:pStyle w:val="FootnoteText"/>
      </w:pPr>
      <w:r w:rsidRPr="00D209A9">
        <w:rPr>
          <w:rStyle w:val="FootnoteReference"/>
          <w:sz w:val="20"/>
        </w:rPr>
        <w:footnoteRef/>
      </w:r>
      <w:r w:rsidRPr="00D209A9">
        <w:t xml:space="preserve"> </w:t>
      </w:r>
      <w:r w:rsidRPr="00D209A9">
        <w:rPr>
          <w:i/>
        </w:rPr>
        <w:t>See</w:t>
      </w:r>
      <w:r w:rsidRPr="00D209A9">
        <w:t xml:space="preserve"> FCC, Electronic Filing of Documents in Rulemaking Proceedings, 63 Fed. Reg. 24121 (May 1, 1998).</w:t>
      </w:r>
    </w:p>
  </w:footnote>
  <w:footnote w:id="9">
    <w:p w:rsidR="00DD12DB" w:rsidP="00DD12DB" w14:paraId="0791B89C"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2" w:history="1">
        <w:r w:rsidRPr="001107FF">
          <w:rPr>
            <w:rStyle w:val="Hyperlink"/>
          </w:rPr>
          <w:t>https://www.fcc.gov/document/fcc-closesheadquarters-open-window-and-changes-hand-delivery-policy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656F6B4E" w14:textId="5FA31AAA">
    <w:pPr>
      <w:tabs>
        <w:tab w:val="center" w:pos="4680"/>
        <w:tab w:val="right" w:pos="9360"/>
      </w:tabs>
    </w:pPr>
    <w:r w:rsidRPr="009838BC">
      <w:rPr>
        <w:b/>
      </w:rPr>
      <w:tab/>
    </w:r>
    <w:r w:rsidRPr="009838BC">
      <w:rPr>
        <w:b/>
      </w:rPr>
      <w:t>Federal Communications Commission</w:t>
    </w:r>
    <w:r w:rsidRPr="009838BC">
      <w:rPr>
        <w:b/>
      </w:rPr>
      <w:tab/>
    </w:r>
    <w:r w:rsidR="004B45F1">
      <w:rPr>
        <w:b/>
      </w:rPr>
      <w:t>DA 2</w:t>
    </w:r>
    <w:r w:rsidR="001358DC">
      <w:rPr>
        <w:b/>
      </w:rPr>
      <w:t>3-29</w:t>
    </w:r>
  </w:p>
  <w:p w:rsidR="009838BC" w:rsidRPr="009838BC" w:rsidP="009838BC" w14:paraId="7E747DDA" w14:textId="77777777">
    <w:pPr>
      <w:tabs>
        <w:tab w:val="left" w:pos="-720"/>
      </w:tabs>
      <w:suppressAutoHyphens/>
      <w:spacing w:line="19" w:lineRule="exact"/>
      <w:rPr>
        <w:spacing w:val="-2"/>
      </w:rPr>
    </w:pPr>
    <w:r>
      <w:rPr>
        <w:noProof/>
      </w:rPr>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4144" o:allowincell="f" fillcolor="black" stroked="f">
          <w10:wrap anchorx="margin"/>
        </v:rect>
      </w:pict>
    </w:r>
  </w:p>
  <w:p w:rsidR="009838BC" w:rsidRPr="009838BC" w:rsidP="009838BC" w14:paraId="560D1153"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6BF8021A"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stroked="f">
          <v:textbox>
            <w:txbxContent>
              <w:p w:rsidR="009838BC" w:rsidP="009838BC" w14:paraId="7E988DA8" w14:textId="77777777">
                <w:pPr>
                  <w:rPr>
                    <w:rFonts w:ascii="Arial" w:hAnsi="Arial"/>
                    <w:b/>
                  </w:rPr>
                </w:pPr>
                <w:r>
                  <w:rPr>
                    <w:rFonts w:ascii="Arial" w:hAnsi="Arial"/>
                    <w:b/>
                  </w:rPr>
                  <w:t>Federal Communications Commission</w:t>
                </w:r>
              </w:p>
              <w:p w:rsidR="009838BC" w:rsidP="009838BC" w14:paraId="3D7F6004" w14:textId="6477BD93">
                <w:pPr>
                  <w:rPr>
                    <w:rFonts w:ascii="Arial" w:hAnsi="Arial"/>
                    <w:b/>
                  </w:rPr>
                </w:pPr>
                <w:r>
                  <w:rPr>
                    <w:rFonts w:ascii="Arial" w:hAnsi="Arial"/>
                    <w:b/>
                  </w:rPr>
                  <w:t xml:space="preserve">45 </w:t>
                </w:r>
                <w:r w:rsidR="007A5BEB">
                  <w:rPr>
                    <w:rFonts w:ascii="Arial" w:hAnsi="Arial"/>
                    <w:b/>
                  </w:rPr>
                  <w:t xml:space="preserve">L </w:t>
                </w:r>
                <w:r>
                  <w:rPr>
                    <w:rFonts w:ascii="Arial" w:hAnsi="Arial"/>
                    <w:b/>
                  </w:rPr>
                  <w:t>St</w:t>
                </w:r>
                <w:r w:rsidR="007A5BEB">
                  <w:rPr>
                    <w:rFonts w:ascii="Arial" w:hAnsi="Arial"/>
                    <w:b/>
                  </w:rPr>
                  <w:t>reet</w:t>
                </w:r>
                <w:r>
                  <w:rPr>
                    <w:rFonts w:ascii="Arial" w:hAnsi="Arial"/>
                    <w:b/>
                  </w:rPr>
                  <w:t xml:space="preserve">, </w:t>
                </w:r>
                <w:r w:rsidR="007A5BEB">
                  <w:rPr>
                    <w:rFonts w:ascii="Arial" w:hAnsi="Arial"/>
                    <w:b/>
                  </w:rPr>
                  <w:t>N.E.</w:t>
                </w:r>
              </w:p>
              <w:p w:rsidR="009838BC" w:rsidP="009838BC" w14:paraId="5A934834"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mso-height-percent:0;mso-width-percent:0;mso-wrap-edited:f;position:absolute;visibility:visible;z-index:251659264" o:allowincell="f">
          <v:imagedata r:id="rId1" o:title="fcc_logo"/>
          <w10:wrap type="topAndBottom"/>
        </v:shape>
      </w:pict>
    </w:r>
    <w:r w:rsidRPr="00A866AC" w:rsidR="00622F34">
      <w:rPr>
        <w:rFonts w:ascii="Arial" w:hAnsi="Arial" w:cs="Arial"/>
        <w:b/>
        <w:sz w:val="96"/>
      </w:rPr>
      <w:t>PUBLIC NOTICE</w:t>
    </w:r>
  </w:p>
  <w:p w:rsidR="009838BC" w:rsidRPr="00357D50" w:rsidP="009838BC" w14:paraId="24759EC0" w14:textId="77777777">
    <w:pPr>
      <w:spacing w:before="40"/>
      <w:rPr>
        <w:rFonts w:ascii="Arial" w:hAnsi="Arial" w:cs="Arial"/>
        <w:b/>
        <w:sz w:val="96"/>
      </w:rPr>
    </w:pPr>
    <w:r>
      <w:rPr>
        <w:noProof/>
      </w:rPr>
      <w:pict>
        <v:line id="Straight Connector 10" o:spid="_x0000_s2052" style="mso-height-percent:0;mso-height-relative:page;mso-position-horizontal:right;mso-position-horizontal-relative:margin;mso-width-percent:0;mso-width-relative:page;mso-wrap-distance-left:9pt;mso-wrap-distance-right:9pt;mso-wrap-style:square;position:absolute;visibility:visible;z-index:251660288" from="4168pt,56.7pt" to="4636pt,56.7pt" o:allowincell="f">
          <w10:wrap anchorx="margin"/>
        </v:line>
      </w:pict>
    </w:r>
    <w:r>
      <w:rPr>
        <w:noProof/>
      </w:rPr>
      <w:pict>
        <v:shape id="Text Box 9" o:spid="_x0000_s2053"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1312" o:allowincell="f" stroked="f">
          <v:textbox inset=",0,,0">
            <w:txbxContent>
              <w:p w:rsidR="009838BC" w:rsidP="009838BC" w14:paraId="133F19F2" w14:textId="77777777">
                <w:pPr>
                  <w:spacing w:before="40"/>
                  <w:jc w:val="right"/>
                  <w:rPr>
                    <w:rFonts w:ascii="Arial" w:hAnsi="Arial"/>
                    <w:b/>
                    <w:sz w:val="16"/>
                  </w:rPr>
                </w:pPr>
                <w:r>
                  <w:rPr>
                    <w:rFonts w:ascii="Arial" w:hAnsi="Arial"/>
                    <w:b/>
                    <w:sz w:val="16"/>
                  </w:rPr>
                  <w:t>News Media Information 202 / 418-0500</w:t>
                </w:r>
              </w:p>
              <w:p w:rsidR="009838BC" w:rsidP="009838BC" w14:paraId="76D3160D" w14:textId="77777777">
                <w:pPr>
                  <w:jc w:val="right"/>
                  <w:rPr>
                    <w:rFonts w:ascii="Arial" w:hAnsi="Arial"/>
                    <w:b/>
                    <w:sz w:val="16"/>
                  </w:rPr>
                </w:pPr>
                <w:r>
                  <w:rPr>
                    <w:rFonts w:ascii="Arial" w:hAnsi="Arial"/>
                    <w:b/>
                    <w:sz w:val="16"/>
                  </w:rPr>
                  <w:t xml:space="preserve">Internet: </w:t>
                </w:r>
                <w:bookmarkStart w:id="1" w:name="_Hlt233824"/>
                <w:hyperlink r:id="rId2" w:history="1">
                  <w:r w:rsidRPr="00D216CD">
                    <w:rPr>
                      <w:rStyle w:val="Hyperlink"/>
                      <w:rFonts w:ascii="Arial" w:hAnsi="Arial"/>
                      <w:b/>
                      <w:sz w:val="16"/>
                    </w:rPr>
                    <w:t>h</w:t>
                  </w:r>
                  <w:bookmarkEnd w:id="1"/>
                  <w:r w:rsidRPr="00D216CD">
                    <w:rPr>
                      <w:rStyle w:val="Hyperlink"/>
                      <w:rFonts w:ascii="Arial" w:hAnsi="Arial"/>
                      <w:b/>
                      <w:sz w:val="16"/>
                    </w:rPr>
                    <w:t>ttps://www.fcc.gov</w:t>
                  </w:r>
                </w:hyperlink>
              </w:p>
              <w:p w:rsidR="009838BC" w:rsidP="009838BC" w14:paraId="1B01F952" w14:textId="77777777">
                <w:pPr>
                  <w:jc w:val="right"/>
                </w:pPr>
                <w:r>
                  <w:rPr>
                    <w:rFonts w:ascii="Arial" w:hAnsi="Arial"/>
                    <w:b/>
                    <w:sz w:val="16"/>
                  </w:rPr>
                  <w:t>TTY: 1-888-835-5322</w:t>
                </w:r>
              </w:p>
            </w:txbxContent>
          </v:textbox>
        </v:shape>
      </w:pict>
    </w:r>
  </w:p>
  <w:p w:rsidR="006F7393" w:rsidRPr="009838BC" w:rsidP="009838BC" w14:paraId="4F57F69A"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F42EC5"/>
    <w:multiLevelType w:val="hybridMultilevel"/>
    <w:tmpl w:val="EA707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AAB79B7"/>
    <w:multiLevelType w:val="hybridMultilevel"/>
    <w:tmpl w:val="7ADCB9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CD7627A"/>
    <w:multiLevelType w:val="multilevel"/>
    <w:tmpl w:val="5274BDF0"/>
    <w:numStyleLink w:val="StyleBulletedLatinCourierNewLeft075Hanging0252"/>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7BD32A1E"/>
    <w:multiLevelType w:val="hybridMultilevel"/>
    <w:tmpl w:val="D23614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8"/>
  </w:num>
  <w:num w:numId="8">
    <w:abstractNumId w:val="0"/>
  </w:num>
  <w:num w:numId="9">
    <w:abstractNumId w:val="1"/>
  </w:num>
  <w:num w:numId="10">
    <w:abstractNumId w:val="10"/>
  </w:num>
  <w:num w:numId="11">
    <w:abstractNumId w:val="4"/>
  </w:num>
  <w:num w:numId="12">
    <w:abstractNumId w:val="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EC"/>
    <w:rsid w:val="000018AC"/>
    <w:rsid w:val="000072CE"/>
    <w:rsid w:val="00013A8B"/>
    <w:rsid w:val="00021445"/>
    <w:rsid w:val="00031E84"/>
    <w:rsid w:val="00036039"/>
    <w:rsid w:val="00037F90"/>
    <w:rsid w:val="0006003E"/>
    <w:rsid w:val="000779BC"/>
    <w:rsid w:val="000875BF"/>
    <w:rsid w:val="00096D8C"/>
    <w:rsid w:val="000C0B65"/>
    <w:rsid w:val="000E3D42"/>
    <w:rsid w:val="000E5884"/>
    <w:rsid w:val="000E7513"/>
    <w:rsid w:val="001107FF"/>
    <w:rsid w:val="0012174E"/>
    <w:rsid w:val="00122BD5"/>
    <w:rsid w:val="001257B2"/>
    <w:rsid w:val="00126F73"/>
    <w:rsid w:val="001358DC"/>
    <w:rsid w:val="00154928"/>
    <w:rsid w:val="00164606"/>
    <w:rsid w:val="001775DA"/>
    <w:rsid w:val="001947A9"/>
    <w:rsid w:val="001979D9"/>
    <w:rsid w:val="001A2B21"/>
    <w:rsid w:val="001B19BC"/>
    <w:rsid w:val="001C1F40"/>
    <w:rsid w:val="001C4A1E"/>
    <w:rsid w:val="001D6BCF"/>
    <w:rsid w:val="001E01CA"/>
    <w:rsid w:val="00203506"/>
    <w:rsid w:val="002060D9"/>
    <w:rsid w:val="00226822"/>
    <w:rsid w:val="00250EA3"/>
    <w:rsid w:val="002555FF"/>
    <w:rsid w:val="0026025D"/>
    <w:rsid w:val="00260594"/>
    <w:rsid w:val="00261A3D"/>
    <w:rsid w:val="00265170"/>
    <w:rsid w:val="00273669"/>
    <w:rsid w:val="00274A92"/>
    <w:rsid w:val="00285017"/>
    <w:rsid w:val="002A2D2E"/>
    <w:rsid w:val="002B1D82"/>
    <w:rsid w:val="002E71CD"/>
    <w:rsid w:val="00340FE6"/>
    <w:rsid w:val="00343749"/>
    <w:rsid w:val="0035470D"/>
    <w:rsid w:val="00357D50"/>
    <w:rsid w:val="003617F4"/>
    <w:rsid w:val="003860D7"/>
    <w:rsid w:val="003925DC"/>
    <w:rsid w:val="003B0550"/>
    <w:rsid w:val="003B694F"/>
    <w:rsid w:val="003C1E00"/>
    <w:rsid w:val="003F171C"/>
    <w:rsid w:val="00405D48"/>
    <w:rsid w:val="0041054E"/>
    <w:rsid w:val="00412FC5"/>
    <w:rsid w:val="00421932"/>
    <w:rsid w:val="00422276"/>
    <w:rsid w:val="0042347A"/>
    <w:rsid w:val="004242F1"/>
    <w:rsid w:val="004338AB"/>
    <w:rsid w:val="00445A00"/>
    <w:rsid w:val="00451B0F"/>
    <w:rsid w:val="0046125F"/>
    <w:rsid w:val="00487524"/>
    <w:rsid w:val="0049047E"/>
    <w:rsid w:val="00496106"/>
    <w:rsid w:val="00497FEC"/>
    <w:rsid w:val="004A58C5"/>
    <w:rsid w:val="004B29BB"/>
    <w:rsid w:val="004B45F1"/>
    <w:rsid w:val="004C12D0"/>
    <w:rsid w:val="004C2EE3"/>
    <w:rsid w:val="004C3E00"/>
    <w:rsid w:val="004C46D3"/>
    <w:rsid w:val="004E13E6"/>
    <w:rsid w:val="004E4A22"/>
    <w:rsid w:val="00501630"/>
    <w:rsid w:val="0051193A"/>
    <w:rsid w:val="00511968"/>
    <w:rsid w:val="00541432"/>
    <w:rsid w:val="0054212D"/>
    <w:rsid w:val="0055614C"/>
    <w:rsid w:val="005713D8"/>
    <w:rsid w:val="00590AFE"/>
    <w:rsid w:val="005B2F94"/>
    <w:rsid w:val="005E08C4"/>
    <w:rsid w:val="005F1DE1"/>
    <w:rsid w:val="0060530B"/>
    <w:rsid w:val="00605D93"/>
    <w:rsid w:val="00607BA5"/>
    <w:rsid w:val="00622F34"/>
    <w:rsid w:val="00626EB6"/>
    <w:rsid w:val="0063211A"/>
    <w:rsid w:val="006353A3"/>
    <w:rsid w:val="0064281E"/>
    <w:rsid w:val="00655D03"/>
    <w:rsid w:val="00665A17"/>
    <w:rsid w:val="00683F84"/>
    <w:rsid w:val="006A6A81"/>
    <w:rsid w:val="006B2B19"/>
    <w:rsid w:val="006C4D9D"/>
    <w:rsid w:val="006D5614"/>
    <w:rsid w:val="006E26AF"/>
    <w:rsid w:val="006F3B44"/>
    <w:rsid w:val="006F7393"/>
    <w:rsid w:val="007012C4"/>
    <w:rsid w:val="0070224F"/>
    <w:rsid w:val="007115F7"/>
    <w:rsid w:val="00785689"/>
    <w:rsid w:val="0079754B"/>
    <w:rsid w:val="007A1E6D"/>
    <w:rsid w:val="007A5BEB"/>
    <w:rsid w:val="007C556F"/>
    <w:rsid w:val="007F4F7E"/>
    <w:rsid w:val="00822CE0"/>
    <w:rsid w:val="00837C62"/>
    <w:rsid w:val="008400AF"/>
    <w:rsid w:val="00841AB1"/>
    <w:rsid w:val="00843409"/>
    <w:rsid w:val="00843C14"/>
    <w:rsid w:val="00881246"/>
    <w:rsid w:val="008A0542"/>
    <w:rsid w:val="008A2AFC"/>
    <w:rsid w:val="008A6A88"/>
    <w:rsid w:val="008B36AC"/>
    <w:rsid w:val="008C22FD"/>
    <w:rsid w:val="008C2D87"/>
    <w:rsid w:val="00901215"/>
    <w:rsid w:val="00910F12"/>
    <w:rsid w:val="00926503"/>
    <w:rsid w:val="00930ECF"/>
    <w:rsid w:val="0094619B"/>
    <w:rsid w:val="009543FF"/>
    <w:rsid w:val="00963C42"/>
    <w:rsid w:val="0097081E"/>
    <w:rsid w:val="009838BC"/>
    <w:rsid w:val="00987EF6"/>
    <w:rsid w:val="009948DF"/>
    <w:rsid w:val="009A0867"/>
    <w:rsid w:val="009D0F23"/>
    <w:rsid w:val="00A1684E"/>
    <w:rsid w:val="00A45F4F"/>
    <w:rsid w:val="00A600A9"/>
    <w:rsid w:val="00A609F3"/>
    <w:rsid w:val="00A866AC"/>
    <w:rsid w:val="00AA55B7"/>
    <w:rsid w:val="00AA5B9E"/>
    <w:rsid w:val="00AB2407"/>
    <w:rsid w:val="00AB53DF"/>
    <w:rsid w:val="00AB7C96"/>
    <w:rsid w:val="00AE2164"/>
    <w:rsid w:val="00AF07E9"/>
    <w:rsid w:val="00B07E5C"/>
    <w:rsid w:val="00B1466C"/>
    <w:rsid w:val="00B15592"/>
    <w:rsid w:val="00B326E3"/>
    <w:rsid w:val="00B471FE"/>
    <w:rsid w:val="00B6387D"/>
    <w:rsid w:val="00B811F7"/>
    <w:rsid w:val="00B9398A"/>
    <w:rsid w:val="00BA5DC6"/>
    <w:rsid w:val="00BA6196"/>
    <w:rsid w:val="00BB60CD"/>
    <w:rsid w:val="00BC6D8C"/>
    <w:rsid w:val="00C140E0"/>
    <w:rsid w:val="00C16AF2"/>
    <w:rsid w:val="00C34006"/>
    <w:rsid w:val="00C341D0"/>
    <w:rsid w:val="00C426B1"/>
    <w:rsid w:val="00C42B3A"/>
    <w:rsid w:val="00C82B6B"/>
    <w:rsid w:val="00C90D6A"/>
    <w:rsid w:val="00CA6695"/>
    <w:rsid w:val="00CB31CD"/>
    <w:rsid w:val="00CC72B6"/>
    <w:rsid w:val="00CF7294"/>
    <w:rsid w:val="00D0218D"/>
    <w:rsid w:val="00D122A6"/>
    <w:rsid w:val="00D209A9"/>
    <w:rsid w:val="00D216CD"/>
    <w:rsid w:val="00D370DF"/>
    <w:rsid w:val="00D56F4C"/>
    <w:rsid w:val="00D7222D"/>
    <w:rsid w:val="00D87242"/>
    <w:rsid w:val="00D90751"/>
    <w:rsid w:val="00DA2529"/>
    <w:rsid w:val="00DA4E50"/>
    <w:rsid w:val="00DA5807"/>
    <w:rsid w:val="00DB130A"/>
    <w:rsid w:val="00DC10A1"/>
    <w:rsid w:val="00DC655F"/>
    <w:rsid w:val="00DD12DB"/>
    <w:rsid w:val="00DD7EBD"/>
    <w:rsid w:val="00DF127B"/>
    <w:rsid w:val="00DF62B6"/>
    <w:rsid w:val="00DF6A6F"/>
    <w:rsid w:val="00E07225"/>
    <w:rsid w:val="00E155B7"/>
    <w:rsid w:val="00E352C2"/>
    <w:rsid w:val="00E40AFC"/>
    <w:rsid w:val="00E5409F"/>
    <w:rsid w:val="00E755A4"/>
    <w:rsid w:val="00E77F33"/>
    <w:rsid w:val="00E86A50"/>
    <w:rsid w:val="00E96686"/>
    <w:rsid w:val="00EA27BF"/>
    <w:rsid w:val="00EC0185"/>
    <w:rsid w:val="00EF5DBB"/>
    <w:rsid w:val="00F021FA"/>
    <w:rsid w:val="00F11583"/>
    <w:rsid w:val="00F13D44"/>
    <w:rsid w:val="00F37D3D"/>
    <w:rsid w:val="00F45B5D"/>
    <w:rsid w:val="00F57ACA"/>
    <w:rsid w:val="00F62E97"/>
    <w:rsid w:val="00F64209"/>
    <w:rsid w:val="00F72946"/>
    <w:rsid w:val="00F819C7"/>
    <w:rsid w:val="00F93BF5"/>
    <w:rsid w:val="00F96F63"/>
    <w:rsid w:val="00FE49E5"/>
    <w:rsid w:val="00FE53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FB27DB"/>
  <w15:chartTrackingRefBased/>
  <w15:docId w15:val="{A024DCE0-1B4F-4515-A231-10E93D7A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10F12"/>
    <w:rPr>
      <w:snapToGrid w:val="0"/>
      <w:kern w:val="28"/>
      <w:sz w:val="22"/>
    </w:rPr>
  </w:style>
  <w:style w:type="numbering" w:customStyle="1" w:styleId="StyleBulletedLatinCourierNewLeft075Hanging0252">
    <w:name w:val="Style Bulleted (Latin) Courier New Left:  0.75&quot; Hanging:  0.25&quot;...2"/>
    <w:basedOn w:val="NoList"/>
    <w:rsid w:val="00497FEC"/>
    <w:pPr>
      <w:numPr>
        <w:numId w:val="9"/>
      </w:numPr>
    </w:pPr>
  </w:style>
  <w:style w:type="paragraph" w:styleId="BalloonText">
    <w:name w:val="Balloon Text"/>
    <w:basedOn w:val="Normal"/>
    <w:link w:val="BalloonTextChar"/>
    <w:uiPriority w:val="99"/>
    <w:semiHidden/>
    <w:unhideWhenUsed/>
    <w:rsid w:val="00541432"/>
    <w:rPr>
      <w:rFonts w:ascii="Segoe UI" w:hAnsi="Segoe UI" w:cs="Segoe UI"/>
      <w:sz w:val="18"/>
      <w:szCs w:val="18"/>
    </w:rPr>
  </w:style>
  <w:style w:type="character" w:customStyle="1" w:styleId="BalloonTextChar">
    <w:name w:val="Balloon Text Char"/>
    <w:link w:val="BalloonText"/>
    <w:uiPriority w:val="99"/>
    <w:semiHidden/>
    <w:rsid w:val="00541432"/>
    <w:rPr>
      <w:rFonts w:ascii="Segoe UI" w:hAnsi="Segoe UI" w:cs="Segoe UI"/>
      <w:snapToGrid w:val="0"/>
      <w:kern w:val="28"/>
      <w:sz w:val="18"/>
      <w:szCs w:val="18"/>
    </w:rPr>
  </w:style>
  <w:style w:type="character" w:styleId="CommentReference">
    <w:name w:val="annotation reference"/>
    <w:uiPriority w:val="99"/>
    <w:semiHidden/>
    <w:unhideWhenUsed/>
    <w:rsid w:val="00DF6A6F"/>
    <w:rPr>
      <w:sz w:val="16"/>
      <w:szCs w:val="16"/>
    </w:rPr>
  </w:style>
  <w:style w:type="paragraph" w:styleId="CommentText">
    <w:name w:val="annotation text"/>
    <w:basedOn w:val="Normal"/>
    <w:link w:val="CommentTextChar"/>
    <w:uiPriority w:val="99"/>
    <w:semiHidden/>
    <w:unhideWhenUsed/>
    <w:rsid w:val="00DF6A6F"/>
    <w:rPr>
      <w:sz w:val="20"/>
    </w:rPr>
  </w:style>
  <w:style w:type="character" w:customStyle="1" w:styleId="CommentTextChar">
    <w:name w:val="Comment Text Char"/>
    <w:link w:val="CommentText"/>
    <w:uiPriority w:val="99"/>
    <w:semiHidden/>
    <w:rsid w:val="00DF6A6F"/>
    <w:rPr>
      <w:snapToGrid w:val="0"/>
      <w:kern w:val="28"/>
    </w:rPr>
  </w:style>
  <w:style w:type="paragraph" w:styleId="CommentSubject">
    <w:name w:val="annotation subject"/>
    <w:basedOn w:val="CommentText"/>
    <w:next w:val="CommentText"/>
    <w:link w:val="CommentSubjectChar"/>
    <w:uiPriority w:val="99"/>
    <w:semiHidden/>
    <w:unhideWhenUsed/>
    <w:rsid w:val="00DF6A6F"/>
    <w:rPr>
      <w:b/>
      <w:bCs/>
    </w:rPr>
  </w:style>
  <w:style w:type="character" w:customStyle="1" w:styleId="CommentSubjectChar">
    <w:name w:val="Comment Subject Char"/>
    <w:link w:val="CommentSubject"/>
    <w:uiPriority w:val="99"/>
    <w:semiHidden/>
    <w:rsid w:val="00DF6A6F"/>
    <w:rPr>
      <w:b/>
      <w:bCs/>
      <w:snapToGrid w:val="0"/>
      <w:kern w:val="28"/>
    </w:rPr>
  </w:style>
  <w:style w:type="character" w:customStyle="1" w:styleId="UnresolvedMention1">
    <w:name w:val="Unresolved Mention1"/>
    <w:uiPriority w:val="99"/>
    <w:semiHidden/>
    <w:unhideWhenUsed/>
    <w:rsid w:val="00273669"/>
    <w:rPr>
      <w:color w:val="605E5C"/>
      <w:shd w:val="clear" w:color="auto" w:fill="E1DFDD"/>
    </w:rPr>
  </w:style>
  <w:style w:type="paragraph" w:styleId="Revision">
    <w:name w:val="Revision"/>
    <w:hidden/>
    <w:uiPriority w:val="99"/>
    <w:semiHidden/>
    <w:rsid w:val="002B1D82"/>
    <w:rPr>
      <w:snapToGrid w:val="0"/>
      <w:kern w:val="28"/>
      <w:sz w:val="22"/>
    </w:rPr>
  </w:style>
  <w:style w:type="character" w:styleId="UnresolvedMention">
    <w:name w:val="Unresolved Mention"/>
    <w:uiPriority w:val="99"/>
    <w:rsid w:val="0012174E"/>
    <w:rPr>
      <w:color w:val="605E5C"/>
      <w:shd w:val="clear" w:color="auto" w:fill="E1DFDD"/>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uiPriority w:val="99"/>
    <w:rsid w:val="00DD12DB"/>
  </w:style>
  <w:style w:type="character" w:customStyle="1" w:styleId="ParaNumChar">
    <w:name w:val="ParaNum Char"/>
    <w:link w:val="ParaNum"/>
    <w:locked/>
    <w:rsid w:val="00DD12DB"/>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William.Wallace@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21129108560/1" TargetMode="External" /><Relationship Id="rId2"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