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4C2EE3" w14:paraId="0CAA88C5" w14:textId="77777777">
      <w:pPr>
        <w:jc w:val="center"/>
        <w:rPr>
          <w:b/>
        </w:rPr>
      </w:pPr>
      <w:r w:rsidRPr="0070224F">
        <w:rPr>
          <w:rFonts w:ascii="Times New Roman Bold" w:hAnsi="Times New Roman Bold"/>
          <w:b/>
          <w:kern w:val="0"/>
          <w:szCs w:val="22"/>
        </w:rPr>
        <w:t>Before</w:t>
      </w:r>
      <w:r>
        <w:rPr>
          <w:b/>
        </w:rPr>
        <w:t xml:space="preserve"> the</w:t>
      </w:r>
    </w:p>
    <w:p w:rsidR="00921803" w:rsidP="00921803" w14:paraId="054DAC36" w14:textId="77777777">
      <w:pPr>
        <w:pStyle w:val="StyleBoldCentered"/>
      </w:pPr>
      <w:r>
        <w:t>F</w:t>
      </w:r>
      <w:r>
        <w:rPr>
          <w:caps w:val="0"/>
        </w:rPr>
        <w:t>ederal Communications Commission</w:t>
      </w:r>
    </w:p>
    <w:p w:rsidR="004C2EE3" w:rsidP="00096D8C" w14:paraId="0FD44167" w14:textId="77777777">
      <w:pPr>
        <w:pStyle w:val="StyleBoldCentered"/>
      </w:pPr>
      <w:r>
        <w:rPr>
          <w:caps w:val="0"/>
        </w:rPr>
        <w:t>Washington, D.C. 20554</w:t>
      </w:r>
    </w:p>
    <w:p w:rsidR="004C2EE3" w:rsidP="0070224F" w14:paraId="5CDDBF38" w14:textId="77777777"/>
    <w:p w:rsidR="004C2EE3" w:rsidP="0070224F" w14:paraId="41FDA707" w14:textId="77777777"/>
    <w:tbl>
      <w:tblPr>
        <w:tblW w:w="0" w:type="auto"/>
        <w:tblLayout w:type="fixed"/>
        <w:tblLook w:val="0000"/>
      </w:tblPr>
      <w:tblGrid>
        <w:gridCol w:w="4698"/>
        <w:gridCol w:w="630"/>
        <w:gridCol w:w="4248"/>
      </w:tblGrid>
      <w:tr w14:paraId="2F8A97D4" w14:textId="77777777" w:rsidTr="222A7138">
        <w:tblPrEx>
          <w:tblW w:w="0" w:type="auto"/>
          <w:tblLayout w:type="fixed"/>
          <w:tblLook w:val="0000"/>
        </w:tblPrEx>
        <w:tc>
          <w:tcPr>
            <w:tcW w:w="4698" w:type="dxa"/>
          </w:tcPr>
          <w:p w:rsidR="004C2EE3" w14:paraId="3AFD8FA9" w14:textId="77777777">
            <w:pPr>
              <w:tabs>
                <w:tab w:val="center" w:pos="4680"/>
              </w:tabs>
              <w:suppressAutoHyphens/>
              <w:rPr>
                <w:spacing w:val="-2"/>
              </w:rPr>
            </w:pPr>
            <w:r>
              <w:rPr>
                <w:spacing w:val="-2"/>
              </w:rPr>
              <w:t>In the Matter of</w:t>
            </w:r>
          </w:p>
          <w:p w:rsidR="004C2EE3" w14:paraId="2C7D1140" w14:textId="77777777">
            <w:pPr>
              <w:tabs>
                <w:tab w:val="center" w:pos="4680"/>
              </w:tabs>
              <w:suppressAutoHyphens/>
              <w:rPr>
                <w:spacing w:val="-2"/>
              </w:rPr>
            </w:pPr>
          </w:p>
          <w:p w:rsidR="004C2EE3" w:rsidP="007115F7" w14:paraId="610ED2E3" w14:textId="5DAB022B">
            <w:pPr>
              <w:tabs>
                <w:tab w:val="center" w:pos="4680"/>
              </w:tabs>
              <w:suppressAutoHyphens/>
            </w:pPr>
            <w:r>
              <w:rPr>
                <w:spacing w:val="-2"/>
              </w:rPr>
              <w:t xml:space="preserve">Telecommunications Relay Services and Speech-to-Speech Services for Individuals with Hearing and Speech </w:t>
            </w:r>
            <w:r w:rsidR="4D8B0880">
              <w:rPr>
                <w:spacing w:val="-2"/>
              </w:rPr>
              <w:t>D</w:t>
            </w:r>
            <w:r>
              <w:rPr>
                <w:spacing w:val="-2"/>
              </w:rPr>
              <w:t>isabilities</w:t>
            </w:r>
          </w:p>
          <w:p w:rsidR="00752A37" w:rsidP="007115F7" w14:paraId="2F3F2A9E" w14:textId="77777777">
            <w:pPr>
              <w:tabs>
                <w:tab w:val="center" w:pos="4680"/>
              </w:tabs>
              <w:suppressAutoHyphens/>
              <w:rPr>
                <w:spacing w:val="-2"/>
              </w:rPr>
            </w:pPr>
          </w:p>
          <w:p w:rsidR="00752A37" w:rsidP="007115F7" w14:paraId="5B5F07A2" w14:textId="77777777">
            <w:pPr>
              <w:tabs>
                <w:tab w:val="center" w:pos="4680"/>
              </w:tabs>
              <w:suppressAutoHyphens/>
              <w:rPr>
                <w:spacing w:val="-2"/>
              </w:rPr>
            </w:pPr>
            <w:r>
              <w:rPr>
                <w:spacing w:val="-2"/>
              </w:rPr>
              <w:t>Structure and Practices of the Video Relay Service Program</w:t>
            </w:r>
          </w:p>
          <w:p w:rsidR="00752A37" w:rsidP="007115F7" w14:paraId="1943E5D7" w14:textId="77777777">
            <w:pPr>
              <w:tabs>
                <w:tab w:val="center" w:pos="4680"/>
              </w:tabs>
              <w:suppressAutoHyphens/>
              <w:rPr>
                <w:spacing w:val="-2"/>
              </w:rPr>
            </w:pPr>
          </w:p>
          <w:p w:rsidR="00752A37" w:rsidP="007115F7" w14:paraId="59CF805B" w14:textId="77777777">
            <w:pPr>
              <w:tabs>
                <w:tab w:val="center" w:pos="4680"/>
              </w:tabs>
              <w:suppressAutoHyphens/>
              <w:rPr>
                <w:spacing w:val="-2"/>
              </w:rPr>
            </w:pPr>
            <w:r>
              <w:rPr>
                <w:spacing w:val="-2"/>
              </w:rPr>
              <w:t xml:space="preserve">Misuse of Internet Protocol (IP) Captioned Telephone Service </w:t>
            </w:r>
          </w:p>
          <w:p w:rsidR="00752A37" w:rsidP="007115F7" w14:paraId="1ABB3189" w14:textId="77777777">
            <w:pPr>
              <w:tabs>
                <w:tab w:val="center" w:pos="4680"/>
              </w:tabs>
              <w:suppressAutoHyphens/>
              <w:rPr>
                <w:spacing w:val="-2"/>
              </w:rPr>
            </w:pPr>
          </w:p>
          <w:p w:rsidR="00752A37" w:rsidRPr="007115F7" w:rsidP="007115F7" w14:paraId="550B8955" w14:textId="41B5B1B4">
            <w:pPr>
              <w:tabs>
                <w:tab w:val="center" w:pos="4680"/>
              </w:tabs>
              <w:suppressAutoHyphens/>
              <w:rPr>
                <w:spacing w:val="-2"/>
              </w:rPr>
            </w:pPr>
            <w:r>
              <w:rPr>
                <w:spacing w:val="-2"/>
              </w:rPr>
              <w:t>Petition for Rulemaking and Interim Waiver of Convo Communications, LLC</w:t>
            </w:r>
          </w:p>
        </w:tc>
        <w:tc>
          <w:tcPr>
            <w:tcW w:w="630" w:type="dxa"/>
          </w:tcPr>
          <w:p w:rsidR="004C2EE3" w14:paraId="36A06DDA" w14:textId="77777777">
            <w:pPr>
              <w:tabs>
                <w:tab w:val="center" w:pos="4680"/>
              </w:tabs>
              <w:suppressAutoHyphens/>
              <w:rPr>
                <w:b/>
                <w:spacing w:val="-2"/>
              </w:rPr>
            </w:pPr>
            <w:r>
              <w:rPr>
                <w:b/>
                <w:spacing w:val="-2"/>
              </w:rPr>
              <w:t>)</w:t>
            </w:r>
          </w:p>
          <w:p w:rsidR="004C2EE3" w14:paraId="43A31438" w14:textId="77777777">
            <w:pPr>
              <w:tabs>
                <w:tab w:val="center" w:pos="4680"/>
              </w:tabs>
              <w:suppressAutoHyphens/>
              <w:rPr>
                <w:b/>
                <w:spacing w:val="-2"/>
              </w:rPr>
            </w:pPr>
            <w:r>
              <w:rPr>
                <w:b/>
                <w:spacing w:val="-2"/>
              </w:rPr>
              <w:t>)</w:t>
            </w:r>
          </w:p>
          <w:p w:rsidR="004C2EE3" w:rsidRPr="00752A37" w14:paraId="624B81E2" w14:textId="00799DE6">
            <w:pPr>
              <w:tabs>
                <w:tab w:val="center" w:pos="4680"/>
              </w:tabs>
              <w:suppressAutoHyphens/>
              <w:rPr>
                <w:bCs/>
                <w:spacing w:val="-2"/>
              </w:rPr>
            </w:pPr>
            <w:r>
              <w:rPr>
                <w:b/>
                <w:spacing w:val="-2"/>
              </w:rPr>
              <w:t>)</w:t>
            </w:r>
          </w:p>
          <w:p w:rsidR="004C2EE3" w14:paraId="05C29744" w14:textId="77777777">
            <w:pPr>
              <w:tabs>
                <w:tab w:val="center" w:pos="4680"/>
              </w:tabs>
              <w:suppressAutoHyphens/>
              <w:rPr>
                <w:b/>
                <w:spacing w:val="-2"/>
              </w:rPr>
            </w:pPr>
            <w:r>
              <w:rPr>
                <w:b/>
                <w:spacing w:val="-2"/>
              </w:rPr>
              <w:t>)</w:t>
            </w:r>
          </w:p>
          <w:p w:rsidR="004C2EE3" w14:paraId="1531CF37" w14:textId="77777777">
            <w:pPr>
              <w:tabs>
                <w:tab w:val="center" w:pos="4680"/>
              </w:tabs>
              <w:suppressAutoHyphens/>
              <w:rPr>
                <w:b/>
                <w:spacing w:val="-2"/>
              </w:rPr>
            </w:pPr>
            <w:r>
              <w:rPr>
                <w:b/>
                <w:spacing w:val="-2"/>
              </w:rPr>
              <w:t>)</w:t>
            </w:r>
          </w:p>
          <w:p w:rsidR="004C2EE3" w14:paraId="32E73DB5" w14:textId="77777777">
            <w:pPr>
              <w:tabs>
                <w:tab w:val="center" w:pos="4680"/>
              </w:tabs>
              <w:suppressAutoHyphens/>
              <w:rPr>
                <w:b/>
                <w:spacing w:val="-2"/>
              </w:rPr>
            </w:pPr>
            <w:r>
              <w:rPr>
                <w:b/>
                <w:spacing w:val="-2"/>
              </w:rPr>
              <w:t>)</w:t>
            </w:r>
          </w:p>
          <w:p w:rsidR="004C2EE3" w14:paraId="6C372297" w14:textId="77777777">
            <w:pPr>
              <w:tabs>
                <w:tab w:val="center" w:pos="4680"/>
              </w:tabs>
              <w:suppressAutoHyphens/>
              <w:rPr>
                <w:b/>
                <w:spacing w:val="-2"/>
              </w:rPr>
            </w:pPr>
            <w:r>
              <w:rPr>
                <w:b/>
                <w:spacing w:val="-2"/>
              </w:rPr>
              <w:t>)</w:t>
            </w:r>
          </w:p>
          <w:p w:rsidR="004C2EE3" w14:paraId="1A36F2E5" w14:textId="77777777">
            <w:pPr>
              <w:tabs>
                <w:tab w:val="center" w:pos="4680"/>
              </w:tabs>
              <w:suppressAutoHyphens/>
              <w:rPr>
                <w:b/>
                <w:spacing w:val="-2"/>
              </w:rPr>
            </w:pPr>
            <w:r>
              <w:rPr>
                <w:b/>
                <w:spacing w:val="-2"/>
              </w:rPr>
              <w:t>)</w:t>
            </w:r>
          </w:p>
          <w:p w:rsidR="004C2EE3" w14:paraId="3628DDC1" w14:textId="77777777">
            <w:pPr>
              <w:tabs>
                <w:tab w:val="center" w:pos="4680"/>
              </w:tabs>
              <w:suppressAutoHyphens/>
              <w:rPr>
                <w:b/>
                <w:spacing w:val="-2"/>
              </w:rPr>
            </w:pPr>
            <w:r>
              <w:rPr>
                <w:b/>
                <w:spacing w:val="-2"/>
              </w:rPr>
              <w:t>)</w:t>
            </w:r>
          </w:p>
          <w:p w:rsidR="00752A37" w14:paraId="7CEB46EA" w14:textId="77777777">
            <w:pPr>
              <w:tabs>
                <w:tab w:val="center" w:pos="4680"/>
              </w:tabs>
              <w:suppressAutoHyphens/>
              <w:rPr>
                <w:b/>
                <w:spacing w:val="-2"/>
              </w:rPr>
            </w:pPr>
            <w:r>
              <w:rPr>
                <w:b/>
                <w:spacing w:val="-2"/>
              </w:rPr>
              <w:t>)</w:t>
            </w:r>
          </w:p>
          <w:p w:rsidR="00752A37" w14:paraId="4148F14D" w14:textId="77777777">
            <w:pPr>
              <w:tabs>
                <w:tab w:val="center" w:pos="4680"/>
              </w:tabs>
              <w:suppressAutoHyphens/>
              <w:rPr>
                <w:b/>
                <w:spacing w:val="-2"/>
              </w:rPr>
            </w:pPr>
            <w:r>
              <w:rPr>
                <w:b/>
                <w:spacing w:val="-2"/>
              </w:rPr>
              <w:t>)</w:t>
            </w:r>
          </w:p>
          <w:p w:rsidR="00752A37" w14:paraId="483965AA" w14:textId="77777777">
            <w:pPr>
              <w:tabs>
                <w:tab w:val="center" w:pos="4680"/>
              </w:tabs>
              <w:suppressAutoHyphens/>
              <w:rPr>
                <w:b/>
                <w:spacing w:val="-2"/>
              </w:rPr>
            </w:pPr>
            <w:r>
              <w:rPr>
                <w:b/>
                <w:spacing w:val="-2"/>
              </w:rPr>
              <w:t>)</w:t>
            </w:r>
          </w:p>
          <w:p w:rsidR="00752A37" w14:paraId="0D1CE630" w14:textId="77777777">
            <w:pPr>
              <w:tabs>
                <w:tab w:val="center" w:pos="4680"/>
              </w:tabs>
              <w:suppressAutoHyphens/>
              <w:rPr>
                <w:b/>
                <w:spacing w:val="-2"/>
              </w:rPr>
            </w:pPr>
            <w:r>
              <w:rPr>
                <w:b/>
                <w:spacing w:val="-2"/>
              </w:rPr>
              <w:t>)</w:t>
            </w:r>
          </w:p>
          <w:p w:rsidR="00752A37" w14:paraId="4910EE5E" w14:textId="28B77C95">
            <w:pPr>
              <w:tabs>
                <w:tab w:val="center" w:pos="4680"/>
              </w:tabs>
              <w:suppressAutoHyphens/>
              <w:rPr>
                <w:spacing w:val="-2"/>
              </w:rPr>
            </w:pPr>
            <w:r>
              <w:rPr>
                <w:b/>
                <w:spacing w:val="-2"/>
              </w:rPr>
              <w:t>)</w:t>
            </w:r>
          </w:p>
        </w:tc>
        <w:tc>
          <w:tcPr>
            <w:tcW w:w="4248" w:type="dxa"/>
          </w:tcPr>
          <w:p w:rsidR="004C2EE3" w14:paraId="3A6166C1" w14:textId="77777777">
            <w:pPr>
              <w:tabs>
                <w:tab w:val="center" w:pos="4680"/>
              </w:tabs>
              <w:suppressAutoHyphens/>
              <w:rPr>
                <w:spacing w:val="-2"/>
              </w:rPr>
            </w:pPr>
          </w:p>
          <w:p w:rsidR="00752A37" w14:paraId="046614B2" w14:textId="77777777">
            <w:pPr>
              <w:tabs>
                <w:tab w:val="center" w:pos="4680"/>
              </w:tabs>
              <w:suppressAutoHyphens/>
              <w:rPr>
                <w:spacing w:val="-2"/>
              </w:rPr>
            </w:pPr>
          </w:p>
          <w:p w:rsidR="00752A37" w14:paraId="694C0F2A" w14:textId="77777777">
            <w:pPr>
              <w:tabs>
                <w:tab w:val="center" w:pos="4680"/>
              </w:tabs>
              <w:suppressAutoHyphens/>
              <w:rPr>
                <w:spacing w:val="-2"/>
              </w:rPr>
            </w:pPr>
            <w:r>
              <w:rPr>
                <w:spacing w:val="-2"/>
              </w:rPr>
              <w:t>CG Docket No. 03-123</w:t>
            </w:r>
          </w:p>
          <w:p w:rsidR="00752A37" w14:paraId="5192179C" w14:textId="77777777">
            <w:pPr>
              <w:tabs>
                <w:tab w:val="center" w:pos="4680"/>
              </w:tabs>
              <w:suppressAutoHyphens/>
              <w:rPr>
                <w:spacing w:val="-2"/>
              </w:rPr>
            </w:pPr>
          </w:p>
          <w:p w:rsidR="00752A37" w14:paraId="688BC923" w14:textId="77777777">
            <w:pPr>
              <w:tabs>
                <w:tab w:val="center" w:pos="4680"/>
              </w:tabs>
              <w:suppressAutoHyphens/>
              <w:rPr>
                <w:spacing w:val="-2"/>
              </w:rPr>
            </w:pPr>
          </w:p>
          <w:p w:rsidR="00752A37" w14:paraId="64BA7098" w14:textId="77777777">
            <w:pPr>
              <w:tabs>
                <w:tab w:val="center" w:pos="4680"/>
              </w:tabs>
              <w:suppressAutoHyphens/>
              <w:rPr>
                <w:spacing w:val="-2"/>
              </w:rPr>
            </w:pPr>
          </w:p>
          <w:p w:rsidR="00752A37" w14:paraId="3D6DE8F7" w14:textId="77777777">
            <w:pPr>
              <w:tabs>
                <w:tab w:val="center" w:pos="4680"/>
              </w:tabs>
              <w:suppressAutoHyphens/>
              <w:rPr>
                <w:spacing w:val="-2"/>
              </w:rPr>
            </w:pPr>
            <w:r>
              <w:rPr>
                <w:spacing w:val="-2"/>
              </w:rPr>
              <w:t>CG Docket No. 10-51</w:t>
            </w:r>
          </w:p>
          <w:p w:rsidR="00752A37" w14:paraId="5CA68C6E" w14:textId="77777777">
            <w:pPr>
              <w:tabs>
                <w:tab w:val="center" w:pos="4680"/>
              </w:tabs>
              <w:suppressAutoHyphens/>
              <w:rPr>
                <w:spacing w:val="-2"/>
              </w:rPr>
            </w:pPr>
          </w:p>
          <w:p w:rsidR="00752A37" w14:paraId="7B516BF2" w14:textId="77777777">
            <w:pPr>
              <w:tabs>
                <w:tab w:val="center" w:pos="4680"/>
              </w:tabs>
              <w:suppressAutoHyphens/>
              <w:rPr>
                <w:spacing w:val="-2"/>
              </w:rPr>
            </w:pPr>
          </w:p>
          <w:p w:rsidR="00752A37" w14:paraId="2BB73C21" w14:textId="48354E48">
            <w:pPr>
              <w:tabs>
                <w:tab w:val="center" w:pos="4680"/>
              </w:tabs>
              <w:suppressAutoHyphens/>
              <w:rPr>
                <w:spacing w:val="-2"/>
              </w:rPr>
            </w:pPr>
            <w:r>
              <w:rPr>
                <w:spacing w:val="-2"/>
              </w:rPr>
              <w:t>CG Docket No. 13-24</w:t>
            </w:r>
          </w:p>
        </w:tc>
      </w:tr>
    </w:tbl>
    <w:p w:rsidR="004C2EE3" w:rsidP="0070224F" w14:paraId="72EF71AF" w14:textId="568B9E45"/>
    <w:p w:rsidR="00841AB1" w:rsidP="00752A37" w14:paraId="66E94653" w14:textId="00B485F6">
      <w:pPr>
        <w:pStyle w:val="StyleBoldCentered"/>
      </w:pPr>
      <w:r>
        <w:t>order</w:t>
      </w:r>
    </w:p>
    <w:p w:rsidR="004C2EE3" w14:paraId="1E3BD2D1" w14:textId="77777777">
      <w:pPr>
        <w:tabs>
          <w:tab w:val="left" w:pos="-720"/>
        </w:tabs>
        <w:suppressAutoHyphens/>
        <w:spacing w:line="227" w:lineRule="auto"/>
        <w:rPr>
          <w:spacing w:val="-2"/>
        </w:rPr>
      </w:pPr>
    </w:p>
    <w:p w:rsidR="004C2EE3" w:rsidP="00133F79" w14:paraId="78136EA5" w14:textId="74074B48">
      <w:pPr>
        <w:tabs>
          <w:tab w:val="left" w:pos="720"/>
          <w:tab w:val="right" w:pos="9360"/>
        </w:tabs>
        <w:suppressAutoHyphens/>
        <w:spacing w:line="227" w:lineRule="auto"/>
        <w:rPr>
          <w:spacing w:val="-2"/>
        </w:rPr>
      </w:pPr>
      <w:r>
        <w:rPr>
          <w:b/>
          <w:spacing w:val="-2"/>
        </w:rPr>
        <w:t xml:space="preserve">Adopted:  </w:t>
      </w:r>
      <w:r w:rsidR="00943736">
        <w:rPr>
          <w:b/>
          <w:spacing w:val="-2"/>
        </w:rPr>
        <w:t xml:space="preserve">June </w:t>
      </w:r>
      <w:r w:rsidR="008A16E4">
        <w:rPr>
          <w:b/>
          <w:spacing w:val="-2"/>
        </w:rPr>
        <w:t>30</w:t>
      </w:r>
      <w:r w:rsidR="00943736">
        <w:rPr>
          <w:b/>
          <w:spacing w:val="-2"/>
        </w:rPr>
        <w:t>, 2023</w:t>
      </w:r>
      <w:r>
        <w:rPr>
          <w:b/>
          <w:spacing w:val="-2"/>
        </w:rPr>
        <w:tab/>
      </w:r>
      <w:r w:rsidR="00822CE0">
        <w:rPr>
          <w:b/>
          <w:spacing w:val="-2"/>
        </w:rPr>
        <w:t>Released</w:t>
      </w:r>
      <w:r>
        <w:rPr>
          <w:b/>
          <w:spacing w:val="-2"/>
        </w:rPr>
        <w:t>:</w:t>
      </w:r>
      <w:r w:rsidR="00822CE0">
        <w:rPr>
          <w:b/>
          <w:spacing w:val="-2"/>
        </w:rPr>
        <w:t xml:space="preserve"> </w:t>
      </w:r>
      <w:r>
        <w:rPr>
          <w:b/>
          <w:spacing w:val="-2"/>
        </w:rPr>
        <w:t xml:space="preserve"> </w:t>
      </w:r>
      <w:r w:rsidR="00943736">
        <w:rPr>
          <w:b/>
          <w:spacing w:val="-2"/>
        </w:rPr>
        <w:t xml:space="preserve">June </w:t>
      </w:r>
      <w:r w:rsidR="008A16E4">
        <w:rPr>
          <w:b/>
          <w:spacing w:val="-2"/>
        </w:rPr>
        <w:t>30</w:t>
      </w:r>
      <w:r w:rsidR="00943736">
        <w:rPr>
          <w:b/>
          <w:spacing w:val="-2"/>
        </w:rPr>
        <w:t>, 2023</w:t>
      </w:r>
    </w:p>
    <w:p w:rsidR="00822CE0" w14:paraId="1C889E2A" w14:textId="77777777"/>
    <w:p w:rsidR="004C2EE3" w14:paraId="40286C3A" w14:textId="3AF56953">
      <w:pPr>
        <w:rPr>
          <w:spacing w:val="-2"/>
        </w:rPr>
      </w:pPr>
      <w:r>
        <w:t xml:space="preserve">By </w:t>
      </w:r>
      <w:r w:rsidR="004E4A22">
        <w:t>the</w:t>
      </w:r>
      <w:r w:rsidR="00752A37">
        <w:rPr>
          <w:spacing w:val="-2"/>
        </w:rPr>
        <w:t xml:space="preserve"> Chief, Consumer and Governmental Affairs Bureau</w:t>
      </w:r>
      <w:r>
        <w:rPr>
          <w:spacing w:val="-2"/>
        </w:rPr>
        <w:t>:</w:t>
      </w:r>
    </w:p>
    <w:p w:rsidR="00822CE0" w14:paraId="69CCC509" w14:textId="77777777">
      <w:pPr>
        <w:rPr>
          <w:spacing w:val="-2"/>
        </w:rPr>
      </w:pPr>
    </w:p>
    <w:p w:rsidR="0046607E" w:rsidP="00DF52BD" w14:paraId="662AD2FC" w14:textId="19A4FC74">
      <w:pPr>
        <w:pStyle w:val="ParaNum"/>
        <w:numPr>
          <w:ilvl w:val="0"/>
          <w:numId w:val="7"/>
        </w:numPr>
        <w:tabs>
          <w:tab w:val="clear" w:pos="1080"/>
          <w:tab w:val="left" w:pos="1440"/>
        </w:tabs>
      </w:pPr>
      <w:r>
        <w:t xml:space="preserve">In this Order, the Consumer and Governmental Affairs Bureau (Bureau) of the Federal Communications Commission (FCC or Commission), on its own motion, extends </w:t>
      </w:r>
      <w:r w:rsidR="004544F8">
        <w:t xml:space="preserve">previously granted </w:t>
      </w:r>
      <w:r>
        <w:t xml:space="preserve">waivers of </w:t>
      </w:r>
      <w:r w:rsidR="002D3ADD">
        <w:t xml:space="preserve">the following </w:t>
      </w:r>
      <w:r>
        <w:t xml:space="preserve">Video Relay Service (VRS) rules:  (1) the 50% cap on call minutes handled by </w:t>
      </w:r>
      <w:r w:rsidR="00FC0EE3">
        <w:t xml:space="preserve">VRS </w:t>
      </w:r>
      <w:r>
        <w:t>communications assistants (CAs) working at home;</w:t>
      </w:r>
      <w:r>
        <w:rPr>
          <w:rStyle w:val="FootnoteReference"/>
        </w:rPr>
        <w:footnoteReference w:id="3"/>
      </w:r>
      <w:r>
        <w:t xml:space="preserve"> (2) the</w:t>
      </w:r>
      <w:r>
        <w:t xml:space="preserve"> </w:t>
      </w:r>
      <w:r>
        <w:t>requirement that CAs working at home have three years of experience as an A</w:t>
      </w:r>
      <w:r w:rsidR="00A0008D">
        <w:t xml:space="preserve">merican Sign Language (ASL) </w:t>
      </w:r>
      <w:r>
        <w:t>interpreter;</w:t>
      </w:r>
      <w:r>
        <w:rPr>
          <w:rStyle w:val="FootnoteReference"/>
        </w:rPr>
        <w:footnoteReference w:id="4"/>
      </w:r>
      <w:r>
        <w:t xml:space="preserve"> and (3) the ban on contracting with non-</w:t>
      </w:r>
      <w:r w:rsidR="001548F1">
        <w:t>VRS-</w:t>
      </w:r>
      <w:r>
        <w:t>certified entities for VRS interpret</w:t>
      </w:r>
      <w:r w:rsidR="39ACDAE0">
        <w:t>ing</w:t>
      </w:r>
      <w:r>
        <w:t xml:space="preserve"> services.</w:t>
      </w:r>
      <w:r>
        <w:rPr>
          <w:rStyle w:val="FootnoteReference"/>
        </w:rPr>
        <w:footnoteReference w:id="5"/>
      </w:r>
      <w:r w:rsidR="006414EF">
        <w:t xml:space="preserve">  </w:t>
      </w:r>
      <w:r w:rsidR="00A11CC0">
        <w:t xml:space="preserve">In a </w:t>
      </w:r>
      <w:r w:rsidR="007C1F43">
        <w:t>June 2022</w:t>
      </w:r>
      <w:r w:rsidR="00B62217">
        <w:t xml:space="preserve"> </w:t>
      </w:r>
      <w:r w:rsidR="00A8757F">
        <w:t>Order</w:t>
      </w:r>
      <w:r w:rsidR="007C1F43">
        <w:t>,</w:t>
      </w:r>
      <w:r w:rsidR="00A11CC0">
        <w:t xml:space="preserve"> </w:t>
      </w:r>
      <w:r w:rsidR="00013870">
        <w:t>t</w:t>
      </w:r>
      <w:r w:rsidR="007B2238">
        <w:t xml:space="preserve">he Commission </w:t>
      </w:r>
      <w:r w:rsidR="00BC445E">
        <w:t xml:space="preserve">waived </w:t>
      </w:r>
      <w:r w:rsidR="007B2238">
        <w:t>these three</w:t>
      </w:r>
      <w:r w:rsidR="00A57D9F">
        <w:t xml:space="preserve"> requirements pending action on proposed amendments</w:t>
      </w:r>
      <w:r w:rsidR="007B2238">
        <w:t>.</w:t>
      </w:r>
      <w:r>
        <w:rPr>
          <w:rStyle w:val="FootnoteReference"/>
        </w:rPr>
        <w:footnoteReference w:id="6"/>
      </w:r>
      <w:r w:rsidR="00777FEA">
        <w:t xml:space="preserve">  </w:t>
      </w:r>
      <w:r w:rsidR="00A57D9F">
        <w:t>W</w:t>
      </w:r>
      <w:r w:rsidR="007B2238">
        <w:t xml:space="preserve">e extend </w:t>
      </w:r>
      <w:r w:rsidR="007246DB">
        <w:t xml:space="preserve">each of </w:t>
      </w:r>
      <w:r w:rsidR="007B2238">
        <w:t xml:space="preserve">the </w:t>
      </w:r>
      <w:r w:rsidR="006414EF">
        <w:t xml:space="preserve">waivers </w:t>
      </w:r>
      <w:r w:rsidR="00816F26">
        <w:t>for</w:t>
      </w:r>
      <w:r w:rsidR="003019F3">
        <w:t xml:space="preserve"> an additional </w:t>
      </w:r>
      <w:r w:rsidR="003F7DFD">
        <w:t>six</w:t>
      </w:r>
      <w:r w:rsidR="003019F3">
        <w:t xml:space="preserve"> months,</w:t>
      </w:r>
      <w:r w:rsidR="00816F26">
        <w:t xml:space="preserve"> </w:t>
      </w:r>
      <w:r w:rsidR="00777FEA">
        <w:t>t</w:t>
      </w:r>
      <w:r w:rsidR="006414EF">
        <w:t xml:space="preserve">hrough </w:t>
      </w:r>
      <w:r w:rsidR="003F7DFD">
        <w:t>December</w:t>
      </w:r>
      <w:r w:rsidR="003019F3">
        <w:t xml:space="preserve"> 3</w:t>
      </w:r>
      <w:r w:rsidR="003F7DFD">
        <w:t>1</w:t>
      </w:r>
      <w:r w:rsidR="003019F3">
        <w:t xml:space="preserve">, 2023, </w:t>
      </w:r>
      <w:r w:rsidR="007246DB">
        <w:t xml:space="preserve">or </w:t>
      </w:r>
      <w:r w:rsidR="006414EF">
        <w:t xml:space="preserve">the effective date of </w:t>
      </w:r>
      <w:r w:rsidR="009D14B7">
        <w:t xml:space="preserve">Commission action amending </w:t>
      </w:r>
      <w:r w:rsidR="006414EF">
        <w:t xml:space="preserve">the </w:t>
      </w:r>
      <w:r w:rsidR="007246DB">
        <w:t xml:space="preserve">waived </w:t>
      </w:r>
      <w:r w:rsidR="006414EF">
        <w:t>rule</w:t>
      </w:r>
      <w:r w:rsidR="009D14B7">
        <w:t>, if earlier</w:t>
      </w:r>
      <w:r w:rsidR="006414EF">
        <w:t>.</w:t>
      </w:r>
      <w:r>
        <w:t xml:space="preserve"> </w:t>
      </w:r>
    </w:p>
    <w:p w:rsidR="0022516D" w:rsidP="0046607E" w14:paraId="4181438D" w14:textId="5ECFBFCD">
      <w:pPr>
        <w:pStyle w:val="ParaNum"/>
        <w:numPr>
          <w:ilvl w:val="0"/>
          <w:numId w:val="7"/>
        </w:numPr>
        <w:tabs>
          <w:tab w:val="clear" w:pos="1080"/>
          <w:tab w:val="left" w:pos="1440"/>
        </w:tabs>
      </w:pPr>
      <w:r>
        <w:rPr>
          <w:i/>
          <w:iCs/>
        </w:rPr>
        <w:t xml:space="preserve">Background.  </w:t>
      </w:r>
      <w:r w:rsidR="0046607E">
        <w:t>To prevent disruption in the provision of VRS during the COVID-19 pandemic, each of the</w:t>
      </w:r>
      <w:r w:rsidR="005A33A0">
        <w:t xml:space="preserve"> above </w:t>
      </w:r>
      <w:r w:rsidR="0046607E">
        <w:t xml:space="preserve">requirements was waived, on an emergency basis, </w:t>
      </w:r>
      <w:r w:rsidR="00C36ECC">
        <w:t>in a series of orders</w:t>
      </w:r>
      <w:r w:rsidR="00637912">
        <w:t xml:space="preserve"> </w:t>
      </w:r>
      <w:r w:rsidR="00B84F82">
        <w:t xml:space="preserve">by which </w:t>
      </w:r>
      <w:r w:rsidR="005D1637">
        <w:t xml:space="preserve">the </w:t>
      </w:r>
      <w:r w:rsidR="00B84F82">
        <w:t xml:space="preserve">waivers </w:t>
      </w:r>
      <w:r w:rsidR="005D1637">
        <w:t>remained</w:t>
      </w:r>
      <w:r w:rsidR="00FE3439">
        <w:t xml:space="preserve"> in effect </w:t>
      </w:r>
      <w:r w:rsidR="00B84F82">
        <w:t xml:space="preserve">from </w:t>
      </w:r>
      <w:r w:rsidR="005D1637">
        <w:t>early</w:t>
      </w:r>
      <w:r w:rsidR="00826B42">
        <w:t xml:space="preserve"> 2020 </w:t>
      </w:r>
      <w:r w:rsidR="0046607E">
        <w:t>through June 30, 2022.</w:t>
      </w:r>
      <w:r>
        <w:rPr>
          <w:rStyle w:val="FootnoteReference"/>
        </w:rPr>
        <w:footnoteReference w:id="7"/>
      </w:r>
      <w:r w:rsidR="0046607E">
        <w:t xml:space="preserve">  In the </w:t>
      </w:r>
      <w:r w:rsidR="0046607E">
        <w:rPr>
          <w:i/>
          <w:iCs/>
        </w:rPr>
        <w:t xml:space="preserve">2022 VRS </w:t>
      </w:r>
      <w:r w:rsidR="0046607E">
        <w:rPr>
          <w:i/>
          <w:iCs/>
        </w:rPr>
        <w:t xml:space="preserve">Improvements </w:t>
      </w:r>
      <w:r w:rsidR="00485F6A">
        <w:rPr>
          <w:i/>
          <w:iCs/>
        </w:rPr>
        <w:t>Notice</w:t>
      </w:r>
      <w:r w:rsidR="0046607E">
        <w:t xml:space="preserve">, the Commission proposed to substantially modify these requirements </w:t>
      </w:r>
      <w:r w:rsidR="0010541F">
        <w:t xml:space="preserve">to allow </w:t>
      </w:r>
      <w:r w:rsidR="00025562">
        <w:t xml:space="preserve">VRS providers more </w:t>
      </w:r>
      <w:r w:rsidR="00495BE3">
        <w:t xml:space="preserve">CA staffing </w:t>
      </w:r>
      <w:r w:rsidR="00025562">
        <w:t>flexibility</w:t>
      </w:r>
      <w:r w:rsidR="00ED0C5A">
        <w:t xml:space="preserve">.  </w:t>
      </w:r>
      <w:r w:rsidR="00BE1BEF">
        <w:t>Specifically, t</w:t>
      </w:r>
      <w:r w:rsidR="00ED0C5A">
        <w:t>he Commission proposed to:</w:t>
      </w:r>
      <w:r w:rsidR="0046607E">
        <w:t xml:space="preserve">  (1) rais</w:t>
      </w:r>
      <w:r w:rsidR="00A04CC2">
        <w:t>e</w:t>
      </w:r>
      <w:r w:rsidR="0046607E">
        <w:t xml:space="preserve"> the cap on the percentage of VRS traffic handled by at-home CAs from 50% to 80% of a VRS provider’s monthly minutes; (2) reduc</w:t>
      </w:r>
      <w:r w:rsidR="00A04CC2">
        <w:t>e</w:t>
      </w:r>
      <w:r w:rsidR="0046607E">
        <w:t xml:space="preserve"> or eliminat</w:t>
      </w:r>
      <w:r w:rsidR="00A04CC2">
        <w:t>e</w:t>
      </w:r>
      <w:r w:rsidR="0046607E">
        <w:t xml:space="preserve"> the requirement that CAs working at home have three years of interpreting experience; and (3) allow a VRS provider to contract for interpretation services for up to 30% of its monthly minutes.</w:t>
      </w:r>
      <w:r>
        <w:rPr>
          <w:rStyle w:val="FootnoteReference"/>
        </w:rPr>
        <w:footnoteReference w:id="8"/>
      </w:r>
      <w:r w:rsidR="00613B4D">
        <w:t xml:space="preserve">  </w:t>
      </w:r>
    </w:p>
    <w:p w:rsidR="0046607E" w:rsidP="0046607E" w14:paraId="1696A6ED" w14:textId="2A0FF795">
      <w:pPr>
        <w:pStyle w:val="ParaNum"/>
        <w:numPr>
          <w:ilvl w:val="0"/>
          <w:numId w:val="7"/>
        </w:numPr>
        <w:tabs>
          <w:tab w:val="clear" w:pos="1080"/>
          <w:tab w:val="left" w:pos="1440"/>
        </w:tabs>
      </w:pPr>
      <w:r>
        <w:t xml:space="preserve">In </w:t>
      </w:r>
      <w:r w:rsidR="00E74842">
        <w:t xml:space="preserve">an Order accompanying the </w:t>
      </w:r>
      <w:r w:rsidR="00E74842">
        <w:rPr>
          <w:i/>
          <w:iCs/>
        </w:rPr>
        <w:t xml:space="preserve">2022 VRS Improvements </w:t>
      </w:r>
      <w:r w:rsidR="0010541F">
        <w:rPr>
          <w:i/>
          <w:iCs/>
        </w:rPr>
        <w:t>Notice</w:t>
      </w:r>
      <w:r>
        <w:t>, t</w:t>
      </w:r>
      <w:r w:rsidR="006B2606">
        <w:t xml:space="preserve">he Commission </w:t>
      </w:r>
      <w:r w:rsidR="004E2D2C">
        <w:t xml:space="preserve">extended the previously granted </w:t>
      </w:r>
      <w:r w:rsidR="006B2606">
        <w:t>waive</w:t>
      </w:r>
      <w:r w:rsidR="004E2D2C">
        <w:t xml:space="preserve">rs </w:t>
      </w:r>
      <w:r w:rsidR="006B2606">
        <w:t xml:space="preserve">for </w:t>
      </w:r>
      <w:r w:rsidR="004E2D2C">
        <w:t xml:space="preserve">an additional </w:t>
      </w:r>
      <w:r w:rsidR="006B2606">
        <w:t>year</w:t>
      </w:r>
      <w:r w:rsidR="00F872FF">
        <w:t>, through June 30, 2023</w:t>
      </w:r>
      <w:r w:rsidR="0010541F">
        <w:t xml:space="preserve">.  </w:t>
      </w:r>
      <w:r w:rsidR="00675717">
        <w:t>Noting that the</w:t>
      </w:r>
      <w:r w:rsidR="00E04CE0">
        <w:t>re continued to be a shortage of ASL interpreters willing to work as VRS CAs, t</w:t>
      </w:r>
      <w:r w:rsidR="0010541F">
        <w:t xml:space="preserve">he Commission </w:t>
      </w:r>
      <w:r w:rsidR="00E04CE0">
        <w:t xml:space="preserve">found that </w:t>
      </w:r>
      <w:r w:rsidR="00C60965">
        <w:t xml:space="preserve">extending the waivers </w:t>
      </w:r>
      <w:r w:rsidR="009E7AEE">
        <w:t xml:space="preserve">was warranted to </w:t>
      </w:r>
      <w:r w:rsidR="008D76AF">
        <w:t xml:space="preserve">avoid imposing </w:t>
      </w:r>
      <w:r w:rsidR="00BD1EB1">
        <w:t>substantial</w:t>
      </w:r>
      <w:r w:rsidR="00C60965">
        <w:t xml:space="preserve"> </w:t>
      </w:r>
      <w:r w:rsidR="006B2606">
        <w:t xml:space="preserve">costs and burdens </w:t>
      </w:r>
      <w:r w:rsidR="00BD1EB1">
        <w:t xml:space="preserve">on </w:t>
      </w:r>
      <w:r w:rsidR="006B2606">
        <w:t>VRS providers</w:t>
      </w:r>
      <w:r w:rsidR="00BD1EB1">
        <w:t xml:space="preserve">’ ability to </w:t>
      </w:r>
      <w:r w:rsidR="00BC3A66">
        <w:t>maintain a sufficient supply of CAs</w:t>
      </w:r>
      <w:r w:rsidR="00695E55">
        <w:t>, pending action on the proposed amendments</w:t>
      </w:r>
      <w:r w:rsidR="005700B4">
        <w:t>.</w:t>
      </w:r>
      <w:r>
        <w:rPr>
          <w:rStyle w:val="FootnoteReference"/>
        </w:rPr>
        <w:footnoteReference w:id="9"/>
      </w:r>
      <w:r w:rsidR="005700B4">
        <w:t xml:space="preserve">  </w:t>
      </w:r>
    </w:p>
    <w:p w:rsidR="0046607E" w:rsidRPr="004A7F98" w:rsidP="0046607E" w14:paraId="2C8E9AC8" w14:textId="77777777">
      <w:pPr>
        <w:pStyle w:val="ParaNum"/>
        <w:widowControl/>
        <w:numPr>
          <w:ilvl w:val="0"/>
          <w:numId w:val="7"/>
        </w:numPr>
        <w:tabs>
          <w:tab w:val="clear" w:pos="1080"/>
          <w:tab w:val="left" w:pos="1440"/>
        </w:tabs>
      </w:pPr>
      <w:r w:rsidRPr="026C2F58">
        <w:rPr>
          <w:i/>
        </w:rPr>
        <w:t>Waiver Standard.</w:t>
      </w:r>
      <w:r w:rsidRPr="026C2F58">
        <w:t xml:space="preserve">  A </w:t>
      </w:r>
      <w:r w:rsidRPr="00A675A8">
        <w:t>Commission</w:t>
      </w:r>
      <w:r w:rsidRPr="026C2F58">
        <w:t xml:space="preserve"> rule may be waived for “good cause shown.”</w:t>
      </w:r>
      <w:r>
        <w:rPr>
          <w:rStyle w:val="FootnoteReference"/>
          <w:sz w:val="22"/>
          <w:szCs w:val="22"/>
        </w:rPr>
        <w:footnoteReference w:id="10"/>
      </w:r>
      <w:r w:rsidRPr="026C2F58">
        <w:t xml:space="preserve">  In particular, a waiver is appropriate where the particular facts make strict compliance inconsistent with the public interest.</w:t>
      </w:r>
      <w:r>
        <w:rPr>
          <w:rStyle w:val="FootnoteReference"/>
          <w:sz w:val="22"/>
          <w:szCs w:val="22"/>
        </w:rPr>
        <w:footnoteReference w:id="11"/>
      </w:r>
      <w:r w:rsidRPr="026C2F58">
        <w:t xml:space="preserve">  In addition, we may take into account considerations of hardship, equity, or more effective implementation of overall policy on an individual basis.</w:t>
      </w:r>
      <w:r>
        <w:rPr>
          <w:rStyle w:val="FootnoteReference"/>
          <w:sz w:val="22"/>
          <w:szCs w:val="22"/>
        </w:rPr>
        <w:footnoteReference w:id="12"/>
      </w:r>
      <w:r w:rsidRPr="026C2F58">
        <w:t xml:space="preserve">  Good cause for a waiver may be found if special circumstances warrant a deviation from the general rule and such deviation will serve the public interest.</w:t>
      </w:r>
      <w:r>
        <w:rPr>
          <w:rStyle w:val="FootnoteReference"/>
          <w:sz w:val="22"/>
          <w:szCs w:val="22"/>
        </w:rPr>
        <w:footnoteReference w:id="13"/>
      </w:r>
      <w:r w:rsidRPr="006002B5">
        <w:rPr>
          <w:szCs w:val="22"/>
        </w:rPr>
        <w:t xml:space="preserve"> </w:t>
      </w:r>
    </w:p>
    <w:p w:rsidR="00511330" w:rsidP="0046607E" w14:paraId="33C68725" w14:textId="55D1A3BE">
      <w:pPr>
        <w:pStyle w:val="ParaNum"/>
        <w:widowControl/>
        <w:numPr>
          <w:ilvl w:val="0"/>
          <w:numId w:val="7"/>
        </w:numPr>
        <w:tabs>
          <w:tab w:val="clear" w:pos="1080"/>
          <w:tab w:val="left" w:pos="1440"/>
        </w:tabs>
      </w:pPr>
      <w:r>
        <w:rPr>
          <w:i/>
          <w:iCs/>
        </w:rPr>
        <w:t xml:space="preserve">Discussion.  </w:t>
      </w:r>
      <w:r w:rsidR="00CD6229">
        <w:t xml:space="preserve">The record </w:t>
      </w:r>
      <w:r w:rsidR="00CA0A32">
        <w:t xml:space="preserve">shows that the </w:t>
      </w:r>
      <w:r w:rsidR="00A61A26">
        <w:t xml:space="preserve">special circumstances prompting these waivers—a serious </w:t>
      </w:r>
      <w:r w:rsidR="0046607E">
        <w:t>shortage of ASL interpreters available for work as VRS CAs</w:t>
      </w:r>
      <w:r w:rsidR="00A61A26">
        <w:t>—</w:t>
      </w:r>
      <w:r w:rsidR="00CA0A32">
        <w:t>ha</w:t>
      </w:r>
      <w:r w:rsidR="00A61A26">
        <w:t>ve</w:t>
      </w:r>
      <w:r w:rsidR="00CA0A32">
        <w:t xml:space="preserve"> not ended</w:t>
      </w:r>
      <w:r w:rsidR="0046607E">
        <w:t>.</w:t>
      </w:r>
      <w:r>
        <w:rPr>
          <w:rStyle w:val="FootnoteReference"/>
        </w:rPr>
        <w:footnoteReference w:id="14"/>
      </w:r>
      <w:r w:rsidR="0046607E">
        <w:t xml:space="preserve">  </w:t>
      </w:r>
      <w:r w:rsidR="00C4669A">
        <w:t xml:space="preserve">During the </w:t>
      </w:r>
      <w:r w:rsidR="00C4669A">
        <w:t xml:space="preserve">pandemic, to cope with this shortage, </w:t>
      </w:r>
      <w:r w:rsidR="0046607E">
        <w:t>the Bureau’s emergency waiver orders</w:t>
      </w:r>
      <w:r w:rsidR="00352287">
        <w:t xml:space="preserve"> allowed</w:t>
      </w:r>
      <w:r w:rsidR="0046607E">
        <w:t xml:space="preserve"> VRS providers </w:t>
      </w:r>
      <w:r w:rsidR="00352287">
        <w:t xml:space="preserve">to </w:t>
      </w:r>
      <w:r w:rsidR="0046607E">
        <w:t>greatly increase their reliance on CAs working at home and on a contract basis.</w:t>
      </w:r>
      <w:r>
        <w:rPr>
          <w:rStyle w:val="FootnoteReference"/>
        </w:rPr>
        <w:footnoteReference w:id="15"/>
      </w:r>
      <w:r w:rsidR="0046607E">
        <w:t xml:space="preserve">  </w:t>
      </w:r>
      <w:r w:rsidR="007679CA">
        <w:t>More recent reports from VRS providers indicate that</w:t>
      </w:r>
      <w:r w:rsidR="001A66C2">
        <w:t>, despite the waiver extensions,</w:t>
      </w:r>
      <w:r w:rsidR="007679CA">
        <w:t xml:space="preserve"> the shortage of qualified ASL interpreters continues to present </w:t>
      </w:r>
      <w:r w:rsidR="00BA0906">
        <w:t xml:space="preserve">staffing </w:t>
      </w:r>
      <w:r w:rsidR="007679CA">
        <w:t>challenges</w:t>
      </w:r>
      <w:r w:rsidR="00BA0906">
        <w:t>,</w:t>
      </w:r>
      <w:r w:rsidR="001A66C2">
        <w:t xml:space="preserve"> </w:t>
      </w:r>
      <w:r w:rsidR="00994E88">
        <w:t xml:space="preserve">compelling </w:t>
      </w:r>
      <w:r w:rsidR="001A66C2">
        <w:t xml:space="preserve">VRS </w:t>
      </w:r>
      <w:r w:rsidR="001F1DB7">
        <w:t xml:space="preserve">providers to </w:t>
      </w:r>
      <w:r w:rsidR="00DC37F1">
        <w:t xml:space="preserve">increase </w:t>
      </w:r>
      <w:r w:rsidR="001F1DB7">
        <w:t xml:space="preserve">compensation </w:t>
      </w:r>
      <w:r w:rsidR="008759CA">
        <w:t>for these highly</w:t>
      </w:r>
      <w:r w:rsidR="001A66C2">
        <w:t xml:space="preserve"> skilled workers</w:t>
      </w:r>
      <w:r w:rsidR="007679CA">
        <w:t>.</w:t>
      </w:r>
      <w:r>
        <w:rPr>
          <w:rStyle w:val="FootnoteReference"/>
        </w:rPr>
        <w:footnoteReference w:id="16"/>
      </w:r>
      <w:r w:rsidR="007679CA">
        <w:t xml:space="preserve">  </w:t>
      </w:r>
      <w:r w:rsidR="0046607E">
        <w:t xml:space="preserve">In these circumstances, allowing the workforce-preserving waivers of these rules to </w:t>
      </w:r>
      <w:r w:rsidRPr="00386638" w:rsidR="0046607E">
        <w:t xml:space="preserve">expire would </w:t>
      </w:r>
      <w:r w:rsidR="008D40C0">
        <w:t xml:space="preserve">impose even greater </w:t>
      </w:r>
      <w:r w:rsidRPr="00386638" w:rsidR="0046607E">
        <w:t xml:space="preserve">costs and </w:t>
      </w:r>
      <w:r w:rsidR="0046607E">
        <w:t xml:space="preserve">burdens </w:t>
      </w:r>
      <w:r w:rsidR="008D40C0">
        <w:t xml:space="preserve">on </w:t>
      </w:r>
      <w:r w:rsidR="0046607E">
        <w:t>VRS providers</w:t>
      </w:r>
      <w:r w:rsidR="000A3805">
        <w:t xml:space="preserve">, hindering their ability to meet </w:t>
      </w:r>
      <w:r w:rsidR="001205BA">
        <w:t>Commission-mandated</w:t>
      </w:r>
      <w:r w:rsidR="000A3805">
        <w:t xml:space="preserve"> standards for </w:t>
      </w:r>
      <w:r>
        <w:t xml:space="preserve">functionally </w:t>
      </w:r>
      <w:r w:rsidR="0046607E">
        <w:t xml:space="preserve">equivalent relay </w:t>
      </w:r>
      <w:r w:rsidRPr="00386638" w:rsidR="0046607E">
        <w:t>service</w:t>
      </w:r>
      <w:r w:rsidR="002A40A5">
        <w:t>.</w:t>
      </w:r>
    </w:p>
    <w:p w:rsidR="0046607E" w:rsidP="008A16E4" w14:paraId="2ED658DB" w14:textId="3F051448">
      <w:pPr>
        <w:pStyle w:val="ParaNum"/>
        <w:widowControl/>
        <w:numPr>
          <w:ilvl w:val="0"/>
          <w:numId w:val="7"/>
        </w:numPr>
        <w:tabs>
          <w:tab w:val="clear" w:pos="1080"/>
          <w:tab w:val="left" w:pos="1440"/>
        </w:tabs>
      </w:pPr>
      <w:r>
        <w:t>Extending the</w:t>
      </w:r>
      <w:r w:rsidR="00C35966">
        <w:t>se</w:t>
      </w:r>
      <w:r>
        <w:t xml:space="preserve"> waiver</w:t>
      </w:r>
      <w:r w:rsidR="00C35966">
        <w:t>s</w:t>
      </w:r>
      <w:r>
        <w:t xml:space="preserve"> </w:t>
      </w:r>
      <w:r w:rsidR="001205BA">
        <w:t xml:space="preserve">pending action on the proposed </w:t>
      </w:r>
      <w:r w:rsidR="00C35966">
        <w:t xml:space="preserve">rule changes </w:t>
      </w:r>
      <w:r>
        <w:t>will alleviate the costs and burdens described above, enabling providers to retain more of their CAs and continue hiring from an expanded pool of ASL interpreters, many of whom would not otherwise be available and willing to work for a VRS provider</w:t>
      </w:r>
      <w:r w:rsidR="00076DC3">
        <w:t>.</w:t>
      </w:r>
      <w:r>
        <w:t xml:space="preserve">  This in turn will help ensure that VRS providers can maintain a high quality of service and have more resources for responding to unexpected traffic surges.  In addition, in the event that the Commission subsequently adopts the proposals in the </w:t>
      </w:r>
      <w:r w:rsidR="00225F56">
        <w:rPr>
          <w:i/>
          <w:iCs/>
        </w:rPr>
        <w:t xml:space="preserve">2022 VRS Improvements </w:t>
      </w:r>
      <w:r w:rsidR="0010541F">
        <w:rPr>
          <w:i/>
          <w:iCs/>
        </w:rPr>
        <w:t>Notice</w:t>
      </w:r>
      <w:r>
        <w:t xml:space="preserve">, extending the waivers of these rules in the interim will avoid unnecessarily imposing on VRS providers the significant costs and burdens involved in “winding down” their use of at-home and contract CAs and then </w:t>
      </w:r>
      <w:r>
        <w:t>“restarting” such hiring after the adoption of amended rules.</w:t>
      </w:r>
      <w:r>
        <w:rPr>
          <w:rStyle w:val="FootnoteReference"/>
        </w:rPr>
        <w:footnoteReference w:id="17"/>
      </w:r>
      <w:r>
        <w:t xml:space="preserve">  Finally, waiving these rules </w:t>
      </w:r>
      <w:r w:rsidR="00646521">
        <w:t xml:space="preserve">since the start of the pandemic </w:t>
      </w:r>
      <w:r>
        <w:t>does not appear to have increased the risk of waste, fraud, and abuse of the TRS Fund.</w:t>
      </w:r>
      <w:r>
        <w:rPr>
          <w:rStyle w:val="FootnoteReference"/>
        </w:rPr>
        <w:footnoteReference w:id="18"/>
      </w:r>
    </w:p>
    <w:p w:rsidR="0046607E" w:rsidP="0046607E" w14:paraId="701B9635" w14:textId="4087B20D">
      <w:pPr>
        <w:pStyle w:val="ParaNum"/>
        <w:numPr>
          <w:ilvl w:val="0"/>
          <w:numId w:val="7"/>
        </w:numPr>
        <w:tabs>
          <w:tab w:val="clear" w:pos="1080"/>
          <w:tab w:val="left" w:pos="1440"/>
        </w:tabs>
      </w:pPr>
      <w:r>
        <w:t xml:space="preserve">Therefore, to prevent the hardship to VRS providers and disruption of service to consumers that would result from termination of the waivers of these rules, we find good cause to extend the current waivers of these requirements </w:t>
      </w:r>
      <w:r w:rsidR="00334A43">
        <w:t>through the earlier of</w:t>
      </w:r>
      <w:r w:rsidR="001161EA">
        <w:t xml:space="preserve"> December 31, 2023, or </w:t>
      </w:r>
      <w:r w:rsidR="00EF20D5">
        <w:t xml:space="preserve">the effective date of amendments </w:t>
      </w:r>
      <w:r w:rsidR="00790053">
        <w:t xml:space="preserve">to these rules </w:t>
      </w:r>
      <w:r w:rsidR="006C611B">
        <w:t>adopted by the Commission</w:t>
      </w:r>
      <w:r w:rsidR="00212CCD">
        <w:t>.</w:t>
      </w:r>
      <w:r>
        <w:t xml:space="preserve">  </w:t>
      </w:r>
      <w:r w:rsidRPr="00AF170D">
        <w:t xml:space="preserve">These waivers are granted without prejudice to the Commission’s final determinations on the proposals in the </w:t>
      </w:r>
      <w:r w:rsidR="00D91C29">
        <w:rPr>
          <w:i/>
          <w:iCs/>
        </w:rPr>
        <w:t xml:space="preserve">2022 VRS Improvements </w:t>
      </w:r>
      <w:r w:rsidR="0010541F">
        <w:rPr>
          <w:i/>
          <w:iCs/>
        </w:rPr>
        <w:t>Notice</w:t>
      </w:r>
      <w:r w:rsidR="00D91C29">
        <w:t xml:space="preserve">.  </w:t>
      </w:r>
    </w:p>
    <w:p w:rsidR="00E57947" w:rsidP="0046607E" w14:paraId="0ADC4244" w14:textId="7A329884">
      <w:pPr>
        <w:pStyle w:val="ParaNum"/>
        <w:numPr>
          <w:ilvl w:val="0"/>
          <w:numId w:val="7"/>
        </w:numPr>
        <w:tabs>
          <w:tab w:val="clear" w:pos="1080"/>
          <w:tab w:val="left" w:pos="1440"/>
        </w:tabs>
      </w:pPr>
      <w:r w:rsidRPr="00E57947">
        <w:rPr>
          <w:i/>
          <w:iCs/>
        </w:rPr>
        <w:t>People with Disabilities</w:t>
      </w:r>
      <w:r>
        <w:t xml:space="preserve">. To request materials in accessible formats for people with disabilities (Braille, large print, electronic files, audio format), send an e-mail to </w:t>
      </w:r>
      <w:hyperlink r:id="rId5" w:history="1">
        <w:r w:rsidRPr="00566292" w:rsidR="00695B25">
          <w:rPr>
            <w:rStyle w:val="Hyperlink"/>
          </w:rPr>
          <w:t>fcc504@fcc.gov</w:t>
        </w:r>
      </w:hyperlink>
      <w:r w:rsidR="00695B25">
        <w:t xml:space="preserve"> </w:t>
      </w:r>
      <w:r>
        <w:t>or call the Consumer and Governmental Affairs Bureau at 202-418-0530.</w:t>
      </w:r>
    </w:p>
    <w:p w:rsidR="00E57947" w:rsidP="0046607E" w14:paraId="4F154073" w14:textId="719519AD">
      <w:pPr>
        <w:pStyle w:val="ParaNum"/>
        <w:numPr>
          <w:ilvl w:val="0"/>
          <w:numId w:val="7"/>
        </w:numPr>
        <w:tabs>
          <w:tab w:val="clear" w:pos="1080"/>
          <w:tab w:val="left" w:pos="1440"/>
        </w:tabs>
      </w:pPr>
      <w:r w:rsidRPr="00E57947">
        <w:rPr>
          <w:i/>
          <w:iCs/>
        </w:rPr>
        <w:t xml:space="preserve">Additional </w:t>
      </w:r>
      <w:r w:rsidRPr="00E57947" w:rsidR="00C72BE4">
        <w:rPr>
          <w:i/>
          <w:iCs/>
        </w:rPr>
        <w:t>Information</w:t>
      </w:r>
      <w:r w:rsidR="00C72BE4">
        <w:t xml:space="preserve">. For further information regarding this item, please contact </w:t>
      </w:r>
      <w:r>
        <w:t xml:space="preserve">Bill Wallace, Disability </w:t>
      </w:r>
      <w:r w:rsidR="00C72BE4">
        <w:t>Rights Office, Consumer and Governmental A</w:t>
      </w:r>
      <w:r>
        <w:t xml:space="preserve">ffairs Bureau, 202-418-2716, or </w:t>
      </w:r>
      <w:hyperlink r:id="rId6" w:history="1">
        <w:r w:rsidRPr="00C36A76">
          <w:rPr>
            <w:rStyle w:val="Hyperlink"/>
          </w:rPr>
          <w:t>William.Wallace@fcc.gov</w:t>
        </w:r>
      </w:hyperlink>
      <w:r>
        <w:t xml:space="preserve">. </w:t>
      </w:r>
      <w:r w:rsidR="00C72BE4">
        <w:t xml:space="preserve"> </w:t>
      </w:r>
    </w:p>
    <w:p w:rsidR="00F068FA" w:rsidP="0046607E" w14:paraId="4ED7E7DA" w14:textId="77777777">
      <w:pPr>
        <w:pStyle w:val="ParaNum"/>
        <w:numPr>
          <w:ilvl w:val="0"/>
          <w:numId w:val="7"/>
        </w:numPr>
        <w:tabs>
          <w:tab w:val="clear" w:pos="1080"/>
          <w:tab w:val="left" w:pos="1440"/>
        </w:tabs>
      </w:pPr>
      <w:r>
        <w:t>Accordingly, IT IS ORDERED that, pursuant to sections 4(i), 4(j), and 225 of the Communications Act of 1934, as amended, 47 U.S.C. §§ 154(i), 154(j), 225, and sections 0.141, 0.361, and 1.3 of the Commission’s rules, 47 CFR §§ 0.141, 0.361, 1.3, this Order IS ADOPTED.</w:t>
      </w:r>
    </w:p>
    <w:p w:rsidR="00F068FA" w:rsidP="0046607E" w14:paraId="60EF2BC1" w14:textId="04F6C20D">
      <w:pPr>
        <w:pStyle w:val="ParaNum"/>
        <w:numPr>
          <w:ilvl w:val="0"/>
          <w:numId w:val="7"/>
        </w:numPr>
        <w:tabs>
          <w:tab w:val="clear" w:pos="1080"/>
          <w:tab w:val="left" w:pos="1440"/>
        </w:tabs>
      </w:pPr>
      <w:r>
        <w:t>IT IS FURTHER ORDERED that, pursuant to sections 1, 2, and 225 of the Communications Act of 1934, as amended, 47 U.S.C. §§ 151, 152, 225, and sections 0.141, 0.361, and 1.3 of the Commission’s rules, 47 CFR §§ 0.141, 0.361, 1.3, the effectiveness of the currently effective waivers of TRS rule</w:t>
      </w:r>
      <w:r w:rsidR="00746F6B">
        <w:t xml:space="preserve"> </w:t>
      </w:r>
      <w:r w:rsidR="00A65160">
        <w:t xml:space="preserve">sections 64.604(b)(8)(i), </w:t>
      </w:r>
      <w:r w:rsidR="00746F6B">
        <w:t>64.</w:t>
      </w:r>
      <w:r w:rsidR="00860A68">
        <w:t xml:space="preserve">604(b)(8)(ii)(A), and </w:t>
      </w:r>
      <w:r w:rsidR="00746F6B">
        <w:t>64.</w:t>
      </w:r>
      <w:r w:rsidR="00860A68">
        <w:t>604(c)(5)(iii)(N)(</w:t>
      </w:r>
      <w:r w:rsidRPr="00EE513F" w:rsidR="00860A68">
        <w:rPr>
          <w:i/>
          <w:iCs/>
        </w:rPr>
        <w:t>1</w:t>
      </w:r>
      <w:r w:rsidR="00860A68">
        <w:t>)(</w:t>
      </w:r>
      <w:r w:rsidRPr="00EE513F" w:rsidR="00860A68">
        <w:rPr>
          <w:i/>
          <w:iCs/>
        </w:rPr>
        <w:t>iii</w:t>
      </w:r>
      <w:r w:rsidR="00860A68">
        <w:t>)</w:t>
      </w:r>
      <w:r w:rsidR="005A0637">
        <w:t>, 47 CFR §</w:t>
      </w:r>
      <w:r w:rsidR="00A61430">
        <w:t>§</w:t>
      </w:r>
      <w:r w:rsidR="005A0637">
        <w:t xml:space="preserve"> 64.604(b)(8)(i), </w:t>
      </w:r>
      <w:r w:rsidR="002B600A">
        <w:t>64.604(b)(8)(ii)(A), and 64.604(c)(5)(iii)(N)(</w:t>
      </w:r>
      <w:r w:rsidRPr="00EE513F" w:rsidR="002B600A">
        <w:rPr>
          <w:i/>
          <w:iCs/>
        </w:rPr>
        <w:t>1</w:t>
      </w:r>
      <w:r w:rsidR="002B600A">
        <w:t>)(</w:t>
      </w:r>
      <w:r w:rsidRPr="00EE513F" w:rsidR="002B600A">
        <w:rPr>
          <w:i/>
          <w:iCs/>
        </w:rPr>
        <w:t>iii</w:t>
      </w:r>
      <w:r w:rsidR="002B600A">
        <w:t xml:space="preserve">), </w:t>
      </w:r>
      <w:r>
        <w:t xml:space="preserve">as described herein, is extended through </w:t>
      </w:r>
      <w:r w:rsidRPr="006C7149" w:rsidR="006C7149">
        <w:t xml:space="preserve">the earlier of December 31, 2023, or </w:t>
      </w:r>
      <w:r w:rsidR="001E0AFF">
        <w:t xml:space="preserve">the effective date of </w:t>
      </w:r>
      <w:r w:rsidR="00A859D1">
        <w:t xml:space="preserve">amendments to these </w:t>
      </w:r>
      <w:r w:rsidR="006C453F">
        <w:t xml:space="preserve">rules </w:t>
      </w:r>
      <w:r w:rsidR="003756BE">
        <w:t>adopted by the Commission</w:t>
      </w:r>
      <w:r>
        <w:t xml:space="preserve">. </w:t>
      </w:r>
    </w:p>
    <w:p w:rsidR="00B72D94" w:rsidP="0046607E" w14:paraId="0E3EEB12" w14:textId="77777777">
      <w:pPr>
        <w:pStyle w:val="ParaNum"/>
        <w:numPr>
          <w:ilvl w:val="0"/>
          <w:numId w:val="7"/>
        </w:numPr>
        <w:tabs>
          <w:tab w:val="clear" w:pos="1080"/>
          <w:tab w:val="left" w:pos="1440"/>
        </w:tabs>
      </w:pPr>
      <w:r>
        <w:t xml:space="preserve">IT IS FURTHER ORDERED that, pursuant to section 1.102(b)(1) of the Commission’s rules, 47 CFR § 1.102(b)(1), this Order SHALL BE EFFECTIVE upon release. </w:t>
      </w:r>
    </w:p>
    <w:p w:rsidR="00B72D94" w:rsidP="00B72D94" w14:paraId="33B15977" w14:textId="77777777">
      <w:pPr>
        <w:pStyle w:val="ParaNum"/>
        <w:numPr>
          <w:ilvl w:val="0"/>
          <w:numId w:val="0"/>
        </w:numPr>
        <w:tabs>
          <w:tab w:val="left" w:pos="1440"/>
        </w:tabs>
      </w:pPr>
    </w:p>
    <w:p w:rsidR="00B72D94" w:rsidP="00B72D94" w14:paraId="755E22A9" w14:textId="77777777">
      <w:pPr>
        <w:pStyle w:val="ParaNum"/>
        <w:numPr>
          <w:ilvl w:val="0"/>
          <w:numId w:val="0"/>
        </w:numPr>
        <w:tabs>
          <w:tab w:val="left" w:pos="1440"/>
        </w:tabs>
        <w:ind w:left="1440"/>
      </w:pPr>
      <w:r>
        <w:tab/>
      </w:r>
      <w:r>
        <w:tab/>
      </w:r>
      <w:r>
        <w:tab/>
      </w:r>
      <w:r>
        <w:tab/>
      </w:r>
      <w:r w:rsidR="00C72BE4">
        <w:t xml:space="preserve">FEDERAL COMMUNICATIONS COMMISSION </w:t>
      </w:r>
      <w:r>
        <w:tab/>
      </w:r>
      <w:r>
        <w:tab/>
      </w:r>
      <w:r>
        <w:tab/>
      </w:r>
      <w:r>
        <w:tab/>
      </w:r>
      <w:r>
        <w:tab/>
      </w:r>
    </w:p>
    <w:p w:rsidR="00B72D94" w:rsidP="00B72D94" w14:paraId="29FD7402" w14:textId="77777777">
      <w:pPr>
        <w:pStyle w:val="ParaNum"/>
        <w:numPr>
          <w:ilvl w:val="0"/>
          <w:numId w:val="0"/>
        </w:numPr>
        <w:tabs>
          <w:tab w:val="left" w:pos="1440"/>
        </w:tabs>
        <w:ind w:left="1440"/>
      </w:pPr>
    </w:p>
    <w:p w:rsidR="00B72D94" w:rsidP="00B72D94" w14:paraId="005A8617" w14:textId="77777777">
      <w:pPr>
        <w:pStyle w:val="ParaNum"/>
        <w:numPr>
          <w:ilvl w:val="0"/>
          <w:numId w:val="0"/>
        </w:numPr>
        <w:tabs>
          <w:tab w:val="left" w:pos="1440"/>
        </w:tabs>
        <w:ind w:left="1440"/>
      </w:pPr>
    </w:p>
    <w:p w:rsidR="00B72D94" w:rsidP="00B72D94" w14:paraId="0A075104" w14:textId="0935BC2D">
      <w:pPr>
        <w:pStyle w:val="ParaNum"/>
        <w:numPr>
          <w:ilvl w:val="0"/>
          <w:numId w:val="0"/>
        </w:numPr>
        <w:tabs>
          <w:tab w:val="left" w:pos="1440"/>
        </w:tabs>
        <w:spacing w:after="0"/>
        <w:ind w:left="1440"/>
      </w:pPr>
      <w:r>
        <w:tab/>
      </w:r>
      <w:r>
        <w:tab/>
      </w:r>
      <w:r>
        <w:tab/>
      </w:r>
      <w:r>
        <w:tab/>
        <w:t>A</w:t>
      </w:r>
      <w:r w:rsidR="00C72BE4">
        <w:t xml:space="preserve">lejandro Roark, Chief </w:t>
      </w:r>
    </w:p>
    <w:p w:rsidR="0046607E" w:rsidRPr="0046607E" w:rsidP="00B72D94" w14:paraId="3F4D67F7" w14:textId="434CDCC4">
      <w:pPr>
        <w:pStyle w:val="ParaNum"/>
        <w:numPr>
          <w:ilvl w:val="0"/>
          <w:numId w:val="0"/>
        </w:numPr>
        <w:tabs>
          <w:tab w:val="left" w:pos="1440"/>
        </w:tabs>
        <w:spacing w:after="0"/>
        <w:ind w:left="1440"/>
      </w:pPr>
      <w:r>
        <w:tab/>
      </w:r>
      <w:r>
        <w:tab/>
      </w:r>
      <w:r>
        <w:tab/>
      </w:r>
      <w:r>
        <w:tab/>
      </w:r>
      <w:r w:rsidR="00C72BE4">
        <w:t>Consumer and Governmental Affairs Bureau</w:t>
      </w:r>
    </w:p>
    <w:sectPr w:rsidSect="0055614C">
      <w:headerReference w:type="default" r:id="rId7"/>
      <w:footerReference w:type="even" r:id="rId8"/>
      <w:footerReference w:type="default" r:id="rId9"/>
      <w:headerReference w:type="first" r:id="rId10"/>
      <w:footerReference w:type="first" r:id="rId11"/>
      <w:endnotePr>
        <w:numFmt w:val="decimal"/>
      </w:endnotePr>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4756AE1F"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6362B82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7308" w14:paraId="07B5E5CF"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D25FB5" w14:paraId="683DED6B"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14:paraId="336EC063"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6103C" w14:paraId="06EE0562" w14:textId="77777777">
      <w:r>
        <w:separator/>
      </w:r>
    </w:p>
  </w:footnote>
  <w:footnote w:type="continuationSeparator" w:id="1">
    <w:p w:rsidR="0046103C" w:rsidP="00C721AC" w14:paraId="6B366132" w14:textId="77777777">
      <w:pPr>
        <w:spacing w:before="120"/>
        <w:rPr>
          <w:sz w:val="20"/>
        </w:rPr>
      </w:pPr>
      <w:r>
        <w:rPr>
          <w:sz w:val="20"/>
        </w:rPr>
        <w:t xml:space="preserve">(Continued from previous page)  </w:t>
      </w:r>
      <w:r>
        <w:rPr>
          <w:sz w:val="20"/>
        </w:rPr>
        <w:separator/>
      </w:r>
    </w:p>
  </w:footnote>
  <w:footnote w:type="continuationNotice" w:id="2">
    <w:p w:rsidR="0046103C" w:rsidP="00C721AC" w14:paraId="2B59BBE2" w14:textId="77777777">
      <w:pPr>
        <w:jc w:val="right"/>
        <w:rPr>
          <w:sz w:val="20"/>
        </w:rPr>
      </w:pPr>
      <w:r>
        <w:rPr>
          <w:sz w:val="20"/>
        </w:rPr>
        <w:t>(continued….)</w:t>
      </w:r>
    </w:p>
  </w:footnote>
  <w:footnote w:id="3">
    <w:p w:rsidR="0046607E" w:rsidP="0046607E" w14:paraId="6D5E687C" w14:textId="77777777">
      <w:pPr>
        <w:pStyle w:val="FootnoteText"/>
      </w:pPr>
      <w:r>
        <w:rPr>
          <w:rStyle w:val="FootnoteReference"/>
        </w:rPr>
        <w:footnoteRef/>
      </w:r>
      <w:r>
        <w:t xml:space="preserve"> 47 CFR § 64.604(b)(8)(i).</w:t>
      </w:r>
    </w:p>
  </w:footnote>
  <w:footnote w:id="4">
    <w:p w:rsidR="0046607E" w:rsidP="0046607E" w14:paraId="59DB595A" w14:textId="77777777">
      <w:pPr>
        <w:pStyle w:val="FootnoteText"/>
      </w:pPr>
      <w:r>
        <w:rPr>
          <w:rStyle w:val="FootnoteReference"/>
        </w:rPr>
        <w:footnoteRef/>
      </w:r>
      <w:r>
        <w:t xml:space="preserve"> </w:t>
      </w:r>
      <w:r>
        <w:rPr>
          <w:i/>
          <w:iCs/>
        </w:rPr>
        <w:t>Id.</w:t>
      </w:r>
      <w:r>
        <w:t xml:space="preserve"> § 64.604(b)(8)(ii)(A).</w:t>
      </w:r>
    </w:p>
  </w:footnote>
  <w:footnote w:id="5">
    <w:p w:rsidR="0046607E" w:rsidP="0046607E" w14:paraId="4EFFB8B9" w14:textId="77777777">
      <w:pPr>
        <w:pStyle w:val="FootnoteText"/>
      </w:pPr>
      <w:r>
        <w:rPr>
          <w:rStyle w:val="FootnoteReference"/>
        </w:rPr>
        <w:footnoteRef/>
      </w:r>
      <w:r>
        <w:t xml:space="preserve"> </w:t>
      </w:r>
      <w:r>
        <w:rPr>
          <w:i/>
          <w:iCs/>
        </w:rPr>
        <w:t>Id.</w:t>
      </w:r>
      <w:r w:rsidRPr="00745043">
        <w:t xml:space="preserve"> § 64.</w:t>
      </w:r>
      <w:r>
        <w:t>604(c)(5)(iii)(N)(</w:t>
      </w:r>
      <w:r w:rsidRPr="00EE513F">
        <w:rPr>
          <w:i/>
          <w:iCs/>
        </w:rPr>
        <w:t>1</w:t>
      </w:r>
      <w:r>
        <w:t>)(</w:t>
      </w:r>
      <w:r w:rsidRPr="00EE513F">
        <w:rPr>
          <w:i/>
          <w:iCs/>
        </w:rPr>
        <w:t>iii</w:t>
      </w:r>
      <w:r>
        <w:t>).</w:t>
      </w:r>
    </w:p>
  </w:footnote>
  <w:footnote w:id="6">
    <w:p w:rsidR="00777FEA" w:rsidRPr="00241DEC" w:rsidP="00777FEA" w14:paraId="56662D6A" w14:textId="38D0BFC4">
      <w:pPr>
        <w:pStyle w:val="FootnoteText"/>
        <w:rPr>
          <w:i/>
          <w:iCs/>
        </w:rPr>
      </w:pPr>
      <w:r>
        <w:rPr>
          <w:rStyle w:val="FootnoteReference"/>
        </w:rPr>
        <w:footnoteRef/>
      </w:r>
      <w:r>
        <w:t xml:space="preserve"> </w:t>
      </w:r>
      <w:r>
        <w:rPr>
          <w:i/>
          <w:iCs/>
        </w:rPr>
        <w:t>See Telecommunications Relay Services and Speech-to-Speech Services for Individuals with Hearing and Speech Disabilities; Structure and Practices of the Video Relay Service Program; Misuse of Internet Protocol (IP) Captioned Telephone Service; Petition for Rulemaking and Interim Waiver of Convo Communications LLC,</w:t>
      </w:r>
      <w:r>
        <w:t xml:space="preserve"> CG Docket Nos. 03-123, 10-51, and 13-24, Report and Order, Notice of Proposed Rulemaking, Order, and Declaratory Ruling, FCC 22-51 (June 30, 2022) (</w:t>
      </w:r>
      <w:r>
        <w:rPr>
          <w:i/>
          <w:iCs/>
        </w:rPr>
        <w:t xml:space="preserve">2022 VRS Improvements </w:t>
      </w:r>
      <w:r w:rsidR="00485F6A">
        <w:rPr>
          <w:i/>
          <w:iCs/>
        </w:rPr>
        <w:t xml:space="preserve">Notice </w:t>
      </w:r>
      <w:r w:rsidR="00220FF5">
        <w:t xml:space="preserve">or </w:t>
      </w:r>
      <w:r>
        <w:rPr>
          <w:i/>
          <w:iCs/>
        </w:rPr>
        <w:t>2022 VRS Waiver Order</w:t>
      </w:r>
      <w:r>
        <w:t>).</w:t>
      </w:r>
      <w:r>
        <w:rPr>
          <w:i/>
          <w:iCs/>
        </w:rPr>
        <w:t xml:space="preserve"> </w:t>
      </w:r>
    </w:p>
  </w:footnote>
  <w:footnote w:id="7">
    <w:p w:rsidR="0046607E" w:rsidRPr="00452B9D" w:rsidP="0046607E" w14:paraId="435E61AE" w14:textId="15D89BE4">
      <w:pPr>
        <w:pStyle w:val="FootnoteText"/>
      </w:pPr>
      <w:r>
        <w:rPr>
          <w:rStyle w:val="FootnoteReference"/>
        </w:rPr>
        <w:footnoteRef/>
      </w:r>
      <w:r>
        <w:t xml:space="preserve"> </w:t>
      </w:r>
      <w:r>
        <w:rPr>
          <w:i/>
          <w:iCs/>
        </w:rPr>
        <w:t xml:space="preserve">See </w:t>
      </w:r>
      <w:r w:rsidRPr="00042417" w:rsidR="00042417">
        <w:rPr>
          <w:i/>
          <w:iCs/>
        </w:rPr>
        <w:t>Telecommunications Relay Services and Speech-to-Speech Services for Individuals with Hearing and Speech Disabilities; Structure and Practices of Video Relay Service Program</w:t>
      </w:r>
      <w:r w:rsidR="00042417">
        <w:t xml:space="preserve">, CG Docket Nos. 03-123 and 10-51, Order, 35 FCC Rcd 2715 (CGB 2020); </w:t>
      </w:r>
      <w:r w:rsidRPr="00971AB3" w:rsidR="00042417">
        <w:rPr>
          <w:i/>
          <w:iCs/>
        </w:rPr>
        <w:t>Telecommunications Relay Services and Speech-to-Speech Services for Individuals with Hearing and Speech Disabilities; Structure and Practices of</w:t>
      </w:r>
      <w:r w:rsidR="000F300A">
        <w:rPr>
          <w:i/>
          <w:iCs/>
        </w:rPr>
        <w:t xml:space="preserve"> the</w:t>
      </w:r>
      <w:r w:rsidRPr="00971AB3" w:rsidR="00042417">
        <w:rPr>
          <w:i/>
          <w:iCs/>
        </w:rPr>
        <w:t xml:space="preserve"> Video Relay Service Program</w:t>
      </w:r>
      <w:r w:rsidR="00042417">
        <w:t xml:space="preserve">, CG Docket Nos. 03-123 and 10-51, Order, 35 FCC Rcd 3018 (CGB 2020); </w:t>
      </w:r>
      <w:r w:rsidRPr="00971AB3" w:rsidR="00042417">
        <w:rPr>
          <w:i/>
          <w:iCs/>
        </w:rPr>
        <w:t>Telecommunications Relay Services and Speech-to-Speech Services for Individuals with Hearing and Speech Disabilities; Structure and Practices of the Video Relay Service Program</w:t>
      </w:r>
      <w:r w:rsidR="00042417">
        <w:t xml:space="preserve">, CG Docket Nos. 03-123 and 10-51, Order, 35 FCC Rcd 4894 (CGB 2020); </w:t>
      </w:r>
      <w:r w:rsidRPr="00AE2A3B" w:rsidR="00295206">
        <w:rPr>
          <w:i/>
          <w:iCs/>
        </w:rPr>
        <w:t>Misuse of Internet Protocol (IP) Captioned Telephone Service; Telecommunications Relay Services for Individuals with Hearing and Speech Disabilities; Structure and Practices of the Video Relay Service Program</w:t>
      </w:r>
      <w:r w:rsidR="00295206">
        <w:t xml:space="preserve">, CG Docket Nos. 13-24, 03-123, and 10-51, Report and Order, Order on Reconsideration, and Further Notice of Proposed Rulemaking, 35 FCC Rcd 10866, </w:t>
      </w:r>
      <w:r w:rsidR="0080232C">
        <w:t>10893</w:t>
      </w:r>
      <w:r w:rsidR="001932E4">
        <w:t>-94</w:t>
      </w:r>
      <w:r w:rsidR="00295206">
        <w:t>, para</w:t>
      </w:r>
      <w:r w:rsidR="001932E4">
        <w:t>s</w:t>
      </w:r>
      <w:r w:rsidR="00295206">
        <w:t>. 54</w:t>
      </w:r>
      <w:r w:rsidR="001932E4">
        <w:t>-55</w:t>
      </w:r>
      <w:r w:rsidR="00295206">
        <w:t xml:space="preserve"> (2020); </w:t>
      </w:r>
      <w:r w:rsidRPr="00D7410B" w:rsidR="00042417">
        <w:rPr>
          <w:i/>
          <w:iCs/>
        </w:rPr>
        <w:t>T</w:t>
      </w:r>
      <w:r w:rsidRPr="00971AB3" w:rsidR="00042417">
        <w:rPr>
          <w:i/>
          <w:iCs/>
        </w:rPr>
        <w:t>elecommunications Relay Services and Speech-to</w:t>
      </w:r>
      <w:r w:rsidR="00702E54">
        <w:rPr>
          <w:i/>
          <w:iCs/>
        </w:rPr>
        <w:t>-</w:t>
      </w:r>
      <w:r w:rsidRPr="00971AB3" w:rsidR="00042417">
        <w:rPr>
          <w:i/>
          <w:iCs/>
        </w:rPr>
        <w:t>Speech Services for Individuals with Hearing and Speech Disabilities; Structure and Practices of</w:t>
      </w:r>
      <w:r w:rsidR="00097220">
        <w:rPr>
          <w:i/>
          <w:iCs/>
        </w:rPr>
        <w:t xml:space="preserve"> the</w:t>
      </w:r>
      <w:r w:rsidRPr="00971AB3" w:rsidR="00042417">
        <w:rPr>
          <w:i/>
          <w:iCs/>
        </w:rPr>
        <w:t xml:space="preserve"> Video Relay Service Program</w:t>
      </w:r>
      <w:r w:rsidR="00042417">
        <w:t xml:space="preserve">, CG Docket Nos. 03-123 and 10-51, Order, 35 FCC Rcd 14634 (CGB 2020); </w:t>
      </w:r>
      <w:r w:rsidRPr="00842BB7" w:rsidR="00042417">
        <w:rPr>
          <w:i/>
          <w:iCs/>
        </w:rPr>
        <w:t>Telecommunications Relay Services and Speech to Speech Services for Individuals with Hearing and Speech</w:t>
      </w:r>
      <w:r w:rsidRPr="00842BB7" w:rsidR="00042417">
        <w:t xml:space="preserve"> </w:t>
      </w:r>
      <w:r w:rsidRPr="00842BB7" w:rsidR="00042417">
        <w:rPr>
          <w:i/>
          <w:iCs/>
        </w:rPr>
        <w:t>Disabilities; Structure and Practices of the Video Relay Service Program,</w:t>
      </w:r>
      <w:r w:rsidRPr="00842BB7" w:rsidR="00042417">
        <w:t xml:space="preserve"> CG Docket Nos. 03-123 and 10-51, Order, </w:t>
      </w:r>
      <w:r w:rsidRPr="00481B49" w:rsidR="000144FF">
        <w:t>DA 21-1653</w:t>
      </w:r>
      <w:r w:rsidRPr="00842BB7" w:rsidR="00D00333">
        <w:t xml:space="preserve"> (CGB 2021</w:t>
      </w:r>
      <w:r w:rsidRPr="00842BB7" w:rsidR="00042417">
        <w:t>) (allowing certain waivers to expire)</w:t>
      </w:r>
      <w:r w:rsidR="00042417">
        <w:t xml:space="preserve">; </w:t>
      </w:r>
      <w:r w:rsidRPr="00971AB3" w:rsidR="00042417">
        <w:rPr>
          <w:i/>
          <w:iCs/>
        </w:rPr>
        <w:t>Telecommunications Relay Services and Speech to Speech Services for Individuals with Hearing and Speech Disabilities; Structure and Practices of the Video Relay Service Program</w:t>
      </w:r>
      <w:r w:rsidR="00042417">
        <w:t xml:space="preserve">, CG Docket Nos. 03-123 and 10-51, Order, DA 22-324 (CGB 2022) (extending </w:t>
      </w:r>
      <w:r w:rsidR="008A72A0">
        <w:t>remaining waiv</w:t>
      </w:r>
      <w:r w:rsidR="00042417">
        <w:t>ers through June 30, 2022).</w:t>
      </w:r>
    </w:p>
  </w:footnote>
  <w:footnote w:id="8">
    <w:p w:rsidR="0046607E" w:rsidRPr="0046607E" w14:paraId="0A6912FB" w14:textId="7FEF3E9D">
      <w:pPr>
        <w:pStyle w:val="FootnoteText"/>
      </w:pPr>
      <w:r>
        <w:rPr>
          <w:rStyle w:val="FootnoteReference"/>
        </w:rPr>
        <w:footnoteRef/>
      </w:r>
      <w:r>
        <w:t xml:space="preserve"> </w:t>
      </w:r>
      <w:r>
        <w:rPr>
          <w:i/>
          <w:iCs/>
        </w:rPr>
        <w:t xml:space="preserve">See 2022 VRS Improvements </w:t>
      </w:r>
      <w:r w:rsidR="0010541F">
        <w:rPr>
          <w:i/>
          <w:iCs/>
        </w:rPr>
        <w:t>Notice</w:t>
      </w:r>
      <w:r>
        <w:t xml:space="preserve">, </w:t>
      </w:r>
      <w:r w:rsidR="003D6AB0">
        <w:t xml:space="preserve">paras. </w:t>
      </w:r>
      <w:r w:rsidR="00752D9E">
        <w:t>25-50.</w:t>
      </w:r>
    </w:p>
  </w:footnote>
  <w:footnote w:id="9">
    <w:p w:rsidR="00F94E3F" w:rsidRPr="00DB3C24" w14:paraId="2B14B22D" w14:textId="1097BC93">
      <w:pPr>
        <w:pStyle w:val="FootnoteText"/>
      </w:pPr>
      <w:r>
        <w:rPr>
          <w:rStyle w:val="FootnoteReference"/>
        </w:rPr>
        <w:footnoteRef/>
      </w:r>
      <w:r>
        <w:t xml:space="preserve"> </w:t>
      </w:r>
      <w:r>
        <w:rPr>
          <w:i/>
          <w:iCs/>
        </w:rPr>
        <w:t xml:space="preserve">See </w:t>
      </w:r>
      <w:r w:rsidR="00DB3C24">
        <w:rPr>
          <w:i/>
          <w:iCs/>
        </w:rPr>
        <w:t>2022 VRS Waiver Order</w:t>
      </w:r>
      <w:r w:rsidR="00DB3C24">
        <w:t xml:space="preserve">, </w:t>
      </w:r>
      <w:r w:rsidR="00752D9E">
        <w:t xml:space="preserve">paras. </w:t>
      </w:r>
      <w:r w:rsidR="00A1176A">
        <w:t>61-66.</w:t>
      </w:r>
    </w:p>
  </w:footnote>
  <w:footnote w:id="10">
    <w:p w:rsidR="0046607E" w:rsidP="0046607E" w14:paraId="16D62D33" w14:textId="77777777">
      <w:pPr>
        <w:pStyle w:val="FootnoteText"/>
      </w:pPr>
      <w:r>
        <w:rPr>
          <w:rStyle w:val="FootnoteReference"/>
        </w:rPr>
        <w:footnoteRef/>
      </w:r>
      <w:r>
        <w:t xml:space="preserve"> 47 CFR § 1.3.</w:t>
      </w:r>
    </w:p>
  </w:footnote>
  <w:footnote w:id="11">
    <w:p w:rsidR="0046607E" w:rsidP="0046607E" w14:paraId="3190C0F7" w14:textId="77777777">
      <w:pPr>
        <w:pStyle w:val="FootnoteText"/>
      </w:pPr>
      <w:r>
        <w:rPr>
          <w:rStyle w:val="FootnoteReference"/>
        </w:rPr>
        <w:footnoteRef/>
      </w:r>
      <w:r>
        <w:t xml:space="preserve"> </w:t>
      </w:r>
      <w:r>
        <w:rPr>
          <w:i/>
        </w:rPr>
        <w:t>Northeast Cellular Tel. Co. v. FCC</w:t>
      </w:r>
      <w:r>
        <w:t>, 897 F.2d 1164, 1166 (D.C. Cir. 1990).</w:t>
      </w:r>
    </w:p>
  </w:footnote>
  <w:footnote w:id="12">
    <w:p w:rsidR="0046607E" w:rsidP="0046607E" w14:paraId="1947897E" w14:textId="77777777">
      <w:pPr>
        <w:pStyle w:val="FootnoteText"/>
      </w:pPr>
      <w:r>
        <w:rPr>
          <w:rStyle w:val="FootnoteReference"/>
        </w:rPr>
        <w:footnoteRef/>
      </w:r>
      <w:r>
        <w:t xml:space="preserve"> </w:t>
      </w:r>
      <w:r>
        <w:rPr>
          <w:i/>
        </w:rPr>
        <w:t>WAIT Radio v. FCC</w:t>
      </w:r>
      <w:r>
        <w:t xml:space="preserve">, 418 F.2d 1153, 1159 (D.C. Cir. 1969), </w:t>
      </w:r>
      <w:r>
        <w:rPr>
          <w:i/>
        </w:rPr>
        <w:t>cert. denied</w:t>
      </w:r>
      <w:r>
        <w:t xml:space="preserve">, 409 U.S. 1027 (1972); </w:t>
      </w:r>
      <w:r>
        <w:rPr>
          <w:i/>
        </w:rPr>
        <w:t>Northeast Cellular</w:t>
      </w:r>
      <w:r>
        <w:t>, 897 F.2d at 1166.</w:t>
      </w:r>
    </w:p>
  </w:footnote>
  <w:footnote w:id="13">
    <w:p w:rsidR="0046607E" w:rsidP="0046607E" w14:paraId="68725E5E" w14:textId="77777777">
      <w:pPr>
        <w:pStyle w:val="FootnoteText"/>
      </w:pPr>
      <w:r>
        <w:rPr>
          <w:rStyle w:val="FootnoteReference"/>
        </w:rPr>
        <w:footnoteRef/>
      </w:r>
      <w:r>
        <w:t xml:space="preserve"> </w:t>
      </w:r>
      <w:r>
        <w:rPr>
          <w:i/>
        </w:rPr>
        <w:t xml:space="preserve">Northeast </w:t>
      </w:r>
      <w:r w:rsidRPr="00310851">
        <w:rPr>
          <w:i/>
        </w:rPr>
        <w:t>Cellular</w:t>
      </w:r>
      <w:r>
        <w:t>, 897 F.2d at 1166.</w:t>
      </w:r>
    </w:p>
  </w:footnote>
  <w:footnote w:id="14">
    <w:p w:rsidR="00E462BA" w:rsidRPr="00263073" w14:paraId="6ECAC5B2" w14:textId="4C0DBBC1">
      <w:pPr>
        <w:pStyle w:val="FootnoteText"/>
      </w:pPr>
      <w:r>
        <w:rPr>
          <w:rStyle w:val="FootnoteReference"/>
        </w:rPr>
        <w:footnoteRef/>
      </w:r>
      <w:r>
        <w:t xml:space="preserve"> </w:t>
      </w:r>
      <w:r w:rsidR="00263073">
        <w:rPr>
          <w:i/>
          <w:iCs/>
        </w:rPr>
        <w:t>See 2022 VRS</w:t>
      </w:r>
      <w:r w:rsidR="00352E32">
        <w:rPr>
          <w:i/>
          <w:iCs/>
        </w:rPr>
        <w:t xml:space="preserve"> Waiver Order</w:t>
      </w:r>
      <w:r w:rsidR="00263073">
        <w:t>, paras. 63-64</w:t>
      </w:r>
      <w:r w:rsidR="00B643D1">
        <w:t xml:space="preserve">; </w:t>
      </w:r>
      <w:r w:rsidRPr="005A1BD8" w:rsidR="007216A9">
        <w:t>Comments</w:t>
      </w:r>
      <w:r w:rsidR="007216A9">
        <w:t xml:space="preserve"> of Convo Communications, LLC, CG Docket Nos. 03-123, 10-51, 13-24, at 4 (filed Jan. 9, 2023) </w:t>
      </w:r>
      <w:r w:rsidR="00EB4B3E">
        <w:t xml:space="preserve">(Convo NPRM Comments) </w:t>
      </w:r>
      <w:r w:rsidR="007216A9">
        <w:t>(“Locating, hiring, and retaining local interpreters is a nationwide problem”)</w:t>
      </w:r>
      <w:r w:rsidR="00E2644D">
        <w:t>; Comments of ASL Holdings S</w:t>
      </w:r>
      <w:r w:rsidR="001E2D8A">
        <w:t>e</w:t>
      </w:r>
      <w:r w:rsidR="00E2644D">
        <w:t>rvices</w:t>
      </w:r>
      <w:r w:rsidR="001E2D8A">
        <w:t>, LLC d/b/a GlobalVRS, CG Docket Nos. 03-123, 10-51, and 13-24, at 3 (filed Jan. 9, 2023) (GlobalVRS NPRM Comments) (“</w:t>
      </w:r>
      <w:r w:rsidR="00E2644D">
        <w:t xml:space="preserve">Every VRS provider has provided the Commission with evidence underscoring </w:t>
      </w:r>
      <w:r w:rsidR="001E2D8A">
        <w:t>‘</w:t>
      </w:r>
      <w:r w:rsidR="00E2644D">
        <w:t>the challenges of in interpreter staffing due to pandemic labor shortages,</w:t>
      </w:r>
      <w:r w:rsidR="001E2D8A">
        <w:t>’</w:t>
      </w:r>
      <w:r w:rsidR="00E2644D">
        <w:t xml:space="preserve"> as the Commission acknowledges.</w:t>
      </w:r>
      <w:r w:rsidR="001E2D8A">
        <w:t>”)</w:t>
      </w:r>
      <w:r w:rsidR="00CC5E84">
        <w:t>.</w:t>
      </w:r>
      <w:r w:rsidRPr="0051747D" w:rsidR="0051747D">
        <w:t xml:space="preserve"> </w:t>
      </w:r>
      <w:r w:rsidR="0051747D">
        <w:t xml:space="preserve"> The Commission has previously noted that this shortage, while aggravated by the COVID-19 pandemic, appears likely to continue well beyond the end of the pandemic.  </w:t>
      </w:r>
      <w:r w:rsidR="00806A43">
        <w:rPr>
          <w:i/>
          <w:iCs/>
        </w:rPr>
        <w:t xml:space="preserve">See 2022 VRS Improvements Waiver Order, </w:t>
      </w:r>
      <w:r w:rsidR="00806A43">
        <w:t>paras. 63-64.</w:t>
      </w:r>
    </w:p>
  </w:footnote>
  <w:footnote w:id="15">
    <w:p w:rsidR="00E462BA" w:rsidRPr="00495590" w14:paraId="603132AF" w14:textId="5E83E4A8">
      <w:pPr>
        <w:pStyle w:val="FootnoteText"/>
      </w:pPr>
      <w:r>
        <w:rPr>
          <w:rStyle w:val="FootnoteReference"/>
        </w:rPr>
        <w:footnoteRef/>
      </w:r>
      <w:r>
        <w:t xml:space="preserve"> </w:t>
      </w:r>
      <w:r w:rsidR="00E32490">
        <w:rPr>
          <w:i/>
          <w:iCs/>
        </w:rPr>
        <w:t xml:space="preserve">See </w:t>
      </w:r>
      <w:r w:rsidR="00495590">
        <w:rPr>
          <w:i/>
          <w:iCs/>
        </w:rPr>
        <w:t xml:space="preserve">2022 VRS Improvements </w:t>
      </w:r>
      <w:r w:rsidR="008F77B9">
        <w:rPr>
          <w:i/>
          <w:iCs/>
        </w:rPr>
        <w:t>Waiver Order</w:t>
      </w:r>
      <w:r w:rsidR="00495590">
        <w:t>, paras. 63-64</w:t>
      </w:r>
      <w:r w:rsidR="00B507EF">
        <w:t xml:space="preserve">.  </w:t>
      </w:r>
      <w:r w:rsidR="00A11AB1">
        <w:t>S</w:t>
      </w:r>
      <w:r w:rsidR="009123F9">
        <w:t>ubstantial r</w:t>
      </w:r>
      <w:r w:rsidR="00360ED4">
        <w:t>eliance on at-home CAs continues</w:t>
      </w:r>
      <w:r w:rsidR="00B507EF">
        <w:t xml:space="preserve">.  </w:t>
      </w:r>
      <w:r w:rsidR="00B507EF">
        <w:rPr>
          <w:i/>
          <w:iCs/>
        </w:rPr>
        <w:t xml:space="preserve">See </w:t>
      </w:r>
      <w:r w:rsidR="00495590">
        <w:t>Convo NPRM Comments at 4 (</w:t>
      </w:r>
      <w:r w:rsidR="008C5D0A">
        <w:t>“</w:t>
      </w:r>
      <w:r w:rsidR="00495590">
        <w:t xml:space="preserve">remote and limited contract interpreting offers a solution </w:t>
      </w:r>
      <w:r w:rsidR="00FD1081">
        <w:t xml:space="preserve">[to the interpreter shortage] </w:t>
      </w:r>
      <w:r w:rsidR="00495590">
        <w:t>by enabling VRS providers to draw from a nationwide interpreter pool</w:t>
      </w:r>
      <w:r w:rsidR="00FD1081">
        <w:t>”)</w:t>
      </w:r>
      <w:r w:rsidR="00B35471">
        <w:t>; Comments of Sorenson Communications, LLC, CG Docket Nos. 03-123, 10-51, and 13-24, at 3 (filed Jan. 9, 2023) (</w:t>
      </w:r>
      <w:r w:rsidR="0086343E">
        <w:t>“</w:t>
      </w:r>
      <w:r w:rsidR="00B35471">
        <w:t>At a time when it is already difficult to entice interpreters to commit time to VRS when community interpreting offers greater pay with more control over the work,</w:t>
      </w:r>
      <w:r w:rsidR="0086343E">
        <w:t xml:space="preserve"> </w:t>
      </w:r>
      <w:r w:rsidR="00B35471">
        <w:t>the flexibility to offer video interpreters a work from home option has been important.</w:t>
      </w:r>
      <w:r w:rsidR="0086343E">
        <w:t>”)</w:t>
      </w:r>
      <w:r w:rsidR="00002D1E">
        <w:t>; GlobalVRS NPRM Comments at 14 (“The ability to attract specialized trilingual Spanish language interpreters and those who support DeafBlind users by offering work at home employment has been particularly well received and enabled GlobalVRS to enhance its specialized service offerings.”)</w:t>
      </w:r>
      <w:r w:rsidR="00D80F30">
        <w:t>; Comments of Accessibility Advocates and Research Organizations, CG Docket Nos. 03-123, 10-51, and 13-24, at 3 (filed Jan. 9, 2023) (“The supply of CAs could increase with the additional remote flexibility that incentivizes the entry of interpreters who are unwilling or unable to work at a call center.”).</w:t>
      </w:r>
    </w:p>
  </w:footnote>
  <w:footnote w:id="16">
    <w:p w:rsidR="00E462BA" w:rsidRPr="00E32490" w14:paraId="31EC1228" w14:textId="5FE5C628">
      <w:pPr>
        <w:pStyle w:val="FootnoteText"/>
      </w:pPr>
      <w:r>
        <w:rPr>
          <w:rStyle w:val="FootnoteReference"/>
        </w:rPr>
        <w:footnoteRef/>
      </w:r>
      <w:r>
        <w:t xml:space="preserve"> </w:t>
      </w:r>
      <w:r w:rsidR="00E32490">
        <w:rPr>
          <w:i/>
          <w:iCs/>
        </w:rPr>
        <w:t xml:space="preserve">See </w:t>
      </w:r>
      <w:r w:rsidR="00E32490">
        <w:t>Letter from Amanda Montgomery, Convo Communications, LLC, to Marlene H. Dortch, Secretary, FCC, CG Docket Nos. 03-123 and 10-51</w:t>
      </w:r>
      <w:r w:rsidR="00010D3A">
        <w:t>, at 1</w:t>
      </w:r>
      <w:r w:rsidR="00A91739">
        <w:t xml:space="preserve"> (filed June </w:t>
      </w:r>
      <w:r w:rsidR="00010D3A">
        <w:t>2</w:t>
      </w:r>
      <w:r w:rsidR="00A91739">
        <w:t>, 2023)</w:t>
      </w:r>
      <w:r w:rsidR="00507F96">
        <w:t xml:space="preserve"> (</w:t>
      </w:r>
      <w:r w:rsidR="00437550">
        <w:t>“The waiver of the . . . cap on the percentage of a VRS provider’s minutes of VRS calls per month for at-home interpreting in response to the pandemic has been proven to be very successful in not only providing health safeguards for our Video Interpreters (</w:t>
      </w:r>
      <w:r w:rsidR="00EF64D4">
        <w:t>‘</w:t>
      </w:r>
      <w:r w:rsidR="00437550">
        <w:t>V</w:t>
      </w:r>
      <w:r w:rsidR="005D47F3">
        <w:t>I</w:t>
      </w:r>
      <w:r w:rsidR="00437550">
        <w:t>s</w:t>
      </w:r>
      <w:r w:rsidR="00EF64D4">
        <w:t>’</w:t>
      </w:r>
      <w:r w:rsidR="00437550">
        <w:t>) during the pandemic, but has allowed greater staffing availability and flexibility for Convo.</w:t>
      </w:r>
      <w:r w:rsidR="00EF64D4">
        <w:t>”)</w:t>
      </w:r>
      <w:r w:rsidR="00A91739">
        <w:t>;</w:t>
      </w:r>
      <w:r w:rsidR="00EF64D4">
        <w:t xml:space="preserve"> </w:t>
      </w:r>
      <w:r w:rsidR="002C6217">
        <w:t>Letter from John T. Nakahata, Counsel to Sorenson Communications,</w:t>
      </w:r>
      <w:r w:rsidR="00920937">
        <w:t xml:space="preserve"> LLC</w:t>
      </w:r>
      <w:r w:rsidR="00023F29">
        <w:t>,</w:t>
      </w:r>
      <w:r w:rsidR="002C6217">
        <w:t xml:space="preserve"> to Marlene H. Dortch, Secretary, FCC, CG Docket Nos. </w:t>
      </w:r>
      <w:r w:rsidR="007E591F">
        <w:t>10-51 and 03-123</w:t>
      </w:r>
      <w:r w:rsidR="00010D3A">
        <w:t>, at</w:t>
      </w:r>
      <w:r w:rsidR="00992FA6">
        <w:t xml:space="preserve"> 2</w:t>
      </w:r>
      <w:r w:rsidR="007E591F">
        <w:t xml:space="preserve"> (filed May 18, 2023)</w:t>
      </w:r>
      <w:r w:rsidR="008B164A">
        <w:t xml:space="preserve"> (“</w:t>
      </w:r>
      <w:r w:rsidR="00DD5626">
        <w:t>current [VRS] rates do not allow for competitive wages for the highly skilled (and highly sought after) video interpreters needed for VRS, particularly in the age of interactive video conferencing”)</w:t>
      </w:r>
      <w:r w:rsidR="0052524D">
        <w:t xml:space="preserve">; Letter from Amanda Montgomery, Convo Communications, LLC, to Marlene H. Dortch, Secretary, FCC CG Docket </w:t>
      </w:r>
      <w:r w:rsidR="00D034B6">
        <w:t>03-123 and 10-51</w:t>
      </w:r>
      <w:r w:rsidR="008641F7">
        <w:t>, at 5</w:t>
      </w:r>
      <w:r w:rsidR="00D034B6">
        <w:t xml:space="preserve"> (filed May 9, 2023)</w:t>
      </w:r>
      <w:r w:rsidR="004F528B">
        <w:t xml:space="preserve"> </w:t>
      </w:r>
      <w:r w:rsidR="008641F7">
        <w:t>(expressing “deep concern about the state of the pipeline for new interpreters. The pandemic adversely impacted many interpreter training programs, which have been slow to recover or shut down as a result…At the same time, the demand for interpreting services went up exponentially during the pandemic.”)</w:t>
      </w:r>
      <w:r w:rsidR="00D80F30">
        <w:t>.</w:t>
      </w:r>
    </w:p>
  </w:footnote>
  <w:footnote w:id="17">
    <w:p w:rsidR="0046607E" w:rsidRPr="00895F14" w:rsidP="0046607E" w14:paraId="73B1235F" w14:textId="3EF9461E">
      <w:pPr>
        <w:pStyle w:val="FootnoteText"/>
      </w:pPr>
      <w:r>
        <w:rPr>
          <w:rStyle w:val="FootnoteReference"/>
        </w:rPr>
        <w:footnoteRef/>
      </w:r>
      <w:r>
        <w:t xml:space="preserve"> </w:t>
      </w:r>
      <w:r>
        <w:rPr>
          <w:i/>
          <w:iCs/>
        </w:rPr>
        <w:t>See</w:t>
      </w:r>
      <w:r>
        <w:t xml:space="preserve"> </w:t>
      </w:r>
      <w:r>
        <w:rPr>
          <w:i/>
          <w:iCs/>
        </w:rPr>
        <w:t>Structure and Practices of the Video Relay Service Program</w:t>
      </w:r>
      <w:r w:rsidRPr="00873599">
        <w:t>;</w:t>
      </w:r>
      <w:r>
        <w:rPr>
          <w:i/>
          <w:iCs/>
        </w:rPr>
        <w:t xml:space="preserve"> Telecommunications Relay Services and Speech-to-Speech Services for Individuals with Hearing and Speech Disabilities</w:t>
      </w:r>
      <w:r>
        <w:t>, CG Docket Nos. 10-51 and 03-123, Order, 34 FCC Rcd 9880, 9882-84</w:t>
      </w:r>
      <w:r w:rsidR="008726A5">
        <w:t>,</w:t>
      </w:r>
      <w:r>
        <w:t xml:space="preserve"> paras. 6-7 (CGB 2019) (extending expiration date of pilot program for VRS at-home call-handling in part to avoid imposing wind-down and start-up costs on providers while the Commission considers adopting permanent program). </w:t>
      </w:r>
    </w:p>
  </w:footnote>
  <w:footnote w:id="18">
    <w:p w:rsidR="000F6982" w:rsidRPr="000F6982" w14:paraId="458A6535" w14:textId="196076CC">
      <w:pPr>
        <w:pStyle w:val="FootnoteText"/>
      </w:pPr>
      <w:r>
        <w:rPr>
          <w:rStyle w:val="FootnoteReference"/>
        </w:rPr>
        <w:footnoteRef/>
      </w:r>
      <w:r>
        <w:t xml:space="preserve"> </w:t>
      </w:r>
      <w:r>
        <w:rPr>
          <w:i/>
          <w:iCs/>
        </w:rPr>
        <w:t>See</w:t>
      </w:r>
      <w:r w:rsidR="00D12738">
        <w:rPr>
          <w:i/>
          <w:iCs/>
        </w:rPr>
        <w:t xml:space="preserve"> </w:t>
      </w:r>
      <w:r w:rsidR="00A60158">
        <w:rPr>
          <w:i/>
          <w:iCs/>
        </w:rPr>
        <w:t>2022 VRS Waiver Order</w:t>
      </w:r>
      <w:r w:rsidR="00A60158">
        <w:t xml:space="preserve">, para. 65; </w:t>
      </w:r>
      <w:r>
        <w:t>GlobalVRS</w:t>
      </w:r>
      <w:r w:rsidR="00352EE2">
        <w:t xml:space="preserve"> NPRM Comments</w:t>
      </w:r>
      <w:r>
        <w:t xml:space="preserve">, at 2-3 (“Provider and Commission experience with the at-home program has demonstrated that at-home interpreting has not only enabled the </w:t>
      </w:r>
      <w:r w:rsidR="00F64C66">
        <w:t xml:space="preserve">uninterrupted </w:t>
      </w:r>
      <w:r>
        <w:t>provision VRS through the Pandemic but proven effective in attracting and retaining interpreters without compromising Program integrity or introducing fraud, waste, and abuse despite necessary rule waivers.</w:t>
      </w:r>
      <w:r w:rsidR="0085000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0D6DC5A1" w14:textId="014CBF88">
    <w:pPr>
      <w:pStyle w:val="Header"/>
      <w:rPr>
        <w:b w:val="0"/>
      </w:rPr>
    </w:pPr>
    <w:r>
      <w:tab/>
      <w:t>Federal Communications Commission</w:t>
    </w:r>
    <w:r>
      <w:tab/>
    </w:r>
    <w:r w:rsidR="00E82300">
      <w:t>DA 23-</w:t>
    </w:r>
    <w:r w:rsidR="00DE1666">
      <w:t>575</w:t>
    </w:r>
  </w:p>
  <w:p w:rsidR="00D25FB5" w14:paraId="47436590" w14:textId="77777777">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14:paraId="7F9C285D"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26C96D3E" w14:textId="6674C76B">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E82300">
      <w:t>DA 23-</w:t>
    </w:r>
    <w:r w:rsidR="00DE1666">
      <w:t>575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 w:numId="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07E"/>
    <w:rsid w:val="00002D1E"/>
    <w:rsid w:val="00006988"/>
    <w:rsid w:val="00010D3A"/>
    <w:rsid w:val="00011E3B"/>
    <w:rsid w:val="000125B2"/>
    <w:rsid w:val="00013870"/>
    <w:rsid w:val="000144FF"/>
    <w:rsid w:val="00023F29"/>
    <w:rsid w:val="00025562"/>
    <w:rsid w:val="00036039"/>
    <w:rsid w:val="00037F90"/>
    <w:rsid w:val="00042417"/>
    <w:rsid w:val="00042738"/>
    <w:rsid w:val="00043871"/>
    <w:rsid w:val="000508AC"/>
    <w:rsid w:val="000527B9"/>
    <w:rsid w:val="00056D4D"/>
    <w:rsid w:val="00076DC3"/>
    <w:rsid w:val="000875BF"/>
    <w:rsid w:val="00096D8C"/>
    <w:rsid w:val="00097220"/>
    <w:rsid w:val="000978E2"/>
    <w:rsid w:val="000A3805"/>
    <w:rsid w:val="000A3990"/>
    <w:rsid w:val="000C0B65"/>
    <w:rsid w:val="000E05FE"/>
    <w:rsid w:val="000E3D42"/>
    <w:rsid w:val="000F300A"/>
    <w:rsid w:val="000F6982"/>
    <w:rsid w:val="0010541F"/>
    <w:rsid w:val="00113FA1"/>
    <w:rsid w:val="001161EA"/>
    <w:rsid w:val="001205BA"/>
    <w:rsid w:val="00122BD5"/>
    <w:rsid w:val="00123469"/>
    <w:rsid w:val="00133F79"/>
    <w:rsid w:val="00143424"/>
    <w:rsid w:val="00143BB4"/>
    <w:rsid w:val="001548F1"/>
    <w:rsid w:val="00176B2E"/>
    <w:rsid w:val="00187418"/>
    <w:rsid w:val="001932E4"/>
    <w:rsid w:val="00194A66"/>
    <w:rsid w:val="00197D29"/>
    <w:rsid w:val="001A0EE5"/>
    <w:rsid w:val="001A66C2"/>
    <w:rsid w:val="001C068F"/>
    <w:rsid w:val="001D6BCF"/>
    <w:rsid w:val="001E01CA"/>
    <w:rsid w:val="001E0AFF"/>
    <w:rsid w:val="001E2D8A"/>
    <w:rsid w:val="001F1DB7"/>
    <w:rsid w:val="00212A46"/>
    <w:rsid w:val="00212CCD"/>
    <w:rsid w:val="00220FF5"/>
    <w:rsid w:val="0022516D"/>
    <w:rsid w:val="00225F56"/>
    <w:rsid w:val="00241DEC"/>
    <w:rsid w:val="00255076"/>
    <w:rsid w:val="00263073"/>
    <w:rsid w:val="00275CF5"/>
    <w:rsid w:val="0027699E"/>
    <w:rsid w:val="0028301F"/>
    <w:rsid w:val="00285017"/>
    <w:rsid w:val="00295206"/>
    <w:rsid w:val="002956B1"/>
    <w:rsid w:val="002A2D2E"/>
    <w:rsid w:val="002A40A5"/>
    <w:rsid w:val="002B3046"/>
    <w:rsid w:val="002B600A"/>
    <w:rsid w:val="002C00E8"/>
    <w:rsid w:val="002C35D5"/>
    <w:rsid w:val="002C606E"/>
    <w:rsid w:val="002C6217"/>
    <w:rsid w:val="002D3ADD"/>
    <w:rsid w:val="002E6D24"/>
    <w:rsid w:val="002F47B4"/>
    <w:rsid w:val="003019F3"/>
    <w:rsid w:val="00310851"/>
    <w:rsid w:val="003171EF"/>
    <w:rsid w:val="00334A43"/>
    <w:rsid w:val="003434B5"/>
    <w:rsid w:val="00343749"/>
    <w:rsid w:val="00352287"/>
    <w:rsid w:val="00352E32"/>
    <w:rsid w:val="00352EE2"/>
    <w:rsid w:val="00360ED4"/>
    <w:rsid w:val="003660ED"/>
    <w:rsid w:val="003756BE"/>
    <w:rsid w:val="00386638"/>
    <w:rsid w:val="00393273"/>
    <w:rsid w:val="003945F6"/>
    <w:rsid w:val="003A639A"/>
    <w:rsid w:val="003B0550"/>
    <w:rsid w:val="003B694F"/>
    <w:rsid w:val="003C0250"/>
    <w:rsid w:val="003C2BEF"/>
    <w:rsid w:val="003D6AB0"/>
    <w:rsid w:val="003F171C"/>
    <w:rsid w:val="003F73A3"/>
    <w:rsid w:val="003F7DFD"/>
    <w:rsid w:val="004079BA"/>
    <w:rsid w:val="00412FC5"/>
    <w:rsid w:val="00422276"/>
    <w:rsid w:val="004242F1"/>
    <w:rsid w:val="0042739B"/>
    <w:rsid w:val="00437550"/>
    <w:rsid w:val="00445A00"/>
    <w:rsid w:val="00451B0F"/>
    <w:rsid w:val="00452B9D"/>
    <w:rsid w:val="004544F8"/>
    <w:rsid w:val="0046103C"/>
    <w:rsid w:val="0046607E"/>
    <w:rsid w:val="004807ED"/>
    <w:rsid w:val="00481B49"/>
    <w:rsid w:val="00484B68"/>
    <w:rsid w:val="00485F6A"/>
    <w:rsid w:val="00495590"/>
    <w:rsid w:val="00495BE3"/>
    <w:rsid w:val="004A7F98"/>
    <w:rsid w:val="004C2EE3"/>
    <w:rsid w:val="004D1EA9"/>
    <w:rsid w:val="004E2D2C"/>
    <w:rsid w:val="004E4A22"/>
    <w:rsid w:val="004F528B"/>
    <w:rsid w:val="005027C6"/>
    <w:rsid w:val="00507F96"/>
    <w:rsid w:val="00511330"/>
    <w:rsid w:val="00511968"/>
    <w:rsid w:val="0051747D"/>
    <w:rsid w:val="00520FBA"/>
    <w:rsid w:val="0052524D"/>
    <w:rsid w:val="00530158"/>
    <w:rsid w:val="0055614C"/>
    <w:rsid w:val="005632B5"/>
    <w:rsid w:val="00566292"/>
    <w:rsid w:val="00566D06"/>
    <w:rsid w:val="005700B4"/>
    <w:rsid w:val="005745E0"/>
    <w:rsid w:val="00586436"/>
    <w:rsid w:val="005A0637"/>
    <w:rsid w:val="005A1BD8"/>
    <w:rsid w:val="005A33A0"/>
    <w:rsid w:val="005A68CF"/>
    <w:rsid w:val="005B452F"/>
    <w:rsid w:val="005D04DB"/>
    <w:rsid w:val="005D1637"/>
    <w:rsid w:val="005D47F3"/>
    <w:rsid w:val="005E14C2"/>
    <w:rsid w:val="005F5D0A"/>
    <w:rsid w:val="006002B5"/>
    <w:rsid w:val="00607BA5"/>
    <w:rsid w:val="0061180A"/>
    <w:rsid w:val="00613B4D"/>
    <w:rsid w:val="0061496A"/>
    <w:rsid w:val="00625872"/>
    <w:rsid w:val="00626EB6"/>
    <w:rsid w:val="00635A5C"/>
    <w:rsid w:val="00637912"/>
    <w:rsid w:val="006414EF"/>
    <w:rsid w:val="00646521"/>
    <w:rsid w:val="00655D03"/>
    <w:rsid w:val="00675717"/>
    <w:rsid w:val="00682CEE"/>
    <w:rsid w:val="00682E0F"/>
    <w:rsid w:val="00683388"/>
    <w:rsid w:val="00683F84"/>
    <w:rsid w:val="0069381D"/>
    <w:rsid w:val="00695B25"/>
    <w:rsid w:val="00695E55"/>
    <w:rsid w:val="00697397"/>
    <w:rsid w:val="006A1AAD"/>
    <w:rsid w:val="006A6A81"/>
    <w:rsid w:val="006B2606"/>
    <w:rsid w:val="006B55A9"/>
    <w:rsid w:val="006C453F"/>
    <w:rsid w:val="006C611B"/>
    <w:rsid w:val="006C7149"/>
    <w:rsid w:val="006F7393"/>
    <w:rsid w:val="0070224F"/>
    <w:rsid w:val="00702E54"/>
    <w:rsid w:val="00704916"/>
    <w:rsid w:val="007115F7"/>
    <w:rsid w:val="00714D71"/>
    <w:rsid w:val="00717CB2"/>
    <w:rsid w:val="007216A9"/>
    <w:rsid w:val="007246DB"/>
    <w:rsid w:val="00733F34"/>
    <w:rsid w:val="00745043"/>
    <w:rsid w:val="00746F6B"/>
    <w:rsid w:val="00752A37"/>
    <w:rsid w:val="00752D9E"/>
    <w:rsid w:val="007679CA"/>
    <w:rsid w:val="00777FEA"/>
    <w:rsid w:val="00782F87"/>
    <w:rsid w:val="00785689"/>
    <w:rsid w:val="00790053"/>
    <w:rsid w:val="0079754B"/>
    <w:rsid w:val="007A1E6D"/>
    <w:rsid w:val="007A6DC6"/>
    <w:rsid w:val="007B0EB2"/>
    <w:rsid w:val="007B2238"/>
    <w:rsid w:val="007B3A45"/>
    <w:rsid w:val="007C1F43"/>
    <w:rsid w:val="007D3CE1"/>
    <w:rsid w:val="007E299F"/>
    <w:rsid w:val="007E591F"/>
    <w:rsid w:val="007E6541"/>
    <w:rsid w:val="0080232C"/>
    <w:rsid w:val="00806A43"/>
    <w:rsid w:val="00810B6F"/>
    <w:rsid w:val="0081387B"/>
    <w:rsid w:val="00816F26"/>
    <w:rsid w:val="00822CE0"/>
    <w:rsid w:val="00826B42"/>
    <w:rsid w:val="00841AB1"/>
    <w:rsid w:val="00842BB7"/>
    <w:rsid w:val="00844767"/>
    <w:rsid w:val="00845BB6"/>
    <w:rsid w:val="0085000A"/>
    <w:rsid w:val="00852081"/>
    <w:rsid w:val="00852ACE"/>
    <w:rsid w:val="00860A68"/>
    <w:rsid w:val="0086343E"/>
    <w:rsid w:val="008641F7"/>
    <w:rsid w:val="008726A5"/>
    <w:rsid w:val="00873599"/>
    <w:rsid w:val="008738B1"/>
    <w:rsid w:val="008759CA"/>
    <w:rsid w:val="00895F14"/>
    <w:rsid w:val="008A16E4"/>
    <w:rsid w:val="008A72A0"/>
    <w:rsid w:val="008B164A"/>
    <w:rsid w:val="008C5D0A"/>
    <w:rsid w:val="008C68F1"/>
    <w:rsid w:val="008D40C0"/>
    <w:rsid w:val="008D76AF"/>
    <w:rsid w:val="008F77B9"/>
    <w:rsid w:val="009123F9"/>
    <w:rsid w:val="00920937"/>
    <w:rsid w:val="00921803"/>
    <w:rsid w:val="0092565A"/>
    <w:rsid w:val="00926503"/>
    <w:rsid w:val="009435F4"/>
    <w:rsid w:val="00943736"/>
    <w:rsid w:val="00951414"/>
    <w:rsid w:val="00971AB3"/>
    <w:rsid w:val="009726D8"/>
    <w:rsid w:val="009731B2"/>
    <w:rsid w:val="00992FA6"/>
    <w:rsid w:val="00994E88"/>
    <w:rsid w:val="009A6D00"/>
    <w:rsid w:val="009B0958"/>
    <w:rsid w:val="009B33BD"/>
    <w:rsid w:val="009B3569"/>
    <w:rsid w:val="009C0B82"/>
    <w:rsid w:val="009D14B7"/>
    <w:rsid w:val="009D307D"/>
    <w:rsid w:val="009D7308"/>
    <w:rsid w:val="009E7AEE"/>
    <w:rsid w:val="009F76DB"/>
    <w:rsid w:val="00A0008D"/>
    <w:rsid w:val="00A04CC2"/>
    <w:rsid w:val="00A1176A"/>
    <w:rsid w:val="00A11AB1"/>
    <w:rsid w:val="00A11CC0"/>
    <w:rsid w:val="00A17920"/>
    <w:rsid w:val="00A26441"/>
    <w:rsid w:val="00A32C3B"/>
    <w:rsid w:val="00A454B9"/>
    <w:rsid w:val="00A45F4F"/>
    <w:rsid w:val="00A51D47"/>
    <w:rsid w:val="00A57D9F"/>
    <w:rsid w:val="00A600A9"/>
    <w:rsid w:val="00A60158"/>
    <w:rsid w:val="00A61430"/>
    <w:rsid w:val="00A61A26"/>
    <w:rsid w:val="00A65160"/>
    <w:rsid w:val="00A675A8"/>
    <w:rsid w:val="00A75F32"/>
    <w:rsid w:val="00A859D1"/>
    <w:rsid w:val="00A8757F"/>
    <w:rsid w:val="00A91739"/>
    <w:rsid w:val="00AA55B7"/>
    <w:rsid w:val="00AA5B9E"/>
    <w:rsid w:val="00AB2407"/>
    <w:rsid w:val="00AB53DF"/>
    <w:rsid w:val="00AC7B59"/>
    <w:rsid w:val="00AE2A3B"/>
    <w:rsid w:val="00AE4AD3"/>
    <w:rsid w:val="00AF170D"/>
    <w:rsid w:val="00AF1CA3"/>
    <w:rsid w:val="00B07E5C"/>
    <w:rsid w:val="00B207E7"/>
    <w:rsid w:val="00B30DB9"/>
    <w:rsid w:val="00B35471"/>
    <w:rsid w:val="00B47B11"/>
    <w:rsid w:val="00B507EF"/>
    <w:rsid w:val="00B62217"/>
    <w:rsid w:val="00B643D1"/>
    <w:rsid w:val="00B652C2"/>
    <w:rsid w:val="00B72D94"/>
    <w:rsid w:val="00B75AF2"/>
    <w:rsid w:val="00B811F7"/>
    <w:rsid w:val="00B82564"/>
    <w:rsid w:val="00B84F82"/>
    <w:rsid w:val="00B86F85"/>
    <w:rsid w:val="00B87549"/>
    <w:rsid w:val="00BA0906"/>
    <w:rsid w:val="00BA2FF1"/>
    <w:rsid w:val="00BA5DC6"/>
    <w:rsid w:val="00BA6196"/>
    <w:rsid w:val="00BC3A66"/>
    <w:rsid w:val="00BC445E"/>
    <w:rsid w:val="00BC665F"/>
    <w:rsid w:val="00BC6D8C"/>
    <w:rsid w:val="00BD1EB1"/>
    <w:rsid w:val="00BE1BEF"/>
    <w:rsid w:val="00BE7964"/>
    <w:rsid w:val="00BF5D08"/>
    <w:rsid w:val="00C073FC"/>
    <w:rsid w:val="00C34006"/>
    <w:rsid w:val="00C35966"/>
    <w:rsid w:val="00C36A76"/>
    <w:rsid w:val="00C36B4C"/>
    <w:rsid w:val="00C36ECC"/>
    <w:rsid w:val="00C426B1"/>
    <w:rsid w:val="00C4669A"/>
    <w:rsid w:val="00C60965"/>
    <w:rsid w:val="00C66160"/>
    <w:rsid w:val="00C702D3"/>
    <w:rsid w:val="00C721AC"/>
    <w:rsid w:val="00C72BE4"/>
    <w:rsid w:val="00C90D6A"/>
    <w:rsid w:val="00C919EC"/>
    <w:rsid w:val="00CA0A32"/>
    <w:rsid w:val="00CA0FAA"/>
    <w:rsid w:val="00CA247E"/>
    <w:rsid w:val="00CA6D21"/>
    <w:rsid w:val="00CC59E9"/>
    <w:rsid w:val="00CC5E84"/>
    <w:rsid w:val="00CC72B6"/>
    <w:rsid w:val="00CD4F82"/>
    <w:rsid w:val="00CD6229"/>
    <w:rsid w:val="00D00333"/>
    <w:rsid w:val="00D0218D"/>
    <w:rsid w:val="00D02F1D"/>
    <w:rsid w:val="00D034B6"/>
    <w:rsid w:val="00D12738"/>
    <w:rsid w:val="00D25FB5"/>
    <w:rsid w:val="00D44223"/>
    <w:rsid w:val="00D66B69"/>
    <w:rsid w:val="00D7410B"/>
    <w:rsid w:val="00D80F30"/>
    <w:rsid w:val="00D81CDC"/>
    <w:rsid w:val="00D87B56"/>
    <w:rsid w:val="00D91C29"/>
    <w:rsid w:val="00DA2529"/>
    <w:rsid w:val="00DB130A"/>
    <w:rsid w:val="00DB2EBB"/>
    <w:rsid w:val="00DB3C24"/>
    <w:rsid w:val="00DC10A1"/>
    <w:rsid w:val="00DC37F1"/>
    <w:rsid w:val="00DC655F"/>
    <w:rsid w:val="00DD0B59"/>
    <w:rsid w:val="00DD5626"/>
    <w:rsid w:val="00DD7EBD"/>
    <w:rsid w:val="00DE1666"/>
    <w:rsid w:val="00DF52BD"/>
    <w:rsid w:val="00DF62B6"/>
    <w:rsid w:val="00E04CE0"/>
    <w:rsid w:val="00E07225"/>
    <w:rsid w:val="00E2644D"/>
    <w:rsid w:val="00E27B18"/>
    <w:rsid w:val="00E32490"/>
    <w:rsid w:val="00E427C4"/>
    <w:rsid w:val="00E428D9"/>
    <w:rsid w:val="00E462BA"/>
    <w:rsid w:val="00E5409F"/>
    <w:rsid w:val="00E57947"/>
    <w:rsid w:val="00E74842"/>
    <w:rsid w:val="00E7799E"/>
    <w:rsid w:val="00E81E74"/>
    <w:rsid w:val="00E82300"/>
    <w:rsid w:val="00E82FE3"/>
    <w:rsid w:val="00E91DEA"/>
    <w:rsid w:val="00EA7101"/>
    <w:rsid w:val="00EB45D8"/>
    <w:rsid w:val="00EB4B3E"/>
    <w:rsid w:val="00ED0C5A"/>
    <w:rsid w:val="00EE513F"/>
    <w:rsid w:val="00EE6488"/>
    <w:rsid w:val="00EF20D5"/>
    <w:rsid w:val="00EF64D4"/>
    <w:rsid w:val="00F021FA"/>
    <w:rsid w:val="00F068FA"/>
    <w:rsid w:val="00F130FA"/>
    <w:rsid w:val="00F15006"/>
    <w:rsid w:val="00F31800"/>
    <w:rsid w:val="00F37277"/>
    <w:rsid w:val="00F46ED0"/>
    <w:rsid w:val="00F62E97"/>
    <w:rsid w:val="00F64209"/>
    <w:rsid w:val="00F64C66"/>
    <w:rsid w:val="00F872FF"/>
    <w:rsid w:val="00F93BF5"/>
    <w:rsid w:val="00F94E3F"/>
    <w:rsid w:val="00FC0EE3"/>
    <w:rsid w:val="00FC11DA"/>
    <w:rsid w:val="00FD1081"/>
    <w:rsid w:val="00FE3439"/>
    <w:rsid w:val="00FF10BD"/>
    <w:rsid w:val="026C2F58"/>
    <w:rsid w:val="222A7138"/>
    <w:rsid w:val="2F0F7824"/>
    <w:rsid w:val="39ACDAE0"/>
    <w:rsid w:val="4D8B0880"/>
    <w:rsid w:val="7D5EF4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1238FE2"/>
  <w15:chartTrackingRefBased/>
  <w15:docId w15:val="{793BFA11-9C71-47DB-9BA3-EF070AEE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link w:val="FootnoteTextChar"/>
    <w:uiPriority w:val="99"/>
    <w:qFormat/>
    <w:rsid w:val="000E3D42"/>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uiPriority w:val="99"/>
    <w:qFormat/>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uiPriority w:val="99"/>
    <w:rsid w:val="002A2D2E"/>
    <w:rPr>
      <w:color w:val="0000FF"/>
      <w:u w:val="single"/>
    </w:rPr>
  </w:style>
  <w:style w:type="character" w:customStyle="1" w:styleId="FooterChar">
    <w:name w:val="Footer Char"/>
    <w:link w:val="Footer"/>
    <w:uiPriority w:val="99"/>
    <w:rsid w:val="009D7308"/>
    <w:rPr>
      <w:snapToGrid w:val="0"/>
      <w:kern w:val="28"/>
      <w:sz w:val="22"/>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rsid w:val="0046607E"/>
  </w:style>
  <w:style w:type="character" w:customStyle="1" w:styleId="ParaNumChar">
    <w:name w:val="ParaNum Char"/>
    <w:link w:val="ParaNum"/>
    <w:locked/>
    <w:rsid w:val="0046607E"/>
    <w:rPr>
      <w:snapToGrid w:val="0"/>
      <w:kern w:val="28"/>
      <w:sz w:val="22"/>
    </w:rPr>
  </w:style>
  <w:style w:type="character" w:styleId="UnresolvedMention">
    <w:name w:val="Unresolved Mention"/>
    <w:uiPriority w:val="99"/>
    <w:semiHidden/>
    <w:unhideWhenUsed/>
    <w:rsid w:val="00E57947"/>
    <w:rPr>
      <w:color w:val="605E5C"/>
      <w:shd w:val="clear" w:color="auto" w:fill="E1DFDD"/>
    </w:rPr>
  </w:style>
  <w:style w:type="paragraph" w:styleId="Revision">
    <w:name w:val="Revision"/>
    <w:hidden/>
    <w:uiPriority w:val="99"/>
    <w:semiHidden/>
    <w:rsid w:val="000F300A"/>
    <w:rPr>
      <w:snapToGrid w:val="0"/>
      <w:kern w:val="28"/>
      <w:sz w:val="22"/>
    </w:rPr>
  </w:style>
  <w:style w:type="character" w:styleId="CommentReference">
    <w:name w:val="annotation reference"/>
    <w:rsid w:val="00E427C4"/>
    <w:rPr>
      <w:sz w:val="16"/>
      <w:szCs w:val="16"/>
    </w:rPr>
  </w:style>
  <w:style w:type="paragraph" w:styleId="CommentText">
    <w:name w:val="annotation text"/>
    <w:basedOn w:val="Normal"/>
    <w:link w:val="CommentTextChar"/>
    <w:rsid w:val="00E427C4"/>
    <w:rPr>
      <w:sz w:val="20"/>
    </w:rPr>
  </w:style>
  <w:style w:type="character" w:customStyle="1" w:styleId="CommentTextChar">
    <w:name w:val="Comment Text Char"/>
    <w:link w:val="CommentText"/>
    <w:rsid w:val="00E427C4"/>
    <w:rPr>
      <w:snapToGrid w:val="0"/>
      <w:kern w:val="28"/>
    </w:rPr>
  </w:style>
  <w:style w:type="paragraph" w:styleId="CommentSubject">
    <w:name w:val="annotation subject"/>
    <w:basedOn w:val="CommentText"/>
    <w:next w:val="CommentText"/>
    <w:link w:val="CommentSubjectChar"/>
    <w:rsid w:val="00E427C4"/>
    <w:rPr>
      <w:b/>
      <w:bCs/>
    </w:rPr>
  </w:style>
  <w:style w:type="character" w:customStyle="1" w:styleId="CommentSubjectChar">
    <w:name w:val="Comment Subject Char"/>
    <w:link w:val="CommentSubject"/>
    <w:rsid w:val="00E427C4"/>
    <w:rPr>
      <w:b/>
      <w:bCs/>
      <w:snapToGrid w:val="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fcc504@fcc.gov" TargetMode="External" /><Relationship Id="rId6" Type="http://schemas.openxmlformats.org/officeDocument/2006/relationships/hyperlink" Target="mailto:William.Wallace@fcc.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s\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