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CA34B4" w:rsidP="0FB73A40" w14:paraId="3900FE2D" w14:textId="320DE85C">
      <w:pPr>
        <w:jc w:val="right"/>
        <w:rPr>
          <w:b/>
          <w:bCs/>
          <w:sz w:val="24"/>
          <w:szCs w:val="24"/>
        </w:rPr>
      </w:pPr>
      <w:r w:rsidRPr="0FB73A40">
        <w:rPr>
          <w:b/>
          <w:bCs/>
          <w:sz w:val="24"/>
          <w:szCs w:val="24"/>
        </w:rPr>
        <w:t xml:space="preserve">DA </w:t>
      </w:r>
      <w:r w:rsidRPr="0FB73A40" w:rsidR="001B70A2">
        <w:rPr>
          <w:b/>
          <w:bCs/>
          <w:sz w:val="24"/>
          <w:szCs w:val="24"/>
        </w:rPr>
        <w:t>2</w:t>
      </w:r>
      <w:r w:rsidRPr="0FB73A40" w:rsidR="17E6DA2D">
        <w:rPr>
          <w:b/>
          <w:bCs/>
          <w:sz w:val="24"/>
          <w:szCs w:val="24"/>
        </w:rPr>
        <w:t>3</w:t>
      </w:r>
      <w:r w:rsidRPr="0FB73A40" w:rsidR="001B70A2">
        <w:rPr>
          <w:b/>
          <w:bCs/>
          <w:sz w:val="24"/>
          <w:szCs w:val="24"/>
        </w:rPr>
        <w:t>-</w:t>
      </w:r>
      <w:r w:rsidR="006555BC">
        <w:rPr>
          <w:b/>
          <w:bCs/>
          <w:sz w:val="24"/>
          <w:szCs w:val="24"/>
        </w:rPr>
        <w:t>662</w:t>
      </w:r>
    </w:p>
    <w:p w:rsidR="00CA34B4" w:rsidP="0FB73A40" w14:paraId="7623DBA3" w14:textId="3999A0F4">
      <w:pPr>
        <w:spacing w:before="60"/>
        <w:jc w:val="right"/>
        <w:rPr>
          <w:b/>
          <w:bCs/>
          <w:sz w:val="24"/>
          <w:szCs w:val="24"/>
          <w:highlight w:val="yellow"/>
        </w:rPr>
      </w:pPr>
      <w:r w:rsidRPr="0FB73A40">
        <w:rPr>
          <w:b/>
          <w:bCs/>
          <w:sz w:val="24"/>
          <w:szCs w:val="24"/>
        </w:rPr>
        <w:t xml:space="preserve">Released:  </w:t>
      </w:r>
      <w:r w:rsidR="006555BC">
        <w:rPr>
          <w:b/>
          <w:bCs/>
          <w:sz w:val="24"/>
          <w:szCs w:val="24"/>
        </w:rPr>
        <w:t>August 4, 2023</w:t>
      </w:r>
    </w:p>
    <w:p w:rsidR="00CA34B4" w14:paraId="58ADED81" w14:textId="77777777">
      <w:pPr>
        <w:jc w:val="right"/>
        <w:rPr>
          <w:sz w:val="24"/>
        </w:rPr>
      </w:pPr>
    </w:p>
    <w:p w:rsidR="00CA34B4" w14:paraId="237D6048" w14:textId="14206DEA">
      <w:pPr>
        <w:spacing w:after="240"/>
        <w:jc w:val="center"/>
        <w:rPr>
          <w:rFonts w:ascii="Times New Roman Bold" w:hAnsi="Times New Roman Bold"/>
          <w:b/>
          <w:caps/>
          <w:sz w:val="24"/>
        </w:rPr>
      </w:pPr>
      <w:r>
        <w:rPr>
          <w:rFonts w:ascii="Times New Roman Bold" w:hAnsi="Times New Roman Bold"/>
          <w:b/>
          <w:caps/>
          <w:sz w:val="24"/>
        </w:rPr>
        <w:t>COMMENT</w:t>
      </w:r>
      <w:r w:rsidR="00AA3B3D">
        <w:rPr>
          <w:rFonts w:ascii="Times New Roman Bold" w:hAnsi="Times New Roman Bold"/>
          <w:b/>
          <w:caps/>
          <w:sz w:val="24"/>
        </w:rPr>
        <w:t xml:space="preserve"> sought</w:t>
      </w:r>
      <w:r>
        <w:rPr>
          <w:rFonts w:ascii="Times New Roman Bold" w:hAnsi="Times New Roman Bold"/>
          <w:b/>
          <w:caps/>
          <w:sz w:val="24"/>
        </w:rPr>
        <w:t xml:space="preserve"> ON </w:t>
      </w:r>
      <w:r w:rsidR="00695AFF">
        <w:rPr>
          <w:rFonts w:ascii="Times New Roman Bold" w:hAnsi="Times New Roman Bold"/>
          <w:b/>
          <w:caps/>
          <w:sz w:val="24"/>
        </w:rPr>
        <w:t xml:space="preserve">T-MOBILE ACCESSIBILITY </w:t>
      </w:r>
      <w:r w:rsidR="00CD5A0B">
        <w:rPr>
          <w:rFonts w:ascii="Times New Roman Bold" w:hAnsi="Times New Roman Bold"/>
          <w:b/>
          <w:caps/>
          <w:sz w:val="24"/>
        </w:rPr>
        <w:t>PETITION FOR LIMITED WAIVER</w:t>
      </w:r>
    </w:p>
    <w:p w:rsidR="001A5D77" w:rsidP="00FA2B5D" w14:paraId="1BE36BA5" w14:textId="77777777">
      <w:pPr>
        <w:jc w:val="center"/>
        <w:rPr>
          <w:b/>
          <w:sz w:val="24"/>
        </w:rPr>
      </w:pPr>
      <w:r>
        <w:rPr>
          <w:b/>
          <w:sz w:val="24"/>
        </w:rPr>
        <w:t xml:space="preserve">CG Docket No. </w:t>
      </w:r>
      <w:r w:rsidRPr="00F402E8" w:rsidR="00F402E8">
        <w:rPr>
          <w:b/>
          <w:sz w:val="24"/>
        </w:rPr>
        <w:t>03</w:t>
      </w:r>
      <w:r w:rsidRPr="00F402E8">
        <w:rPr>
          <w:b/>
          <w:sz w:val="24"/>
        </w:rPr>
        <w:t>-</w:t>
      </w:r>
      <w:r w:rsidR="00F402E8">
        <w:rPr>
          <w:b/>
          <w:sz w:val="24"/>
        </w:rPr>
        <w:t>12</w:t>
      </w:r>
      <w:r w:rsidR="00632A46">
        <w:rPr>
          <w:b/>
          <w:sz w:val="24"/>
        </w:rPr>
        <w:t>3</w:t>
      </w:r>
    </w:p>
    <w:p w:rsidR="00656DC7" w:rsidP="00FA2B5D" w14:paraId="7119232B" w14:textId="14FF2C91">
      <w:pPr>
        <w:jc w:val="center"/>
        <w:rPr>
          <w:b/>
          <w:sz w:val="24"/>
        </w:rPr>
      </w:pPr>
      <w:r>
        <w:rPr>
          <w:b/>
          <w:sz w:val="24"/>
        </w:rPr>
        <w:t>RM-11931</w:t>
      </w:r>
    </w:p>
    <w:p w:rsidR="009A37EE" w:rsidP="009A37EE" w14:paraId="7EA56956" w14:textId="77777777">
      <w:pPr>
        <w:rPr>
          <w:b/>
          <w:sz w:val="24"/>
        </w:rPr>
      </w:pPr>
    </w:p>
    <w:p w:rsidR="009A37EE" w:rsidRPr="00B26DCB" w:rsidP="0FB73A40" w14:paraId="2AC704A0" w14:textId="385BBF6B">
      <w:pPr>
        <w:widowControl/>
        <w:spacing w:line="259" w:lineRule="auto"/>
        <w:rPr>
          <w:rFonts w:eastAsia="Calibri"/>
          <w:b/>
          <w:bCs/>
          <w:snapToGrid/>
          <w:kern w:val="0"/>
          <w:sz w:val="24"/>
          <w:szCs w:val="24"/>
        </w:rPr>
      </w:pPr>
      <w:r w:rsidRPr="0FB73A40">
        <w:rPr>
          <w:rFonts w:eastAsia="Calibri"/>
          <w:b/>
          <w:bCs/>
          <w:snapToGrid/>
          <w:kern w:val="0"/>
          <w:sz w:val="24"/>
          <w:szCs w:val="24"/>
        </w:rPr>
        <w:t>Comments Due:</w:t>
      </w:r>
      <w:r w:rsidRPr="0FB73A40" w:rsidR="00166659">
        <w:rPr>
          <w:rFonts w:eastAsia="Calibri"/>
          <w:b/>
          <w:bCs/>
          <w:snapToGrid/>
          <w:kern w:val="0"/>
          <w:sz w:val="24"/>
          <w:szCs w:val="24"/>
        </w:rPr>
        <w:t xml:space="preserve"> </w:t>
      </w:r>
      <w:r w:rsidR="006555BC">
        <w:rPr>
          <w:rFonts w:eastAsia="Calibri"/>
          <w:b/>
          <w:bCs/>
          <w:snapToGrid/>
          <w:kern w:val="0"/>
          <w:sz w:val="24"/>
          <w:szCs w:val="24"/>
        </w:rPr>
        <w:t>August 21, 2023</w:t>
      </w:r>
    </w:p>
    <w:p w:rsidR="009A37EE" w:rsidP="0FB73A40" w14:paraId="300935AF" w14:textId="393EC429">
      <w:pPr>
        <w:widowControl/>
        <w:spacing w:after="160" w:line="259" w:lineRule="auto"/>
        <w:rPr>
          <w:rFonts w:eastAsia="Calibri"/>
          <w:b/>
          <w:bCs/>
          <w:snapToGrid/>
          <w:kern w:val="0"/>
          <w:sz w:val="24"/>
          <w:szCs w:val="24"/>
        </w:rPr>
      </w:pPr>
      <w:r w:rsidRPr="0FB73A40">
        <w:rPr>
          <w:rFonts w:eastAsia="Calibri"/>
          <w:b/>
          <w:bCs/>
          <w:snapToGrid/>
          <w:kern w:val="0"/>
          <w:sz w:val="24"/>
          <w:szCs w:val="24"/>
        </w:rPr>
        <w:t xml:space="preserve">Reply Comments Due: </w:t>
      </w:r>
      <w:r w:rsidR="006555BC">
        <w:rPr>
          <w:rFonts w:eastAsia="Calibri"/>
          <w:b/>
          <w:bCs/>
          <w:snapToGrid/>
          <w:kern w:val="0"/>
          <w:sz w:val="24"/>
          <w:szCs w:val="24"/>
        </w:rPr>
        <w:t>August 31, 2023</w:t>
      </w:r>
    </w:p>
    <w:p w:rsidR="00927EAA" w:rsidP="00927EAA" w14:paraId="6C5D3FF5" w14:textId="1349D967">
      <w:pPr>
        <w:spacing w:after="120"/>
        <w:ind w:firstLine="720"/>
      </w:pPr>
      <w:r>
        <w:t xml:space="preserve">The Consumer and Governmental Affairs Bureau (CGB or Bureau) of the Federal Communications Commission (FCC or Commission) seeks comment on </w:t>
      </w:r>
      <w:r w:rsidR="00883AAF">
        <w:t xml:space="preserve">a Petition for Limited Waiver filed by </w:t>
      </w:r>
      <w:r w:rsidR="00695AFF">
        <w:t xml:space="preserve">T-Mobile Accessibility </w:t>
      </w:r>
      <w:r w:rsidR="03326389">
        <w:t>(</w:t>
      </w:r>
      <w:r w:rsidR="00695AFF">
        <w:t>T-Mobile</w:t>
      </w:r>
      <w:r w:rsidR="03326389">
        <w:t>)</w:t>
      </w:r>
      <w:r w:rsidR="00363120">
        <w:t xml:space="preserve"> seeking waiver of the requirement that </w:t>
      </w:r>
      <w:r w:rsidR="00A75CAB">
        <w:t xml:space="preserve">the </w:t>
      </w:r>
      <w:r w:rsidR="00363120">
        <w:t>TTY-based relay service be capable of communicating with the American Standard Code for Information Interchange (ASCII) format</w:t>
      </w:r>
      <w:r w:rsidR="00883AAF">
        <w:t>.</w:t>
      </w:r>
      <w:r>
        <w:rPr>
          <w:rStyle w:val="FootnoteReference"/>
        </w:rPr>
        <w:footnoteReference w:id="3"/>
      </w:r>
      <w:r>
        <w:t xml:space="preserve"> </w:t>
      </w:r>
      <w:r w:rsidR="00201FF0">
        <w:t xml:space="preserve">T-Mobile contends that </w:t>
      </w:r>
      <w:r w:rsidR="00C64ECE">
        <w:t>the ASCII format is now obsolete</w:t>
      </w:r>
      <w:r w:rsidR="00F3642E">
        <w:t xml:space="preserve"> and</w:t>
      </w:r>
      <w:r w:rsidR="00C64ECE">
        <w:t xml:space="preserve"> has very few users</w:t>
      </w:r>
      <w:r w:rsidR="00F3642E">
        <w:t xml:space="preserve">.  Additionally, T-Mobile </w:t>
      </w:r>
      <w:r w:rsidR="000B3DB9">
        <w:t>states that continued compliance with the</w:t>
      </w:r>
      <w:r w:rsidR="00903DDF">
        <w:t xml:space="preserve"> requirement inhibits innovation and imposes significant near-term costs on T-Mobile.</w:t>
      </w:r>
      <w:r w:rsidR="00656DC7">
        <w:t xml:space="preserve">  T-Mobile seeks a time-limited waiver pending the outcome of Commission action on T-Mobile’s Petition for Rulemaking to amend the Commission’s rules to eliminate the ASCII requirement.</w:t>
      </w:r>
      <w:r>
        <w:rPr>
          <w:rStyle w:val="FootnoteReference"/>
        </w:rPr>
        <w:footnoteReference w:id="4"/>
      </w:r>
    </w:p>
    <w:p w:rsidR="00927EAA" w:rsidRPr="00CA1C2A" w:rsidP="00CA1C2A" w14:paraId="506B7B7C" w14:textId="3C10394D">
      <w:pPr>
        <w:spacing w:after="120"/>
      </w:pPr>
      <w:r>
        <w:tab/>
      </w:r>
      <w:r w:rsidR="00695AFF">
        <w:t xml:space="preserve">T-Mobile </w:t>
      </w:r>
      <w:r>
        <w:t xml:space="preserve">has redacted portions of its </w:t>
      </w:r>
      <w:r w:rsidR="00656DC7">
        <w:t>petition</w:t>
      </w:r>
      <w:r>
        <w:t xml:space="preserve"> for which it requests confidential treatment. Access to the redacted material is governed by the Third Protective Order in this docket.</w:t>
      </w:r>
      <w:r>
        <w:rPr>
          <w:rStyle w:val="FootnoteReference"/>
        </w:rPr>
        <w:footnoteReference w:id="5"/>
      </w:r>
    </w:p>
    <w:p w:rsidR="00AC42DE" w:rsidRPr="00E858EB" w:rsidP="00AC42DE" w14:paraId="466D2A06" w14:textId="14A96298">
      <w:pPr>
        <w:widowControl/>
        <w:spacing w:after="120"/>
        <w:ind w:firstLine="720"/>
        <w:rPr>
          <w:szCs w:val="22"/>
        </w:rPr>
      </w:pPr>
      <w:r w:rsidRPr="004C08D0">
        <w:rPr>
          <w:i/>
          <w:szCs w:val="22"/>
        </w:rPr>
        <w:t xml:space="preserve">Filing Requirements.  </w:t>
      </w:r>
      <w:r w:rsidRPr="004C08D0">
        <w:rPr>
          <w:szCs w:val="22"/>
        </w:rPr>
        <w:t xml:space="preserve">Interested parties may file comments on </w:t>
      </w:r>
      <w:r w:rsidR="00656DC7">
        <w:rPr>
          <w:szCs w:val="22"/>
        </w:rPr>
        <w:t>T-Mobile’s petition</w:t>
      </w:r>
      <w:r w:rsidRPr="004C08D0">
        <w:rPr>
          <w:szCs w:val="22"/>
        </w:rPr>
        <w:t xml:space="preserve"> on or before the date</w:t>
      </w:r>
      <w:r w:rsidR="00FE58B8">
        <w:rPr>
          <w:szCs w:val="22"/>
        </w:rPr>
        <w:t>s</w:t>
      </w:r>
      <w:r w:rsidRPr="004C08D0">
        <w:rPr>
          <w:szCs w:val="22"/>
        </w:rPr>
        <w:t xml:space="preserve"> indicated on the first page of this document.</w:t>
      </w:r>
      <w:r>
        <w:rPr>
          <w:rStyle w:val="FootnoteReference"/>
        </w:rPr>
        <w:footnoteReference w:id="6"/>
      </w:r>
      <w:r w:rsidRPr="004C08D0">
        <w:rPr>
          <w:szCs w:val="22"/>
        </w:rPr>
        <w:t xml:space="preserve">  </w:t>
      </w:r>
      <w:r w:rsidRPr="004C08D0">
        <w:rPr>
          <w:iCs/>
          <w:szCs w:val="22"/>
        </w:rPr>
        <w:t xml:space="preserve">All filings must reference CG Docket No. </w:t>
      </w:r>
      <w:r w:rsidR="00F402E8">
        <w:rPr>
          <w:iCs/>
          <w:szCs w:val="22"/>
        </w:rPr>
        <w:t>03</w:t>
      </w:r>
      <w:r w:rsidRPr="004C08D0">
        <w:rPr>
          <w:iCs/>
          <w:szCs w:val="22"/>
        </w:rPr>
        <w:t>-</w:t>
      </w:r>
      <w:r w:rsidR="00F402E8">
        <w:rPr>
          <w:iCs/>
          <w:szCs w:val="22"/>
        </w:rPr>
        <w:t>123</w:t>
      </w:r>
      <w:r w:rsidR="004442CF">
        <w:rPr>
          <w:iCs/>
          <w:szCs w:val="22"/>
        </w:rPr>
        <w:t xml:space="preserve"> </w:t>
      </w:r>
      <w:r w:rsidR="004442CF">
        <w:rPr>
          <w:iCs/>
          <w:szCs w:val="22"/>
        </w:rPr>
        <w:t>and RM-11931</w:t>
      </w:r>
      <w:r w:rsidRPr="004C08D0">
        <w:rPr>
          <w:iCs/>
          <w:szCs w:val="22"/>
        </w:rPr>
        <w:t xml:space="preserve">.  </w:t>
      </w:r>
      <w:r w:rsidRPr="004C08D0">
        <w:rPr>
          <w:szCs w:val="22"/>
        </w:rPr>
        <w:t>Comments may be filed using the Commission’s Electronic Comment Filing System (ECFS).</w:t>
      </w:r>
      <w:r>
        <w:rPr>
          <w:rStyle w:val="FootnoteReference"/>
        </w:rPr>
        <w:footnoteReference w:id="7"/>
      </w:r>
      <w:r w:rsidRPr="00E858EB">
        <w:rPr>
          <w:szCs w:val="22"/>
        </w:rPr>
        <w:t xml:space="preserve">  </w:t>
      </w:r>
    </w:p>
    <w:p w:rsidR="00AC42DE" w:rsidRPr="00160393" w:rsidP="00AC42DE" w14:paraId="64F20A2F" w14:textId="77777777">
      <w:pPr>
        <w:widowControl/>
        <w:numPr>
          <w:ilvl w:val="0"/>
          <w:numId w:val="7"/>
        </w:numPr>
        <w:spacing w:after="240"/>
        <w:ind w:left="1080"/>
        <w:contextualSpacing/>
        <w:rPr>
          <w:szCs w:val="22"/>
        </w:rPr>
      </w:pPr>
      <w:r w:rsidRPr="00AB7C96">
        <w:rPr>
          <w:szCs w:val="22"/>
        </w:rPr>
        <w:t xml:space="preserve">Electronic Filers:  Comments may be filed electronically using the Internet by accessing the ECFS:  </w:t>
      </w:r>
      <w:hyperlink r:id="rId5" w:history="1">
        <w:r w:rsidRPr="00AB7C96">
          <w:rPr>
            <w:color w:val="0000FF"/>
            <w:szCs w:val="22"/>
            <w:u w:val="single"/>
          </w:rPr>
          <w:t>https://www.fcc.gov/ecfs/filings</w:t>
        </w:r>
      </w:hyperlink>
      <w:r w:rsidRPr="00160393">
        <w:rPr>
          <w:szCs w:val="22"/>
        </w:rPr>
        <w:t xml:space="preserve">.  </w:t>
      </w:r>
    </w:p>
    <w:p w:rsidR="00AC42DE" w:rsidRPr="001775DA" w:rsidP="00AC42DE" w14:paraId="347D9D65" w14:textId="77777777">
      <w:pPr>
        <w:widowControl/>
        <w:numPr>
          <w:ilvl w:val="0"/>
          <w:numId w:val="7"/>
        </w:numPr>
        <w:ind w:left="1080"/>
        <w:contextualSpacing/>
        <w:rPr>
          <w:szCs w:val="22"/>
        </w:rPr>
      </w:pPr>
      <w:r w:rsidRPr="001775DA">
        <w:rPr>
          <w:szCs w:val="22"/>
        </w:rPr>
        <w:t xml:space="preserve">Paper Filers:  </w:t>
      </w:r>
    </w:p>
    <w:p w:rsidR="00AC42DE" w:rsidP="00AC42DE" w14:paraId="520BE9E2" w14:textId="77777777">
      <w:pPr>
        <w:widowControl/>
        <w:numPr>
          <w:ilvl w:val="1"/>
          <w:numId w:val="9"/>
        </w:numPr>
        <w:spacing w:after="120"/>
        <w:rPr>
          <w:szCs w:val="22"/>
        </w:rPr>
      </w:pPr>
      <w:r w:rsidRPr="001775DA">
        <w:rPr>
          <w:szCs w:val="22"/>
        </w:rPr>
        <w:t>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AC42DE" w:rsidRPr="00AB7C96" w:rsidP="00AC42DE" w14:paraId="2E1853CD" w14:textId="77777777">
      <w:pPr>
        <w:widowControl/>
        <w:numPr>
          <w:ilvl w:val="1"/>
          <w:numId w:val="9"/>
        </w:numPr>
        <w:spacing w:after="120"/>
        <w:rPr>
          <w:szCs w:val="22"/>
        </w:rPr>
      </w:pPr>
      <w:r w:rsidRPr="00AB7C96">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AC42DE" w:rsidRPr="0054212D" w:rsidP="00AC42DE" w14:paraId="7653AAFF" w14:textId="77777777">
      <w:pPr>
        <w:widowControl/>
        <w:numPr>
          <w:ilvl w:val="1"/>
          <w:numId w:val="9"/>
        </w:numPr>
        <w:spacing w:after="120"/>
        <w:rPr>
          <w:rFonts w:ascii="Arial" w:hAnsi="Arial" w:cs="Arial"/>
          <w:snapToGrid/>
          <w:kern w:val="0"/>
        </w:rPr>
      </w:pPr>
      <w:r w:rsidRPr="00F11583">
        <w:rPr>
          <w:szCs w:val="22"/>
        </w:rPr>
        <w:t>Currently, the Commission does not accept any hand delivered or messenger delivered filings as a temporary measure taken to help protect the health and safety of individuals, and to mitigate the transmission of COVID-19.  In the event that the Commission announces the lifting of COVID-19 restrictions, a filing window will be opened at the Commission’s office located at 9050 Junction Drive, Annapolis</w:t>
      </w:r>
      <w:r>
        <w:rPr>
          <w:szCs w:val="22"/>
        </w:rPr>
        <w:t xml:space="preserve"> Junction</w:t>
      </w:r>
      <w:r w:rsidRPr="00F11583">
        <w:rPr>
          <w:szCs w:val="22"/>
        </w:rPr>
        <w:t>, Maryland 20701</w:t>
      </w:r>
      <w:r>
        <w:rPr>
          <w:rFonts w:ascii="Arial" w:hAnsi="Arial" w:cs="Arial"/>
        </w:rPr>
        <w:t>.</w:t>
      </w:r>
      <w:r>
        <w:rPr>
          <w:rStyle w:val="FootnoteReference"/>
          <w:rFonts w:cs="Arial"/>
        </w:rPr>
        <w:footnoteReference w:id="8"/>
      </w:r>
      <w:r w:rsidRPr="0054212D">
        <w:rPr>
          <w:szCs w:val="22"/>
        </w:rPr>
        <w:t xml:space="preserve">  </w:t>
      </w:r>
    </w:p>
    <w:p w:rsidR="00AC42DE" w:rsidRPr="00AB7C96" w:rsidP="00AC42DE" w14:paraId="02D3FC71" w14:textId="77777777">
      <w:pPr>
        <w:widowControl/>
        <w:numPr>
          <w:ilvl w:val="1"/>
          <w:numId w:val="10"/>
        </w:numPr>
        <w:spacing w:after="120"/>
        <w:rPr>
          <w:szCs w:val="22"/>
        </w:rPr>
      </w:pPr>
      <w:r w:rsidRPr="00AB7C96">
        <w:rPr>
          <w:szCs w:val="22"/>
        </w:rPr>
        <w:t xml:space="preserve">Commercial overnight mail (other than U.S. Postal Service Express Mail and Priority Mail) must be sent to </w:t>
      </w:r>
      <w:r w:rsidRPr="009D0F23">
        <w:rPr>
          <w:szCs w:val="22"/>
        </w:rPr>
        <w:t>9050 Junction Drive, Annapolis Junction, MD 20701</w:t>
      </w:r>
      <w:r w:rsidRPr="00AB7C96">
        <w:rPr>
          <w:szCs w:val="22"/>
        </w:rPr>
        <w:t>.</w:t>
      </w:r>
    </w:p>
    <w:p w:rsidR="00AC42DE" w:rsidP="00AC42DE" w14:paraId="19881BA6" w14:textId="77777777">
      <w:pPr>
        <w:widowControl/>
        <w:numPr>
          <w:ilvl w:val="1"/>
          <w:numId w:val="11"/>
        </w:numPr>
        <w:spacing w:after="120"/>
        <w:rPr>
          <w:szCs w:val="22"/>
        </w:rPr>
      </w:pPr>
      <w:r w:rsidRPr="00AB7C96">
        <w:rPr>
          <w:szCs w:val="22"/>
        </w:rPr>
        <w:t xml:space="preserve">U.S. Postal Service first-class, Express, and Priority mail </w:t>
      </w:r>
      <w:r>
        <w:rPr>
          <w:szCs w:val="22"/>
        </w:rPr>
        <w:t xml:space="preserve">may </w:t>
      </w:r>
      <w:r w:rsidRPr="00AB7C96">
        <w:rPr>
          <w:szCs w:val="22"/>
        </w:rPr>
        <w:t>be addressed to</w:t>
      </w:r>
      <w:r>
        <w:rPr>
          <w:szCs w:val="22"/>
        </w:rPr>
        <w:t xml:space="preserve"> 45 L Street, NE, Washington, DC 20554.</w:t>
      </w:r>
    </w:p>
    <w:p w:rsidR="00AC42DE" w:rsidRPr="000D7702" w:rsidP="00AC42DE" w14:paraId="38839A6D" w14:textId="77777777">
      <w:pPr>
        <w:spacing w:after="120"/>
        <w:ind w:firstLine="720"/>
        <w:rPr>
          <w:szCs w:val="22"/>
        </w:rPr>
      </w:pPr>
      <w:r>
        <w:rPr>
          <w:i/>
          <w:iCs/>
          <w:szCs w:val="22"/>
        </w:rPr>
        <w:t>Ex Parte Requirements.</w:t>
      </w:r>
      <w:r>
        <w:rPr>
          <w:szCs w:val="22"/>
        </w:rPr>
        <w:t xml:space="preserve"> </w:t>
      </w:r>
      <w:r w:rsidRPr="000D7702">
        <w:rPr>
          <w:szCs w:val="22"/>
        </w:rPr>
        <w:t xml:space="preserve">The proceeding this Notice initiates shall be treated as a “permit-but-disclose” proceeding in accordance with the Commission’s </w:t>
      </w:r>
      <w:r w:rsidRPr="000D7702">
        <w:rPr>
          <w:i/>
          <w:iCs/>
          <w:szCs w:val="22"/>
        </w:rPr>
        <w:t xml:space="preserve">ex parte </w:t>
      </w:r>
      <w:r w:rsidRPr="000D7702">
        <w:rPr>
          <w:szCs w:val="22"/>
        </w:rPr>
        <w:t>rules.</w:t>
      </w:r>
      <w:r>
        <w:rPr>
          <w:rStyle w:val="FootnoteReference"/>
        </w:rPr>
        <w:footnoteReference w:id="9"/>
      </w:r>
      <w:r w:rsidRPr="000D7702">
        <w:rPr>
          <w:szCs w:val="22"/>
        </w:rPr>
        <w:t xml:space="preserve">  Persons making </w:t>
      </w:r>
      <w:r w:rsidRPr="000D7702">
        <w:rPr>
          <w:i/>
          <w:szCs w:val="22"/>
        </w:rPr>
        <w:t xml:space="preserve">ex parte </w:t>
      </w:r>
      <w:r w:rsidRPr="000D7702">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0D7702">
        <w:rPr>
          <w:i/>
          <w:iCs/>
          <w:szCs w:val="22"/>
        </w:rPr>
        <w:t xml:space="preserve">ex parte </w:t>
      </w:r>
      <w:r w:rsidRPr="000D7702">
        <w:rPr>
          <w:szCs w:val="22"/>
        </w:rPr>
        <w:t xml:space="preserve">presentations are reminded that memoranda summarizing the presentation must (1) list all persons attending or otherwise participating in the meeting at which the </w:t>
      </w:r>
      <w:r w:rsidRPr="000D7702">
        <w:rPr>
          <w:i/>
          <w:iCs/>
          <w:szCs w:val="22"/>
        </w:rPr>
        <w:t xml:space="preserve">ex parte </w:t>
      </w:r>
      <w:r w:rsidRPr="000D7702">
        <w:rPr>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0D7702">
        <w:rPr>
          <w:i/>
          <w:iCs/>
          <w:szCs w:val="22"/>
        </w:rPr>
        <w:t xml:space="preserve">ex parte </w:t>
      </w:r>
      <w:r w:rsidRPr="000D7702">
        <w:rPr>
          <w:szCs w:val="22"/>
        </w:rPr>
        <w:t xml:space="preserve">meetings are deemed to be written </w:t>
      </w:r>
      <w:r w:rsidRPr="000D7702">
        <w:rPr>
          <w:i/>
          <w:iCs/>
          <w:szCs w:val="22"/>
        </w:rPr>
        <w:t>ex parte</w:t>
      </w:r>
      <w:r w:rsidRPr="000D7702">
        <w:rPr>
          <w:szCs w:val="22"/>
        </w:rPr>
        <w:t xml:space="preserve"> presentations and must be filed consistent with rule 1.1206(b).  In proceedings governed by rule 1.49(f) or for which the Commission has made available a method of electronic filing, written </w:t>
      </w:r>
      <w:r w:rsidRPr="000D7702">
        <w:rPr>
          <w:i/>
          <w:iCs/>
          <w:szCs w:val="22"/>
        </w:rPr>
        <w:t xml:space="preserve">ex parte </w:t>
      </w:r>
      <w:r w:rsidRPr="000D7702">
        <w:rPr>
          <w:szCs w:val="22"/>
        </w:rPr>
        <w:t xml:space="preserve">presentations and memoranda summarizing oral </w:t>
      </w:r>
      <w:r w:rsidRPr="000D7702">
        <w:rPr>
          <w:i/>
          <w:iCs/>
          <w:szCs w:val="22"/>
        </w:rPr>
        <w:t xml:space="preserve">ex parte </w:t>
      </w:r>
      <w:r w:rsidRPr="000D7702">
        <w:rPr>
          <w:szCs w:val="22"/>
        </w:rPr>
        <w:t>presentations, and all attachments thereto, must be filed through the electronic comment filing system available for that proceeding, and must be filed in their native format (</w:t>
      </w:r>
      <w:r w:rsidRPr="000D7702">
        <w:rPr>
          <w:i/>
          <w:iCs/>
          <w:szCs w:val="22"/>
        </w:rPr>
        <w:t>e.g.</w:t>
      </w:r>
      <w:r w:rsidRPr="000D7702">
        <w:rPr>
          <w:szCs w:val="22"/>
        </w:rPr>
        <w:t xml:space="preserve">, .doc, .xml, .ppt, searchable .pdf).  Participants in this proceeding should familiarize themselves with the Commission’s </w:t>
      </w:r>
      <w:r w:rsidRPr="000D7702">
        <w:rPr>
          <w:i/>
          <w:iCs/>
          <w:szCs w:val="22"/>
        </w:rPr>
        <w:t xml:space="preserve">ex parte </w:t>
      </w:r>
      <w:r w:rsidRPr="000D7702">
        <w:rPr>
          <w:szCs w:val="22"/>
        </w:rPr>
        <w:t>rules.</w:t>
      </w:r>
    </w:p>
    <w:p w:rsidR="00AC42DE" w:rsidRPr="00C05524" w:rsidP="00AC42DE" w14:paraId="2BC82170" w14:textId="77777777">
      <w:pPr>
        <w:spacing w:after="120"/>
        <w:ind w:firstLine="720"/>
        <w:rPr>
          <w:szCs w:val="22"/>
        </w:rPr>
      </w:pPr>
      <w:r>
        <w:rPr>
          <w:i/>
          <w:iCs/>
          <w:szCs w:val="22"/>
        </w:rPr>
        <w:t xml:space="preserve">Accessible Materials.  </w:t>
      </w:r>
      <w:r w:rsidRPr="00C05524">
        <w:rPr>
          <w:szCs w:val="22"/>
        </w:rPr>
        <w:t xml:space="preserve">To request materials in accessible formats for people with disabilities </w:t>
      </w:r>
      <w:r w:rsidRPr="00C05524">
        <w:rPr>
          <w:szCs w:val="22"/>
        </w:rPr>
        <w:t xml:space="preserve">(Braille, large print, electronic files, audio format), send an e-mail to </w:t>
      </w:r>
      <w:hyperlink r:id="rId6" w:history="1">
        <w:r w:rsidRPr="00575A4F" w:rsidR="006A567B">
          <w:rPr>
            <w:rStyle w:val="Hyperlink"/>
            <w:szCs w:val="22"/>
          </w:rPr>
          <w:t>fcc504@fcc.gov</w:t>
        </w:r>
      </w:hyperlink>
      <w:r w:rsidRPr="00C05524">
        <w:rPr>
          <w:szCs w:val="22"/>
        </w:rPr>
        <w:t xml:space="preserve"> or call the Consumer and Governmental Affairs Bureau at (202) 418-0530</w:t>
      </w:r>
      <w:r>
        <w:rPr>
          <w:szCs w:val="22"/>
        </w:rPr>
        <w:t>.</w:t>
      </w:r>
    </w:p>
    <w:p w:rsidR="00CA34B4" w:rsidP="00B26DCB" w14:paraId="37B7975C" w14:textId="3E2E7762">
      <w:pPr>
        <w:ind w:firstLine="720"/>
        <w:rPr>
          <w:szCs w:val="22"/>
        </w:rPr>
      </w:pPr>
      <w:r>
        <w:rPr>
          <w:i/>
          <w:iCs/>
          <w:szCs w:val="22"/>
        </w:rPr>
        <w:t xml:space="preserve">Additional Information.  </w:t>
      </w:r>
      <w:r w:rsidRPr="00C05524" w:rsidR="00F4350E">
        <w:rPr>
          <w:szCs w:val="22"/>
        </w:rPr>
        <w:t xml:space="preserve">For further information, please contact </w:t>
      </w:r>
      <w:r w:rsidR="00785048">
        <w:rPr>
          <w:szCs w:val="22"/>
        </w:rPr>
        <w:t xml:space="preserve">Ike Ofobike </w:t>
      </w:r>
      <w:r w:rsidR="00F4350E">
        <w:rPr>
          <w:szCs w:val="22"/>
        </w:rPr>
        <w:t xml:space="preserve">at </w:t>
      </w:r>
      <w:r w:rsidR="00FF6E77">
        <w:rPr>
          <w:szCs w:val="22"/>
        </w:rPr>
        <w:t xml:space="preserve">(202) 418-1028, </w:t>
      </w:r>
      <w:r w:rsidR="00F4350E">
        <w:rPr>
          <w:szCs w:val="22"/>
        </w:rPr>
        <w:t xml:space="preserve">(202) </w:t>
      </w:r>
      <w:r w:rsidR="00785048">
        <w:rPr>
          <w:szCs w:val="22"/>
        </w:rPr>
        <w:t>744</w:t>
      </w:r>
      <w:r w:rsidR="00F4350E">
        <w:rPr>
          <w:szCs w:val="22"/>
        </w:rPr>
        <w:t>-</w:t>
      </w:r>
      <w:r w:rsidR="00785048">
        <w:rPr>
          <w:szCs w:val="22"/>
        </w:rPr>
        <w:t>3916</w:t>
      </w:r>
      <w:r w:rsidR="00FF6E77">
        <w:rPr>
          <w:szCs w:val="22"/>
        </w:rPr>
        <w:t>,</w:t>
      </w:r>
      <w:r w:rsidR="00785048">
        <w:rPr>
          <w:szCs w:val="22"/>
        </w:rPr>
        <w:t xml:space="preserve"> </w:t>
      </w:r>
      <w:r w:rsidR="00F4350E">
        <w:rPr>
          <w:szCs w:val="22"/>
        </w:rPr>
        <w:t xml:space="preserve">or by e-mail at </w:t>
      </w:r>
      <w:hyperlink r:id="rId7" w:history="1">
        <w:r w:rsidRPr="00E10D7D" w:rsidR="006F41A9">
          <w:rPr>
            <w:rStyle w:val="Hyperlink"/>
            <w:szCs w:val="22"/>
          </w:rPr>
          <w:t>Ike.Ofobike@fcc.gov</w:t>
        </w:r>
      </w:hyperlink>
      <w:r w:rsidR="00FF6E77">
        <w:rPr>
          <w:szCs w:val="22"/>
        </w:rPr>
        <w:t>.</w:t>
      </w:r>
      <w:r w:rsidR="006F2335">
        <w:rPr>
          <w:szCs w:val="22"/>
        </w:rPr>
        <w:t xml:space="preserve">  </w:t>
      </w:r>
      <w:r w:rsidRPr="006F2335" w:rsidR="006F2335">
        <w:rPr>
          <w:szCs w:val="22"/>
        </w:rPr>
        <w:t>Individuals who use videophones and are fluent in American Sign Language (ASL) may call the FCC’s ASL Consumer Support Line at (844) 432‐2275.</w:t>
      </w:r>
    </w:p>
    <w:p w:rsidR="0040689D" w:rsidP="00B26DCB" w14:paraId="19367DD0" w14:textId="77777777">
      <w:pPr>
        <w:ind w:firstLine="720"/>
        <w:rPr>
          <w:szCs w:val="22"/>
        </w:rPr>
      </w:pPr>
    </w:p>
    <w:p w:rsidR="0040689D" w:rsidRPr="00063760" w:rsidP="00063760" w14:paraId="5A8562C9" w14:textId="77777777">
      <w:pPr>
        <w:jc w:val="center"/>
        <w:rPr>
          <w:b/>
          <w:bCs/>
          <w:szCs w:val="22"/>
        </w:rPr>
      </w:pPr>
      <w:r>
        <w:rPr>
          <w:b/>
          <w:bCs/>
          <w:szCs w:val="22"/>
        </w:rPr>
        <w:t>-FCC-</w:t>
      </w:r>
    </w:p>
    <w:sectPr>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34B4" w14:paraId="65FF04C7" w14:textId="77777777">
    <w:pPr>
      <w:pStyle w:val="Footer"/>
      <w:framePr w:wrap="around" w:vAnchor="text" w:hAnchor="margin" w:xAlign="center" w:y="1"/>
    </w:pPr>
    <w:r>
      <w:fldChar w:fldCharType="begin"/>
    </w:r>
    <w:r>
      <w:instrText xml:space="preserve">PAGE  </w:instrText>
    </w:r>
    <w:r w:rsidR="006555BC">
      <w:fldChar w:fldCharType="separate"/>
    </w:r>
    <w:r>
      <w:fldChar w:fldCharType="end"/>
    </w:r>
  </w:p>
  <w:p w:rsidR="00CA34B4" w14:paraId="036730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34B4" w14:paraId="2FDA0DB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34B4" w14:paraId="62A98F6E"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62667" w14:paraId="641FAC79" w14:textId="77777777">
      <w:r>
        <w:separator/>
      </w:r>
    </w:p>
  </w:footnote>
  <w:footnote w:type="continuationSeparator" w:id="1">
    <w:p w:rsidR="00562667" w14:paraId="64E9D7DA" w14:textId="77777777">
      <w:pPr>
        <w:rPr>
          <w:sz w:val="20"/>
        </w:rPr>
      </w:pPr>
      <w:r>
        <w:rPr>
          <w:sz w:val="20"/>
        </w:rPr>
        <w:t xml:space="preserve">(Continued from previous page)  </w:t>
      </w:r>
      <w:r>
        <w:rPr>
          <w:sz w:val="20"/>
        </w:rPr>
        <w:separator/>
      </w:r>
    </w:p>
  </w:footnote>
  <w:footnote w:type="continuationNotice" w:id="2">
    <w:p w:rsidR="00562667" w14:paraId="086D3F9F" w14:textId="77777777">
      <w:pPr>
        <w:jc w:val="right"/>
        <w:rPr>
          <w:sz w:val="20"/>
        </w:rPr>
      </w:pPr>
      <w:r>
        <w:rPr>
          <w:sz w:val="20"/>
        </w:rPr>
        <w:t>(continued….)</w:t>
      </w:r>
    </w:p>
  </w:footnote>
  <w:footnote w:id="3">
    <w:p w:rsidR="00D150AA" w14:paraId="192428A8" w14:textId="1B65D059">
      <w:pPr>
        <w:pStyle w:val="FootnoteText"/>
      </w:pPr>
      <w:r>
        <w:rPr>
          <w:rStyle w:val="FootnoteReference"/>
        </w:rPr>
        <w:footnoteRef/>
      </w:r>
      <w:r>
        <w:t xml:space="preserve"> </w:t>
      </w:r>
      <w:r w:rsidR="00F626AA">
        <w:t xml:space="preserve">T-Mobile Accessibility, </w:t>
      </w:r>
      <w:r>
        <w:t>Petition for Limited Waiver of T-Mobile Accessibility</w:t>
      </w:r>
      <w:r w:rsidR="00BA70F0">
        <w:t xml:space="preserve">, </w:t>
      </w:r>
      <w:r w:rsidR="00F626AA">
        <w:t>CG Docket No. 03-123</w:t>
      </w:r>
      <w:r w:rsidR="003C3568">
        <w:t xml:space="preserve"> </w:t>
      </w:r>
      <w:r w:rsidR="0062721A">
        <w:t xml:space="preserve">and RM-11931 </w:t>
      </w:r>
      <w:r w:rsidR="003C3568">
        <w:t>(filed June 16, 2023)</w:t>
      </w:r>
      <w:r w:rsidR="00DF078E">
        <w:t xml:space="preserve"> (T-Mobile Petition for Waiver)</w:t>
      </w:r>
      <w:r w:rsidR="00E545CC">
        <w:t>,</w:t>
      </w:r>
      <w:r w:rsidR="0067387F">
        <w:t xml:space="preserve"> </w:t>
      </w:r>
      <w:hyperlink r:id="rId1" w:history="1">
        <w:r w:rsidRPr="00E602D9" w:rsidR="0067387F">
          <w:rPr>
            <w:rStyle w:val="Hyperlink"/>
          </w:rPr>
          <w:t>https://www.fcc.gov/ecfs/search/search-filings/filing/106161618223758</w:t>
        </w:r>
      </w:hyperlink>
      <w:r w:rsidR="00656DC7">
        <w:rPr>
          <w:rStyle w:val="Hyperlink"/>
        </w:rPr>
        <w:t>;</w:t>
      </w:r>
      <w:r w:rsidR="0032137C">
        <w:t xml:space="preserve"> </w:t>
      </w:r>
      <w:r w:rsidR="00656DC7">
        <w:rPr>
          <w:i/>
          <w:iCs/>
        </w:rPr>
        <w:t xml:space="preserve">see </w:t>
      </w:r>
      <w:r w:rsidR="0032137C">
        <w:t>47 CFR § 64.604(b)(1) (“TTY-based relay service shall be capable</w:t>
      </w:r>
      <w:r w:rsidR="00D00B8D">
        <w:t xml:space="preserve"> of communicating with ASCII and Baudot format, at any speed generally in use.”)</w:t>
      </w:r>
      <w:r w:rsidR="005E42DB">
        <w:t>,</w:t>
      </w:r>
      <w:r w:rsidR="00D00B8D">
        <w:t xml:space="preserve">  The T-Mobile Petition for Waiver does not request waiver of the Baudot </w:t>
      </w:r>
      <w:r w:rsidR="00DF078E">
        <w:t>compatibility requirement.</w:t>
      </w:r>
    </w:p>
  </w:footnote>
  <w:footnote w:id="4">
    <w:p w:rsidR="00656DC7" w:rsidRPr="00D24C1C" w:rsidP="00656DC7" w14:paraId="36A1EA00" w14:textId="77777777">
      <w:pPr>
        <w:pStyle w:val="FootnoteText"/>
      </w:pPr>
      <w:r>
        <w:rPr>
          <w:rStyle w:val="FootnoteReference"/>
        </w:rPr>
        <w:footnoteRef/>
      </w:r>
      <w:r>
        <w:t xml:space="preserve"> </w:t>
      </w:r>
      <w:r>
        <w:rPr>
          <w:i/>
          <w:iCs/>
        </w:rPr>
        <w:t xml:space="preserve">See </w:t>
      </w:r>
      <w:r>
        <w:t xml:space="preserve">Petition for Rulemaking by T-Mobile Accessibility, RM-11931 (filed Aug. 24, 2022); </w:t>
      </w:r>
      <w:r>
        <w:rPr>
          <w:i/>
          <w:iCs/>
        </w:rPr>
        <w:t xml:space="preserve">Request for Comment on Petition for Rulemaking by T-Mobile USA, Inc., Regarding Continued Use of ASCII Format for TTY-Based Relay Service, </w:t>
      </w:r>
      <w:r>
        <w:t>CG Docket No. 03-123 and RM-11931, DA 22-996 (Sept. 22, 2022).</w:t>
      </w:r>
      <w:r>
        <w:rPr>
          <w:i/>
          <w:iCs/>
        </w:rPr>
        <w:t xml:space="preserve"> </w:t>
      </w:r>
      <w:r>
        <w:t xml:space="preserve"> </w:t>
      </w:r>
    </w:p>
  </w:footnote>
  <w:footnote w:id="5">
    <w:p w:rsidR="00927EAA" w:rsidRPr="00972342" w:rsidP="00927EAA" w14:paraId="747411EA" w14:textId="77777777">
      <w:pPr>
        <w:pStyle w:val="FootnoteText"/>
      </w:pPr>
      <w:r>
        <w:rPr>
          <w:rStyle w:val="FootnoteReference"/>
        </w:rPr>
        <w:footnoteRef/>
      </w:r>
      <w:r>
        <w:t xml:space="preserve"> </w:t>
      </w:r>
      <w:r>
        <w:rPr>
          <w:i/>
          <w:iCs/>
        </w:rPr>
        <w:t>See</w:t>
      </w:r>
      <w:r>
        <w:t xml:space="preserve"> </w:t>
      </w:r>
      <w:r w:rsidRPr="00972342">
        <w:rPr>
          <w:i/>
          <w:iCs/>
        </w:rPr>
        <w:t>Misuse of Internet Protocol (IP) Captioned Telephone Service; Structure and Practices of the Video Relay Service Program; Telecommunications Relay Services and Speech-to-Speech Services for Individuals with Hearing and Speech Disabilities</w:t>
      </w:r>
      <w:r>
        <w:t>, CG Docket Nos. 13-24, 10-51, and 03-123, Order and Third Protective Order, 33 FCC Rcd 6802, 6803, para. 4 (CGB 2018).</w:t>
      </w:r>
    </w:p>
  </w:footnote>
  <w:footnote w:id="6">
    <w:p w:rsidR="00AC42DE" w:rsidRPr="00801F23" w:rsidP="00AC42DE" w14:paraId="23E04388" w14:textId="77777777">
      <w:pPr>
        <w:pStyle w:val="FootnoteText"/>
      </w:pPr>
      <w:r w:rsidRPr="00801F23">
        <w:rPr>
          <w:rStyle w:val="FootnoteReference"/>
        </w:rPr>
        <w:footnoteRef/>
      </w:r>
      <w:r w:rsidRPr="00801F23">
        <w:t xml:space="preserve"> </w:t>
      </w:r>
      <w:r>
        <w:rPr>
          <w:i/>
        </w:rPr>
        <w:t xml:space="preserve">See </w:t>
      </w:r>
      <w:r w:rsidRPr="00801F23">
        <w:t>47 CFR §</w:t>
      </w:r>
      <w:r>
        <w:t>§ 1.1, 1.45</w:t>
      </w:r>
      <w:r w:rsidRPr="00801F23">
        <w:t>, 1.49.</w:t>
      </w:r>
    </w:p>
  </w:footnote>
  <w:footnote w:id="7">
    <w:p w:rsidR="00AC42DE" w:rsidRPr="0033400D" w:rsidP="00AC42DE" w14:paraId="6D8B8641" w14:textId="77777777">
      <w:pPr>
        <w:pStyle w:val="FootnoteText"/>
      </w:pPr>
      <w:r w:rsidRPr="00801F23">
        <w:rPr>
          <w:rStyle w:val="FootnoteReference"/>
        </w:rPr>
        <w:footnoteRef/>
      </w:r>
      <w:r w:rsidRPr="00801F23">
        <w:t xml:space="preserve"> </w:t>
      </w:r>
      <w:r>
        <w:rPr>
          <w:i/>
        </w:rPr>
        <w:t>Electronic Filing of Documents in Rulemaking Proceedings</w:t>
      </w:r>
      <w:r>
        <w:t>, GC Docket No. 97-113, Report and Order, 13 FCC Rcd 11322 (1998).</w:t>
      </w:r>
      <w:r>
        <w:rPr>
          <w:i/>
        </w:rPr>
        <w:t xml:space="preserve">  </w:t>
      </w:r>
    </w:p>
  </w:footnote>
  <w:footnote w:id="8">
    <w:p w:rsidR="00AC42DE" w:rsidP="00AC42DE" w14:paraId="1CAA6141" w14:textId="77777777">
      <w:pPr>
        <w:pStyle w:val="FootnoteText"/>
      </w:pPr>
      <w:r>
        <w:rPr>
          <w:rStyle w:val="FootnoteReference"/>
        </w:rPr>
        <w:footnoteRef/>
      </w:r>
      <w:r>
        <w:t xml:space="preserve"> </w:t>
      </w:r>
      <w:r w:rsidRPr="001947A9">
        <w:rPr>
          <w:i/>
          <w:iCs/>
        </w:rPr>
        <w:t>See FCC Announces Closure of FCC Headquarters Open Window and Change in Hand-Delivery Policy</w:t>
      </w:r>
      <w:r>
        <w:t xml:space="preserve">, Public Notice, 35 FCC Rcd 2788 (OMD 2020). </w:t>
      </w:r>
    </w:p>
  </w:footnote>
  <w:footnote w:id="9">
    <w:p w:rsidR="00AC42DE" w:rsidRPr="00801F23" w:rsidP="00AC42DE" w14:paraId="4F61B4FB" w14:textId="77777777">
      <w:pPr>
        <w:pStyle w:val="FootnoteText"/>
        <w:rPr>
          <w:i/>
          <w:iCs/>
        </w:rPr>
      </w:pPr>
      <w:r w:rsidRPr="00801F23">
        <w:rPr>
          <w:rStyle w:val="FootnoteReference"/>
        </w:rPr>
        <w:footnoteRef/>
      </w:r>
      <w:r w:rsidRPr="00801F23">
        <w:t xml:space="preserve"> 47 CFR §</w:t>
      </w:r>
      <w:r>
        <w:t>§ </w:t>
      </w:r>
      <w:r w:rsidRPr="00801F23">
        <w:t xml:space="preserve">1.1200 </w:t>
      </w:r>
      <w:r w:rsidRPr="00801F23">
        <w:rPr>
          <w:i/>
          <w:iCs/>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34B4" w14:paraId="2D0A2F50" w14:textId="6055B85F">
    <w:pPr>
      <w:tabs>
        <w:tab w:val="center" w:pos="4680"/>
        <w:tab w:val="right" w:pos="9360"/>
      </w:tabs>
    </w:pPr>
    <w:r>
      <w:rPr>
        <w:b/>
      </w:rPr>
      <w:tab/>
      <w:t>Federal Communications Commission</w:t>
    </w:r>
    <w:r>
      <w:rPr>
        <w:b/>
      </w:rPr>
      <w:tab/>
    </w:r>
    <w:r w:rsidR="002B22BE">
      <w:rPr>
        <w:b/>
      </w:rPr>
      <w:t xml:space="preserve">DA </w:t>
    </w:r>
    <w:r w:rsidRPr="006555BC" w:rsidR="00656DC7">
      <w:rPr>
        <w:b/>
      </w:rPr>
      <w:t>23-</w:t>
    </w:r>
    <w:r w:rsidRPr="006555BC" w:rsidR="006555BC">
      <w:rPr>
        <w:b/>
      </w:rPr>
      <w:t>662</w:t>
    </w:r>
  </w:p>
  <w:p w:rsidR="00CA34B4" w14:paraId="7AC5D239" w14:textId="77777777">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CA34B4" w14:paraId="121EBD76"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34B4" w14:paraId="4FAA9EE5" w14:textId="77777777">
    <w:pPr>
      <w:pStyle w:val="Header"/>
      <w:ind w:left="-990"/>
      <w:rPr>
        <w:noProof/>
        <w:snapToGrid/>
        <w:sz w:val="20"/>
        <w:szCs w:val="20"/>
      </w:rPr>
    </w:pPr>
    <w:r>
      <w:rPr>
        <w:noProof/>
        <w:snapToGrid/>
      </w:rPr>
      <w:drawing>
        <wp:inline distT="0" distB="0" distL="0" distR="0">
          <wp:extent cx="649986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99860" cy="1447800"/>
                  </a:xfrm>
                  <a:prstGeom prst="rect">
                    <a:avLst/>
                  </a:prstGeom>
                  <a:noFill/>
                  <a:ln>
                    <a:noFill/>
                  </a:ln>
                </pic:spPr>
              </pic:pic>
            </a:graphicData>
          </a:graphic>
        </wp:inline>
      </w:drawing>
    </w:r>
  </w:p>
  <w:p w:rsidR="00CA34B4" w14:paraId="5F9EA615" w14:textId="77777777">
    <w:pPr>
      <w:pStyle w:val="Header"/>
      <w:ind w:left="-99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8666856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Bold"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Times New Roman Bold"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Times New Roman Bold" w:hint="default"/>
      </w:rPr>
    </w:lvl>
    <w:lvl w:ilvl="8" w:tentative="1">
      <w:start w:val="1"/>
      <w:numFmt w:val="bullet"/>
      <w:lvlText w:val=""/>
      <w:lvlJc w:val="left"/>
      <w:pPr>
        <w:ind w:left="6540" w:hanging="360"/>
      </w:pPr>
      <w:rPr>
        <w:rFonts w:ascii="Wingdings" w:hAnsi="Wingdings" w:hint="default"/>
      </w:rPr>
    </w:lvl>
  </w:abstractNum>
  <w:abstractNum w:abstractNumId="1">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1C6F1456"/>
    <w:multiLevelType w:val="multilevel"/>
    <w:tmpl w:val="5274BDF0"/>
    <w:numStyleLink w:val="StyleBulletedLatinCourierNewLeft075Hanging0252"/>
  </w:abstractNum>
  <w:abstractNum w:abstractNumId="4">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5CD7627A"/>
    <w:multiLevelType w:val="multilevel"/>
    <w:tmpl w:val="5274BDF0"/>
    <w:numStyleLink w:val="StyleBulletedLatinCourierNewLeft075Hanging0252"/>
  </w:abstractNum>
  <w:abstractNum w:abstractNumId="9">
    <w:nsid w:val="5D205C22"/>
    <w:multiLevelType w:val="multilevel"/>
    <w:tmpl w:val="5274BDF0"/>
    <w:numStyleLink w:val="StyleBulletedLatinCourierNewLeft075Hanging0252"/>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4"/>
  </w:num>
  <w:num w:numId="2">
    <w:abstractNumId w:val="10"/>
  </w:num>
  <w:num w:numId="3">
    <w:abstractNumId w:val="6"/>
  </w:num>
  <w:num w:numId="4">
    <w:abstractNumId w:val="7"/>
  </w:num>
  <w:num w:numId="5">
    <w:abstractNumId w:val="5"/>
  </w:num>
  <w:num w:numId="6">
    <w:abstractNumId w:val="2"/>
  </w:num>
  <w:num w:numId="7">
    <w:abstractNumId w:val="0"/>
  </w:num>
  <w:num w:numId="8">
    <w:abstractNumId w:val="1"/>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AE"/>
    <w:rsid w:val="000010C1"/>
    <w:rsid w:val="00001A5C"/>
    <w:rsid w:val="0001020C"/>
    <w:rsid w:val="00012FA2"/>
    <w:rsid w:val="000151C7"/>
    <w:rsid w:val="00016483"/>
    <w:rsid w:val="0002083C"/>
    <w:rsid w:val="000209E6"/>
    <w:rsid w:val="00023EDC"/>
    <w:rsid w:val="00025024"/>
    <w:rsid w:val="00044B8C"/>
    <w:rsid w:val="00047019"/>
    <w:rsid w:val="00051119"/>
    <w:rsid w:val="000554DE"/>
    <w:rsid w:val="00057B46"/>
    <w:rsid w:val="00063760"/>
    <w:rsid w:val="00077221"/>
    <w:rsid w:val="000846BC"/>
    <w:rsid w:val="00094E1E"/>
    <w:rsid w:val="000A2412"/>
    <w:rsid w:val="000A51E4"/>
    <w:rsid w:val="000A7EDF"/>
    <w:rsid w:val="000B3DB9"/>
    <w:rsid w:val="000B5D64"/>
    <w:rsid w:val="000B6796"/>
    <w:rsid w:val="000C3BFD"/>
    <w:rsid w:val="000C6E26"/>
    <w:rsid w:val="000D0527"/>
    <w:rsid w:val="000D7702"/>
    <w:rsid w:val="000E215E"/>
    <w:rsid w:val="000E48A6"/>
    <w:rsid w:val="000E5CF6"/>
    <w:rsid w:val="000E6574"/>
    <w:rsid w:val="000F6896"/>
    <w:rsid w:val="00101208"/>
    <w:rsid w:val="00101CE7"/>
    <w:rsid w:val="001033BD"/>
    <w:rsid w:val="00113D70"/>
    <w:rsid w:val="00114227"/>
    <w:rsid w:val="001154DC"/>
    <w:rsid w:val="00116523"/>
    <w:rsid w:val="00116AF7"/>
    <w:rsid w:val="00117A19"/>
    <w:rsid w:val="001279C7"/>
    <w:rsid w:val="00130BD3"/>
    <w:rsid w:val="001403A2"/>
    <w:rsid w:val="00146366"/>
    <w:rsid w:val="00160393"/>
    <w:rsid w:val="00166659"/>
    <w:rsid w:val="00167108"/>
    <w:rsid w:val="001718DC"/>
    <w:rsid w:val="00176B4A"/>
    <w:rsid w:val="001775DA"/>
    <w:rsid w:val="001947A9"/>
    <w:rsid w:val="0019489A"/>
    <w:rsid w:val="001A51FD"/>
    <w:rsid w:val="001A5589"/>
    <w:rsid w:val="001A5D77"/>
    <w:rsid w:val="001A5E80"/>
    <w:rsid w:val="001B70A2"/>
    <w:rsid w:val="001C29D6"/>
    <w:rsid w:val="001C6478"/>
    <w:rsid w:val="001D7501"/>
    <w:rsid w:val="001E4F24"/>
    <w:rsid w:val="001F0716"/>
    <w:rsid w:val="00201732"/>
    <w:rsid w:val="00201FF0"/>
    <w:rsid w:val="00203112"/>
    <w:rsid w:val="00213226"/>
    <w:rsid w:val="00233BA3"/>
    <w:rsid w:val="002366C4"/>
    <w:rsid w:val="00244A3B"/>
    <w:rsid w:val="00245D9C"/>
    <w:rsid w:val="002526E5"/>
    <w:rsid w:val="00271CD2"/>
    <w:rsid w:val="002739A8"/>
    <w:rsid w:val="0027511D"/>
    <w:rsid w:val="002822A9"/>
    <w:rsid w:val="00285586"/>
    <w:rsid w:val="00293CAF"/>
    <w:rsid w:val="00297BB4"/>
    <w:rsid w:val="002A030D"/>
    <w:rsid w:val="002A09B7"/>
    <w:rsid w:val="002A2F62"/>
    <w:rsid w:val="002A43D0"/>
    <w:rsid w:val="002B22BE"/>
    <w:rsid w:val="002B51B5"/>
    <w:rsid w:val="002C0B78"/>
    <w:rsid w:val="002C4253"/>
    <w:rsid w:val="002C5FA8"/>
    <w:rsid w:val="002F47FF"/>
    <w:rsid w:val="002F4BCB"/>
    <w:rsid w:val="00304A21"/>
    <w:rsid w:val="00321185"/>
    <w:rsid w:val="0032137C"/>
    <w:rsid w:val="00322763"/>
    <w:rsid w:val="0033052C"/>
    <w:rsid w:val="0033400D"/>
    <w:rsid w:val="00340C9B"/>
    <w:rsid w:val="00344027"/>
    <w:rsid w:val="00344B5D"/>
    <w:rsid w:val="0035082C"/>
    <w:rsid w:val="00363120"/>
    <w:rsid w:val="00363765"/>
    <w:rsid w:val="00380278"/>
    <w:rsid w:val="0038722C"/>
    <w:rsid w:val="003916E4"/>
    <w:rsid w:val="003A6296"/>
    <w:rsid w:val="003A6EDF"/>
    <w:rsid w:val="003B091C"/>
    <w:rsid w:val="003B385F"/>
    <w:rsid w:val="003B4F7A"/>
    <w:rsid w:val="003B53AA"/>
    <w:rsid w:val="003B602A"/>
    <w:rsid w:val="003B7A8E"/>
    <w:rsid w:val="003C3568"/>
    <w:rsid w:val="003D3E90"/>
    <w:rsid w:val="003E0C48"/>
    <w:rsid w:val="003E3634"/>
    <w:rsid w:val="003F7C66"/>
    <w:rsid w:val="004018A1"/>
    <w:rsid w:val="0040372E"/>
    <w:rsid w:val="00403E2A"/>
    <w:rsid w:val="0040689D"/>
    <w:rsid w:val="004122BC"/>
    <w:rsid w:val="00417B19"/>
    <w:rsid w:val="00420829"/>
    <w:rsid w:val="00431A5B"/>
    <w:rsid w:val="0043734C"/>
    <w:rsid w:val="004442CF"/>
    <w:rsid w:val="00447B88"/>
    <w:rsid w:val="00450272"/>
    <w:rsid w:val="004546D0"/>
    <w:rsid w:val="00454AE4"/>
    <w:rsid w:val="00454EDA"/>
    <w:rsid w:val="00473BA0"/>
    <w:rsid w:val="00475C20"/>
    <w:rsid w:val="00477E72"/>
    <w:rsid w:val="00477F5D"/>
    <w:rsid w:val="00486101"/>
    <w:rsid w:val="004947A3"/>
    <w:rsid w:val="004B148F"/>
    <w:rsid w:val="004B4EF4"/>
    <w:rsid w:val="004C08D0"/>
    <w:rsid w:val="004E3A47"/>
    <w:rsid w:val="005072DB"/>
    <w:rsid w:val="00507D1A"/>
    <w:rsid w:val="00533C0C"/>
    <w:rsid w:val="00535002"/>
    <w:rsid w:val="00541957"/>
    <w:rsid w:val="0054212D"/>
    <w:rsid w:val="00560843"/>
    <w:rsid w:val="00562667"/>
    <w:rsid w:val="0056551B"/>
    <w:rsid w:val="00566558"/>
    <w:rsid w:val="00575A4F"/>
    <w:rsid w:val="00577AB3"/>
    <w:rsid w:val="005833B9"/>
    <w:rsid w:val="00583A49"/>
    <w:rsid w:val="0058584F"/>
    <w:rsid w:val="005877D7"/>
    <w:rsid w:val="0059292A"/>
    <w:rsid w:val="005B06C6"/>
    <w:rsid w:val="005B377A"/>
    <w:rsid w:val="005C21A7"/>
    <w:rsid w:val="005C36E0"/>
    <w:rsid w:val="005C552F"/>
    <w:rsid w:val="005D06A0"/>
    <w:rsid w:val="005E0D94"/>
    <w:rsid w:val="005E4239"/>
    <w:rsid w:val="005E42DB"/>
    <w:rsid w:val="005E6F46"/>
    <w:rsid w:val="005F1F76"/>
    <w:rsid w:val="00621DC9"/>
    <w:rsid w:val="0062721A"/>
    <w:rsid w:val="00630087"/>
    <w:rsid w:val="00631B87"/>
    <w:rsid w:val="006329C8"/>
    <w:rsid w:val="00632A46"/>
    <w:rsid w:val="00634356"/>
    <w:rsid w:val="00642643"/>
    <w:rsid w:val="00654E54"/>
    <w:rsid w:val="006555BC"/>
    <w:rsid w:val="00656DC7"/>
    <w:rsid w:val="00667347"/>
    <w:rsid w:val="00667F57"/>
    <w:rsid w:val="00670507"/>
    <w:rsid w:val="0067387F"/>
    <w:rsid w:val="0067655E"/>
    <w:rsid w:val="00683672"/>
    <w:rsid w:val="00683FCF"/>
    <w:rsid w:val="00687DC1"/>
    <w:rsid w:val="00695AFF"/>
    <w:rsid w:val="00695E21"/>
    <w:rsid w:val="00696C47"/>
    <w:rsid w:val="006A2B83"/>
    <w:rsid w:val="006A31B1"/>
    <w:rsid w:val="006A3215"/>
    <w:rsid w:val="006A567B"/>
    <w:rsid w:val="006B0B99"/>
    <w:rsid w:val="006B2275"/>
    <w:rsid w:val="006C0187"/>
    <w:rsid w:val="006D7598"/>
    <w:rsid w:val="006E24AF"/>
    <w:rsid w:val="006E59B1"/>
    <w:rsid w:val="006E6402"/>
    <w:rsid w:val="006F2335"/>
    <w:rsid w:val="006F3848"/>
    <w:rsid w:val="006F40BF"/>
    <w:rsid w:val="006F41A9"/>
    <w:rsid w:val="007037D6"/>
    <w:rsid w:val="00705E21"/>
    <w:rsid w:val="00706347"/>
    <w:rsid w:val="00706B16"/>
    <w:rsid w:val="00714F5B"/>
    <w:rsid w:val="0071686A"/>
    <w:rsid w:val="00745043"/>
    <w:rsid w:val="007528C3"/>
    <w:rsid w:val="0076517A"/>
    <w:rsid w:val="00777DB8"/>
    <w:rsid w:val="00781742"/>
    <w:rsid w:val="00783D70"/>
    <w:rsid w:val="00785048"/>
    <w:rsid w:val="007904F3"/>
    <w:rsid w:val="007A1080"/>
    <w:rsid w:val="007A4149"/>
    <w:rsid w:val="007B2274"/>
    <w:rsid w:val="007B395A"/>
    <w:rsid w:val="007B3CDF"/>
    <w:rsid w:val="007B655C"/>
    <w:rsid w:val="007D0198"/>
    <w:rsid w:val="007D5EEE"/>
    <w:rsid w:val="007E1FBF"/>
    <w:rsid w:val="007E283C"/>
    <w:rsid w:val="007E43DD"/>
    <w:rsid w:val="007E69DB"/>
    <w:rsid w:val="007F146A"/>
    <w:rsid w:val="007F4718"/>
    <w:rsid w:val="0080041F"/>
    <w:rsid w:val="00801F23"/>
    <w:rsid w:val="008052C2"/>
    <w:rsid w:val="00815BD6"/>
    <w:rsid w:val="00822300"/>
    <w:rsid w:val="00822F6D"/>
    <w:rsid w:val="008244CF"/>
    <w:rsid w:val="008248AE"/>
    <w:rsid w:val="00827824"/>
    <w:rsid w:val="0083606F"/>
    <w:rsid w:val="008449C0"/>
    <w:rsid w:val="008529BC"/>
    <w:rsid w:val="00855BDE"/>
    <w:rsid w:val="008602AF"/>
    <w:rsid w:val="00866216"/>
    <w:rsid w:val="00870F16"/>
    <w:rsid w:val="00880E4D"/>
    <w:rsid w:val="00883004"/>
    <w:rsid w:val="0088303D"/>
    <w:rsid w:val="00883AAF"/>
    <w:rsid w:val="00895B19"/>
    <w:rsid w:val="00896B47"/>
    <w:rsid w:val="008A1A7A"/>
    <w:rsid w:val="008A1C8F"/>
    <w:rsid w:val="008A3D38"/>
    <w:rsid w:val="008A4A79"/>
    <w:rsid w:val="008B0A9E"/>
    <w:rsid w:val="008B2695"/>
    <w:rsid w:val="008B3956"/>
    <w:rsid w:val="008C2833"/>
    <w:rsid w:val="008C35C4"/>
    <w:rsid w:val="008C6552"/>
    <w:rsid w:val="008D67A3"/>
    <w:rsid w:val="008E0F09"/>
    <w:rsid w:val="008E387C"/>
    <w:rsid w:val="008E5498"/>
    <w:rsid w:val="008E6557"/>
    <w:rsid w:val="008F00A0"/>
    <w:rsid w:val="008F069E"/>
    <w:rsid w:val="008F435E"/>
    <w:rsid w:val="008F6088"/>
    <w:rsid w:val="008F6840"/>
    <w:rsid w:val="008F6D25"/>
    <w:rsid w:val="008F798E"/>
    <w:rsid w:val="00902C77"/>
    <w:rsid w:val="00903DDF"/>
    <w:rsid w:val="00927EAA"/>
    <w:rsid w:val="00935F4F"/>
    <w:rsid w:val="00937667"/>
    <w:rsid w:val="00944316"/>
    <w:rsid w:val="00947A93"/>
    <w:rsid w:val="0095390F"/>
    <w:rsid w:val="00955CC7"/>
    <w:rsid w:val="009603DB"/>
    <w:rsid w:val="00960C66"/>
    <w:rsid w:val="00965028"/>
    <w:rsid w:val="00972342"/>
    <w:rsid w:val="00976EA8"/>
    <w:rsid w:val="009778CE"/>
    <w:rsid w:val="009819CD"/>
    <w:rsid w:val="009844CE"/>
    <w:rsid w:val="009852E9"/>
    <w:rsid w:val="009855B6"/>
    <w:rsid w:val="00985E24"/>
    <w:rsid w:val="00987372"/>
    <w:rsid w:val="00996369"/>
    <w:rsid w:val="009A37EE"/>
    <w:rsid w:val="009B4D2B"/>
    <w:rsid w:val="009B5DB0"/>
    <w:rsid w:val="009C62DF"/>
    <w:rsid w:val="009C7299"/>
    <w:rsid w:val="009D0F23"/>
    <w:rsid w:val="009D26D8"/>
    <w:rsid w:val="009D4E00"/>
    <w:rsid w:val="009D5508"/>
    <w:rsid w:val="009D7AB1"/>
    <w:rsid w:val="009E0E61"/>
    <w:rsid w:val="009E18F7"/>
    <w:rsid w:val="009F45DC"/>
    <w:rsid w:val="009F54E0"/>
    <w:rsid w:val="00A02564"/>
    <w:rsid w:val="00A05673"/>
    <w:rsid w:val="00A236E3"/>
    <w:rsid w:val="00A23E11"/>
    <w:rsid w:val="00A318CA"/>
    <w:rsid w:val="00A36E45"/>
    <w:rsid w:val="00A414C7"/>
    <w:rsid w:val="00A46A37"/>
    <w:rsid w:val="00A50AFB"/>
    <w:rsid w:val="00A516D6"/>
    <w:rsid w:val="00A62494"/>
    <w:rsid w:val="00A63319"/>
    <w:rsid w:val="00A7452C"/>
    <w:rsid w:val="00A75CAB"/>
    <w:rsid w:val="00A8071E"/>
    <w:rsid w:val="00A81292"/>
    <w:rsid w:val="00A81BA1"/>
    <w:rsid w:val="00A824F1"/>
    <w:rsid w:val="00A94AA0"/>
    <w:rsid w:val="00A97C30"/>
    <w:rsid w:val="00AA35AC"/>
    <w:rsid w:val="00AA3B3D"/>
    <w:rsid w:val="00AB7C96"/>
    <w:rsid w:val="00AC0679"/>
    <w:rsid w:val="00AC42DE"/>
    <w:rsid w:val="00AC5214"/>
    <w:rsid w:val="00AC52F6"/>
    <w:rsid w:val="00AD686A"/>
    <w:rsid w:val="00AE1913"/>
    <w:rsid w:val="00AE7920"/>
    <w:rsid w:val="00AF3333"/>
    <w:rsid w:val="00AF4DE9"/>
    <w:rsid w:val="00B120B6"/>
    <w:rsid w:val="00B149DA"/>
    <w:rsid w:val="00B1772C"/>
    <w:rsid w:val="00B25E50"/>
    <w:rsid w:val="00B26DCB"/>
    <w:rsid w:val="00B460F6"/>
    <w:rsid w:val="00B506A2"/>
    <w:rsid w:val="00B57144"/>
    <w:rsid w:val="00B57FC2"/>
    <w:rsid w:val="00B604CB"/>
    <w:rsid w:val="00B65701"/>
    <w:rsid w:val="00B66CAE"/>
    <w:rsid w:val="00B70EBF"/>
    <w:rsid w:val="00B76072"/>
    <w:rsid w:val="00B900A8"/>
    <w:rsid w:val="00B910ED"/>
    <w:rsid w:val="00B9508F"/>
    <w:rsid w:val="00B9618C"/>
    <w:rsid w:val="00BA70F0"/>
    <w:rsid w:val="00BA7A44"/>
    <w:rsid w:val="00BB71BF"/>
    <w:rsid w:val="00BD7E74"/>
    <w:rsid w:val="00BF4E70"/>
    <w:rsid w:val="00C05524"/>
    <w:rsid w:val="00C11494"/>
    <w:rsid w:val="00C11A2F"/>
    <w:rsid w:val="00C14AAF"/>
    <w:rsid w:val="00C30714"/>
    <w:rsid w:val="00C51090"/>
    <w:rsid w:val="00C64ECE"/>
    <w:rsid w:val="00C65852"/>
    <w:rsid w:val="00C67866"/>
    <w:rsid w:val="00C702BF"/>
    <w:rsid w:val="00C80D65"/>
    <w:rsid w:val="00C90F49"/>
    <w:rsid w:val="00C9356D"/>
    <w:rsid w:val="00C93779"/>
    <w:rsid w:val="00C97176"/>
    <w:rsid w:val="00C97383"/>
    <w:rsid w:val="00C975FA"/>
    <w:rsid w:val="00C97B28"/>
    <w:rsid w:val="00CA1C2A"/>
    <w:rsid w:val="00CA24FD"/>
    <w:rsid w:val="00CA34B4"/>
    <w:rsid w:val="00CA5694"/>
    <w:rsid w:val="00CB5157"/>
    <w:rsid w:val="00CB53EA"/>
    <w:rsid w:val="00CC68C7"/>
    <w:rsid w:val="00CD3742"/>
    <w:rsid w:val="00CD5A0B"/>
    <w:rsid w:val="00CE08E7"/>
    <w:rsid w:val="00CE664F"/>
    <w:rsid w:val="00CE68F0"/>
    <w:rsid w:val="00CE7F28"/>
    <w:rsid w:val="00D00B8D"/>
    <w:rsid w:val="00D01ED9"/>
    <w:rsid w:val="00D04B78"/>
    <w:rsid w:val="00D05274"/>
    <w:rsid w:val="00D07791"/>
    <w:rsid w:val="00D10E3F"/>
    <w:rsid w:val="00D12758"/>
    <w:rsid w:val="00D150AA"/>
    <w:rsid w:val="00D15E20"/>
    <w:rsid w:val="00D24C1C"/>
    <w:rsid w:val="00D2690F"/>
    <w:rsid w:val="00D36A05"/>
    <w:rsid w:val="00D40C36"/>
    <w:rsid w:val="00D429AB"/>
    <w:rsid w:val="00D450AE"/>
    <w:rsid w:val="00D471EC"/>
    <w:rsid w:val="00D502A3"/>
    <w:rsid w:val="00D6212B"/>
    <w:rsid w:val="00D76492"/>
    <w:rsid w:val="00D9250B"/>
    <w:rsid w:val="00D952D5"/>
    <w:rsid w:val="00DA1944"/>
    <w:rsid w:val="00DC26A6"/>
    <w:rsid w:val="00DC7B24"/>
    <w:rsid w:val="00DD3BA6"/>
    <w:rsid w:val="00DD42E5"/>
    <w:rsid w:val="00DE47F3"/>
    <w:rsid w:val="00DE6178"/>
    <w:rsid w:val="00DF078E"/>
    <w:rsid w:val="00DF1B5C"/>
    <w:rsid w:val="00DF1DFB"/>
    <w:rsid w:val="00E10D7D"/>
    <w:rsid w:val="00E22661"/>
    <w:rsid w:val="00E27C9B"/>
    <w:rsid w:val="00E31FFA"/>
    <w:rsid w:val="00E32CB0"/>
    <w:rsid w:val="00E37197"/>
    <w:rsid w:val="00E438A2"/>
    <w:rsid w:val="00E43A10"/>
    <w:rsid w:val="00E4417D"/>
    <w:rsid w:val="00E501F4"/>
    <w:rsid w:val="00E545CC"/>
    <w:rsid w:val="00E55E5F"/>
    <w:rsid w:val="00E602D9"/>
    <w:rsid w:val="00E6382C"/>
    <w:rsid w:val="00E65887"/>
    <w:rsid w:val="00E858EB"/>
    <w:rsid w:val="00E940BD"/>
    <w:rsid w:val="00E96AFF"/>
    <w:rsid w:val="00EB239B"/>
    <w:rsid w:val="00EC0084"/>
    <w:rsid w:val="00EC6116"/>
    <w:rsid w:val="00ED1DB7"/>
    <w:rsid w:val="00ED7226"/>
    <w:rsid w:val="00EE513F"/>
    <w:rsid w:val="00EF6EF8"/>
    <w:rsid w:val="00F0018D"/>
    <w:rsid w:val="00F11583"/>
    <w:rsid w:val="00F20F95"/>
    <w:rsid w:val="00F21902"/>
    <w:rsid w:val="00F3642E"/>
    <w:rsid w:val="00F402E8"/>
    <w:rsid w:val="00F4350E"/>
    <w:rsid w:val="00F440E6"/>
    <w:rsid w:val="00F56836"/>
    <w:rsid w:val="00F57B14"/>
    <w:rsid w:val="00F626AA"/>
    <w:rsid w:val="00F661A7"/>
    <w:rsid w:val="00F67FCA"/>
    <w:rsid w:val="00F732C9"/>
    <w:rsid w:val="00F75D98"/>
    <w:rsid w:val="00F847B5"/>
    <w:rsid w:val="00F84EA1"/>
    <w:rsid w:val="00F86899"/>
    <w:rsid w:val="00F975CE"/>
    <w:rsid w:val="00FA2B5D"/>
    <w:rsid w:val="00FA34B8"/>
    <w:rsid w:val="00FA3AF4"/>
    <w:rsid w:val="00FA7067"/>
    <w:rsid w:val="00FB4CE9"/>
    <w:rsid w:val="00FB62BE"/>
    <w:rsid w:val="00FC194A"/>
    <w:rsid w:val="00FC3C29"/>
    <w:rsid w:val="00FC4EAC"/>
    <w:rsid w:val="00FE11D8"/>
    <w:rsid w:val="00FE1FEC"/>
    <w:rsid w:val="00FE58B8"/>
    <w:rsid w:val="00FF6E77"/>
    <w:rsid w:val="03326389"/>
    <w:rsid w:val="0FB73A40"/>
    <w:rsid w:val="17E6DA2D"/>
    <w:rsid w:val="19583863"/>
    <w:rsid w:val="20EE91B3"/>
    <w:rsid w:val="33FDDBB9"/>
    <w:rsid w:val="37099C1D"/>
    <w:rsid w:val="3C4672FC"/>
    <w:rsid w:val="4B64E25C"/>
    <w:rsid w:val="4DBAEF0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3796CC7"/>
  <w15:chartTrackingRefBased/>
  <w15:docId w15:val="{F361D1BB-32CA-4998-9308-3CAD0DF7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outlineLvl w:val="6"/>
    </w:pPr>
    <w:rPr>
      <w:b/>
    </w:rPr>
  </w:style>
  <w:style w:type="paragraph" w:styleId="Heading8">
    <w:name w:val="heading 8"/>
    <w:basedOn w:val="Normal"/>
    <w:next w:val="ParaNum"/>
    <w:qFormat/>
    <w:pPr>
      <w:numPr>
        <w:ilvl w:val="7"/>
        <w:numId w:val="3"/>
      </w:numPr>
      <w:tabs>
        <w:tab w:val="clear" w:pos="5400"/>
        <w:tab w:val="left" w:pos="5760"/>
      </w:tabs>
      <w:spacing w:after="120"/>
      <w:outlineLvl w:val="7"/>
    </w:pPr>
    <w:rPr>
      <w:b/>
    </w:rPr>
  </w:style>
  <w:style w:type="paragraph" w:styleId="Heading9">
    <w:name w:val="heading 9"/>
    <w:basedOn w:val="Normal"/>
    <w:next w:val="ParaNum"/>
    <w:qFormat/>
    <w:pPr>
      <w:numPr>
        <w:ilvl w:val="8"/>
        <w:numId w:val="3"/>
      </w:numPr>
      <w:tabs>
        <w:tab w:val="clear" w:pos="6120"/>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 Char Char Char,Footnote Text Char Char Char Char Char Char,Footnote Text Char1,Footnote Text Char1 Char Char Char Char,Footnote Text Char1 Char1 Char,Footnote Text Char3 Char Char Char Char Char Char Char,f,fn Char Char"/>
    <w:link w:val="FootnoteTextChar"/>
    <w:uiPriority w:val="99"/>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qFormat/>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customStyle="1" w:styleId="UnresolvedMention1">
    <w:name w:val="Unresolved Mention1"/>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9A37EE"/>
    <w:rPr>
      <w:rFonts w:ascii="Segoe UI" w:hAnsi="Segoe UI" w:cs="Segoe UI"/>
      <w:sz w:val="18"/>
      <w:szCs w:val="18"/>
    </w:rPr>
  </w:style>
  <w:style w:type="character" w:customStyle="1" w:styleId="BalloonTextChar">
    <w:name w:val="Balloon Text Char"/>
    <w:link w:val="BalloonText"/>
    <w:uiPriority w:val="99"/>
    <w:semiHidden/>
    <w:rsid w:val="009A37EE"/>
    <w:rPr>
      <w:rFonts w:ascii="Segoe UI" w:hAnsi="Segoe UI" w:cs="Segoe UI"/>
      <w:snapToGrid w:val="0"/>
      <w:kern w:val="28"/>
      <w:sz w:val="18"/>
      <w:szCs w:val="18"/>
    </w:rPr>
  </w:style>
  <w:style w:type="character" w:customStyle="1" w:styleId="FootnoteTextChar">
    <w:name w:val="Footnote Text Char"/>
    <w:aliases w:val="Footnote Text Char Char Char Char Char,Footnote Text Char Char Char Char Char Char Char,Footnote Text Char1 Char,Footnote Text Char1 Char Char Char Char Char,Footnote Text Char1 Char1 Char Char,f Char,fn Char Char Char"/>
    <w:link w:val="FootnoteText"/>
    <w:uiPriority w:val="99"/>
    <w:rsid w:val="00AC42DE"/>
  </w:style>
  <w:style w:type="numbering" w:customStyle="1" w:styleId="StyleBulletedLatinCourierNewLeft075Hanging0252">
    <w:name w:val="Style Bulleted (Latin) Courier New Left:  0.75&quot; Hanging:  0.25&quot;...2"/>
    <w:basedOn w:val="NoList"/>
    <w:rsid w:val="00AC42DE"/>
    <w:pPr>
      <w:numPr>
        <w:numId w:val="8"/>
      </w:numPr>
    </w:pPr>
  </w:style>
  <w:style w:type="character" w:styleId="CommentReference">
    <w:name w:val="annotation reference"/>
    <w:uiPriority w:val="99"/>
    <w:semiHidden/>
    <w:unhideWhenUsed/>
    <w:rsid w:val="000C6E26"/>
    <w:rPr>
      <w:sz w:val="16"/>
      <w:szCs w:val="16"/>
    </w:rPr>
  </w:style>
  <w:style w:type="paragraph" w:styleId="CommentText">
    <w:name w:val="annotation text"/>
    <w:basedOn w:val="Normal"/>
    <w:link w:val="CommentTextChar"/>
    <w:uiPriority w:val="99"/>
    <w:unhideWhenUsed/>
    <w:rsid w:val="000C6E26"/>
    <w:rPr>
      <w:sz w:val="20"/>
    </w:rPr>
  </w:style>
  <w:style w:type="character" w:customStyle="1" w:styleId="CommentTextChar">
    <w:name w:val="Comment Text Char"/>
    <w:link w:val="CommentText"/>
    <w:uiPriority w:val="99"/>
    <w:rsid w:val="000C6E26"/>
    <w:rPr>
      <w:snapToGrid w:val="0"/>
      <w:kern w:val="28"/>
    </w:rPr>
  </w:style>
  <w:style w:type="paragraph" w:styleId="CommentSubject">
    <w:name w:val="annotation subject"/>
    <w:basedOn w:val="CommentText"/>
    <w:next w:val="CommentText"/>
    <w:link w:val="CommentSubjectChar"/>
    <w:uiPriority w:val="99"/>
    <w:semiHidden/>
    <w:unhideWhenUsed/>
    <w:rsid w:val="000C6E26"/>
    <w:rPr>
      <w:b/>
      <w:bCs/>
    </w:rPr>
  </w:style>
  <w:style w:type="character" w:customStyle="1" w:styleId="CommentSubjectChar">
    <w:name w:val="Comment Subject Char"/>
    <w:link w:val="CommentSubject"/>
    <w:uiPriority w:val="99"/>
    <w:semiHidden/>
    <w:rsid w:val="000C6E26"/>
    <w:rPr>
      <w:b/>
      <w:bCs/>
      <w:snapToGrid w:val="0"/>
      <w:kern w:val="28"/>
    </w:rPr>
  </w:style>
  <w:style w:type="paragraph" w:styleId="Revision">
    <w:name w:val="Revision"/>
    <w:hidden/>
    <w:uiPriority w:val="99"/>
    <w:semiHidden/>
    <w:rsid w:val="000C6E26"/>
    <w:rPr>
      <w:snapToGrid w:val="0"/>
      <w:kern w:val="28"/>
      <w:sz w:val="22"/>
    </w:rPr>
  </w:style>
  <w:style w:type="character" w:styleId="UnresolvedMention">
    <w:name w:val="Unresolved Mention"/>
    <w:basedOn w:val="DefaultParagraphFont"/>
    <w:uiPriority w:val="99"/>
    <w:rsid w:val="00785048"/>
    <w:rPr>
      <w:color w:val="605E5C"/>
      <w:shd w:val="clear" w:color="auto" w:fill="E1DFDD"/>
    </w:rPr>
  </w:style>
  <w:style w:type="character" w:styleId="FollowedHyperlink">
    <w:name w:val="FollowedHyperlink"/>
    <w:basedOn w:val="DefaultParagraphFont"/>
    <w:uiPriority w:val="99"/>
    <w:semiHidden/>
    <w:unhideWhenUsed/>
    <w:rsid w:val="000E5CF6"/>
    <w:rPr>
      <w:color w:val="954F72" w:themeColor="followedHyperlink"/>
      <w:u w:val="single"/>
    </w:rPr>
  </w:style>
  <w:style w:type="character" w:styleId="Mention">
    <w:name w:val="Mention"/>
    <w:basedOn w:val="DefaultParagraphFont"/>
    <w:uiPriority w:val="99"/>
    <w:rsid w:val="00CB53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filings" TargetMode="External" /><Relationship Id="rId6" Type="http://schemas.openxmlformats.org/officeDocument/2006/relationships/hyperlink" Target="mailto:fcc504@fcc.gov" TargetMode="External" /><Relationship Id="rId7" Type="http://schemas.openxmlformats.org/officeDocument/2006/relationships/hyperlink" Target="mailto:Ike.Ofobike@fcc.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search/search-filings/filing/106161618223758"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