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496173" w:rsidRPr="0001288F" w:rsidP="008C2B9B" w14:paraId="70970F70" w14:textId="77777777">
      <w:pPr>
        <w:jc w:val="center"/>
        <w:rPr>
          <w:b/>
          <w:bCs/>
        </w:rPr>
      </w:pPr>
      <w:r w:rsidRPr="5ACA97BD">
        <w:rPr>
          <w:b/>
          <w:bCs/>
          <w:kern w:val="0"/>
        </w:rPr>
        <w:t>Before</w:t>
      </w:r>
      <w:r w:rsidRPr="5ACA97BD">
        <w:rPr>
          <w:b/>
          <w:bCs/>
        </w:rPr>
        <w:t xml:space="preserve"> the</w:t>
      </w:r>
    </w:p>
    <w:p w:rsidR="00496173" w:rsidRPr="0001288F" w:rsidP="00496173" w14:paraId="70970F71" w14:textId="77777777">
      <w:pPr>
        <w:pStyle w:val="StyleBoldCentered"/>
        <w:rPr>
          <w:rFonts w:ascii="Times New Roman" w:hAnsi="Times New Roman"/>
        </w:rPr>
      </w:pPr>
      <w:r w:rsidRPr="0001288F">
        <w:rPr>
          <w:rFonts w:ascii="Times New Roman" w:hAnsi="Times New Roman"/>
        </w:rPr>
        <w:t>F</w:t>
      </w:r>
      <w:r w:rsidRPr="0001288F">
        <w:rPr>
          <w:rFonts w:ascii="Times New Roman" w:hAnsi="Times New Roman"/>
          <w:caps w:val="0"/>
        </w:rPr>
        <w:t>ederal Communications Commission</w:t>
      </w:r>
    </w:p>
    <w:p w:rsidR="00496173" w:rsidRPr="0001288F" w:rsidP="00496173" w14:paraId="70970F72" w14:textId="77777777">
      <w:pPr>
        <w:pStyle w:val="StyleBoldCentered"/>
        <w:rPr>
          <w:rFonts w:ascii="Times New Roman" w:hAnsi="Times New Roman"/>
        </w:rPr>
      </w:pPr>
      <w:r w:rsidRPr="0001288F">
        <w:rPr>
          <w:rFonts w:ascii="Times New Roman" w:hAnsi="Times New Roman"/>
          <w:caps w:val="0"/>
        </w:rPr>
        <w:t>Washington, D.C. 20554</w:t>
      </w:r>
    </w:p>
    <w:p w:rsidR="00496173" w:rsidRPr="0001288F" w:rsidP="00496173" w14:paraId="70970F73" w14:textId="77777777"/>
    <w:p w:rsidR="00496173" w:rsidRPr="0001288F" w:rsidP="00496173" w14:paraId="70970F74" w14:textId="77777777"/>
    <w:tbl>
      <w:tblPr>
        <w:tblW w:w="0" w:type="auto"/>
        <w:tblLayout w:type="fixed"/>
        <w:tblLook w:val="0000"/>
      </w:tblPr>
      <w:tblGrid>
        <w:gridCol w:w="4698"/>
        <w:gridCol w:w="630"/>
        <w:gridCol w:w="4248"/>
      </w:tblGrid>
      <w:tr w14:paraId="70970F8A" w14:textId="77777777" w:rsidTr="007B7EAB">
        <w:tblPrEx>
          <w:tblW w:w="0" w:type="auto"/>
          <w:tblLayout w:type="fixed"/>
          <w:tblLook w:val="0000"/>
        </w:tblPrEx>
        <w:tc>
          <w:tcPr>
            <w:tcW w:w="4698" w:type="dxa"/>
          </w:tcPr>
          <w:p w:rsidR="00496173" w:rsidRPr="0001288F" w:rsidP="007B7EAB" w14:paraId="70970F75" w14:textId="77777777">
            <w:pPr>
              <w:tabs>
                <w:tab w:val="center" w:pos="4680"/>
              </w:tabs>
              <w:suppressAutoHyphens/>
              <w:rPr>
                <w:spacing w:val="-2"/>
              </w:rPr>
            </w:pPr>
            <w:r w:rsidRPr="0001288F">
              <w:rPr>
                <w:spacing w:val="-2"/>
              </w:rPr>
              <w:t>In the Matter of</w:t>
            </w:r>
          </w:p>
          <w:p w:rsidR="00496173" w:rsidRPr="0001288F" w:rsidP="007B7EAB" w14:paraId="70970F76" w14:textId="77777777">
            <w:pPr>
              <w:tabs>
                <w:tab w:val="center" w:pos="4680"/>
              </w:tabs>
              <w:suppressAutoHyphens/>
              <w:rPr>
                <w:spacing w:val="-2"/>
              </w:rPr>
            </w:pPr>
          </w:p>
          <w:p w:rsidR="00496173" w:rsidP="007B7EAB" w14:paraId="70970F77" w14:textId="77777777">
            <w:pPr>
              <w:tabs>
                <w:tab w:val="center" w:pos="4680"/>
              </w:tabs>
              <w:suppressAutoHyphens/>
              <w:rPr>
                <w:spacing w:val="-2"/>
              </w:rPr>
            </w:pPr>
            <w:r w:rsidRPr="0001288F">
              <w:rPr>
                <w:spacing w:val="-2"/>
              </w:rPr>
              <w:t>Telecommunications Relay Services and Speech-to-Speech Services for Individuals with Hearing and Speech Disabilities</w:t>
            </w:r>
          </w:p>
          <w:p w:rsidR="008E0A5E" w:rsidP="007B7EAB" w14:paraId="5BCDE70F" w14:textId="77777777">
            <w:pPr>
              <w:tabs>
                <w:tab w:val="center" w:pos="4680"/>
              </w:tabs>
              <w:suppressAutoHyphens/>
              <w:rPr>
                <w:spacing w:val="-2"/>
              </w:rPr>
            </w:pPr>
          </w:p>
          <w:p w:rsidR="008E0A5E" w:rsidP="007B7EAB" w14:paraId="1561364C" w14:textId="48125B5D">
            <w:pPr>
              <w:tabs>
                <w:tab w:val="center" w:pos="4680"/>
              </w:tabs>
              <w:suppressAutoHyphens/>
              <w:rPr>
                <w:spacing w:val="-2"/>
              </w:rPr>
            </w:pPr>
            <w:r>
              <w:rPr>
                <w:spacing w:val="-2"/>
              </w:rPr>
              <w:t>Structure and Practices of the Video Relay Services Program</w:t>
            </w:r>
          </w:p>
          <w:p w:rsidR="008E0A5E" w:rsidP="007B7EAB" w14:paraId="08C7FB9C" w14:textId="77777777">
            <w:pPr>
              <w:tabs>
                <w:tab w:val="center" w:pos="4680"/>
              </w:tabs>
              <w:suppressAutoHyphens/>
              <w:rPr>
                <w:spacing w:val="-2"/>
              </w:rPr>
            </w:pPr>
          </w:p>
          <w:p w:rsidR="008E0A5E" w:rsidRPr="0001288F" w:rsidP="007B7EAB" w14:paraId="4E5FC85B" w14:textId="3081C3BD">
            <w:pPr>
              <w:tabs>
                <w:tab w:val="center" w:pos="4680"/>
              </w:tabs>
              <w:suppressAutoHyphens/>
              <w:rPr>
                <w:spacing w:val="-2"/>
              </w:rPr>
            </w:pPr>
            <w:r>
              <w:rPr>
                <w:spacing w:val="-2"/>
              </w:rPr>
              <w:t>Sorenson Communications, LLC Petition for Expedited Waiver</w:t>
            </w:r>
          </w:p>
          <w:p w:rsidR="00496173" w:rsidRPr="0001288F" w:rsidP="007B7EAB" w14:paraId="70970F79" w14:textId="3733C45D">
            <w:pPr>
              <w:tabs>
                <w:tab w:val="center" w:pos="4680"/>
              </w:tabs>
              <w:suppressAutoHyphens/>
              <w:rPr>
                <w:spacing w:val="-2"/>
              </w:rPr>
            </w:pPr>
          </w:p>
        </w:tc>
        <w:tc>
          <w:tcPr>
            <w:tcW w:w="630" w:type="dxa"/>
          </w:tcPr>
          <w:p w:rsidR="00496173" w:rsidRPr="0001288F" w:rsidP="007B7EAB" w14:paraId="70970F7A" w14:textId="77777777">
            <w:pPr>
              <w:tabs>
                <w:tab w:val="center" w:pos="4680"/>
              </w:tabs>
              <w:suppressAutoHyphens/>
              <w:rPr>
                <w:b/>
                <w:spacing w:val="-2"/>
              </w:rPr>
            </w:pPr>
            <w:r w:rsidRPr="0001288F">
              <w:rPr>
                <w:b/>
                <w:spacing w:val="-2"/>
              </w:rPr>
              <w:t>)</w:t>
            </w:r>
          </w:p>
          <w:p w:rsidR="00496173" w:rsidRPr="0001288F" w:rsidP="007B7EAB" w14:paraId="70970F7B" w14:textId="77777777">
            <w:pPr>
              <w:tabs>
                <w:tab w:val="center" w:pos="4680"/>
              </w:tabs>
              <w:suppressAutoHyphens/>
              <w:rPr>
                <w:b/>
                <w:spacing w:val="-2"/>
              </w:rPr>
            </w:pPr>
            <w:r w:rsidRPr="0001288F">
              <w:rPr>
                <w:b/>
                <w:spacing w:val="-2"/>
              </w:rPr>
              <w:t>)</w:t>
            </w:r>
          </w:p>
          <w:p w:rsidR="00496173" w:rsidRPr="0001288F" w:rsidP="007B7EAB" w14:paraId="70970F7C" w14:textId="77777777">
            <w:pPr>
              <w:tabs>
                <w:tab w:val="center" w:pos="4680"/>
              </w:tabs>
              <w:suppressAutoHyphens/>
              <w:rPr>
                <w:b/>
                <w:spacing w:val="-2"/>
              </w:rPr>
            </w:pPr>
            <w:r w:rsidRPr="0001288F">
              <w:rPr>
                <w:b/>
                <w:spacing w:val="-2"/>
              </w:rPr>
              <w:t>)</w:t>
            </w:r>
          </w:p>
          <w:p w:rsidR="00496173" w:rsidRPr="0001288F" w:rsidP="007B7EAB" w14:paraId="70970F7D" w14:textId="77777777">
            <w:pPr>
              <w:tabs>
                <w:tab w:val="center" w:pos="4680"/>
              </w:tabs>
              <w:suppressAutoHyphens/>
              <w:rPr>
                <w:b/>
                <w:spacing w:val="-2"/>
              </w:rPr>
            </w:pPr>
            <w:r w:rsidRPr="0001288F">
              <w:rPr>
                <w:b/>
                <w:spacing w:val="-2"/>
              </w:rPr>
              <w:t>)</w:t>
            </w:r>
          </w:p>
          <w:p w:rsidR="00496173" w:rsidRPr="0001288F" w:rsidP="007B7EAB" w14:paraId="70970F7E" w14:textId="77777777">
            <w:pPr>
              <w:tabs>
                <w:tab w:val="center" w:pos="4680"/>
              </w:tabs>
              <w:suppressAutoHyphens/>
              <w:rPr>
                <w:b/>
                <w:spacing w:val="-2"/>
              </w:rPr>
            </w:pPr>
            <w:r w:rsidRPr="0001288F">
              <w:rPr>
                <w:b/>
                <w:spacing w:val="-2"/>
              </w:rPr>
              <w:t>)</w:t>
            </w:r>
          </w:p>
          <w:p w:rsidR="00496173" w:rsidRPr="0001288F" w:rsidP="007B7EAB" w14:paraId="70970F7F" w14:textId="77777777">
            <w:pPr>
              <w:tabs>
                <w:tab w:val="center" w:pos="4680"/>
              </w:tabs>
              <w:suppressAutoHyphens/>
              <w:rPr>
                <w:b/>
                <w:spacing w:val="-2"/>
              </w:rPr>
            </w:pPr>
            <w:r w:rsidRPr="0001288F">
              <w:rPr>
                <w:b/>
                <w:spacing w:val="-2"/>
              </w:rPr>
              <w:t>)</w:t>
            </w:r>
          </w:p>
          <w:p w:rsidR="00496173" w:rsidP="007B7EAB" w14:paraId="3C23DEE6" w14:textId="77777777">
            <w:pPr>
              <w:tabs>
                <w:tab w:val="center" w:pos="4680"/>
              </w:tabs>
              <w:suppressAutoHyphens/>
              <w:rPr>
                <w:b/>
                <w:spacing w:val="-2"/>
              </w:rPr>
            </w:pPr>
            <w:r w:rsidRPr="0001288F">
              <w:rPr>
                <w:b/>
                <w:spacing w:val="-2"/>
              </w:rPr>
              <w:t>)</w:t>
            </w:r>
          </w:p>
          <w:p w:rsidR="008E0A5E" w:rsidP="007B7EAB" w14:paraId="06CC0960" w14:textId="77777777">
            <w:pPr>
              <w:tabs>
                <w:tab w:val="center" w:pos="4680"/>
              </w:tabs>
              <w:suppressAutoHyphens/>
              <w:rPr>
                <w:b/>
                <w:spacing w:val="-2"/>
              </w:rPr>
            </w:pPr>
            <w:r>
              <w:rPr>
                <w:b/>
                <w:spacing w:val="-2"/>
              </w:rPr>
              <w:t>)</w:t>
            </w:r>
          </w:p>
          <w:p w:rsidR="008E0A5E" w:rsidP="007B7EAB" w14:paraId="77263DA3" w14:textId="77777777">
            <w:pPr>
              <w:tabs>
                <w:tab w:val="center" w:pos="4680"/>
              </w:tabs>
              <w:suppressAutoHyphens/>
              <w:rPr>
                <w:b/>
                <w:spacing w:val="-2"/>
              </w:rPr>
            </w:pPr>
            <w:r>
              <w:rPr>
                <w:b/>
                <w:spacing w:val="-2"/>
              </w:rPr>
              <w:t>)</w:t>
            </w:r>
          </w:p>
          <w:p w:rsidR="008E0A5E" w:rsidP="007B7EAB" w14:paraId="048DBC9A" w14:textId="77777777">
            <w:pPr>
              <w:tabs>
                <w:tab w:val="center" w:pos="4680"/>
              </w:tabs>
              <w:suppressAutoHyphens/>
              <w:rPr>
                <w:b/>
                <w:spacing w:val="-2"/>
              </w:rPr>
            </w:pPr>
            <w:r>
              <w:rPr>
                <w:b/>
                <w:spacing w:val="-2"/>
              </w:rPr>
              <w:t>)</w:t>
            </w:r>
          </w:p>
          <w:p w:rsidR="008E0A5E" w:rsidRPr="00386BB5" w:rsidP="007B7EAB" w14:paraId="70970F82" w14:textId="69B881B3">
            <w:pPr>
              <w:tabs>
                <w:tab w:val="center" w:pos="4680"/>
              </w:tabs>
              <w:suppressAutoHyphens/>
              <w:rPr>
                <w:b/>
                <w:spacing w:val="-2"/>
              </w:rPr>
            </w:pPr>
            <w:r>
              <w:rPr>
                <w:b/>
                <w:spacing w:val="-2"/>
              </w:rPr>
              <w:t>)</w:t>
            </w:r>
          </w:p>
        </w:tc>
        <w:tc>
          <w:tcPr>
            <w:tcW w:w="4248" w:type="dxa"/>
          </w:tcPr>
          <w:p w:rsidR="00496173" w:rsidRPr="0001288F" w:rsidP="007B7EAB" w14:paraId="70970F83" w14:textId="77777777">
            <w:pPr>
              <w:tabs>
                <w:tab w:val="center" w:pos="4680"/>
              </w:tabs>
              <w:suppressAutoHyphens/>
              <w:rPr>
                <w:spacing w:val="-2"/>
              </w:rPr>
            </w:pPr>
          </w:p>
          <w:p w:rsidR="00496173" w:rsidRPr="0001288F" w:rsidP="007B7EAB" w14:paraId="70970F84" w14:textId="77777777">
            <w:pPr>
              <w:pStyle w:val="TOAHeading"/>
              <w:tabs>
                <w:tab w:val="center" w:pos="4680"/>
                <w:tab w:val="clear" w:pos="9360"/>
              </w:tabs>
              <w:rPr>
                <w:spacing w:val="-2"/>
              </w:rPr>
            </w:pPr>
          </w:p>
          <w:p w:rsidR="00496173" w:rsidRPr="0001288F" w:rsidP="007B7EAB" w14:paraId="70970F85" w14:textId="77777777">
            <w:pPr>
              <w:tabs>
                <w:tab w:val="center" w:pos="4680"/>
              </w:tabs>
              <w:suppressAutoHyphens/>
              <w:rPr>
                <w:spacing w:val="-2"/>
              </w:rPr>
            </w:pPr>
            <w:r w:rsidRPr="0001288F">
              <w:rPr>
                <w:spacing w:val="-2"/>
              </w:rPr>
              <w:t>CG Docket No. 03-123</w:t>
            </w:r>
          </w:p>
          <w:p w:rsidR="00496173" w:rsidRPr="0001288F" w:rsidP="007B7EAB" w14:paraId="70970F86" w14:textId="77777777">
            <w:pPr>
              <w:tabs>
                <w:tab w:val="center" w:pos="4680"/>
              </w:tabs>
              <w:suppressAutoHyphens/>
              <w:rPr>
                <w:spacing w:val="-2"/>
              </w:rPr>
            </w:pPr>
          </w:p>
          <w:p w:rsidR="00496173" w:rsidRPr="0001288F" w:rsidP="007B7EAB" w14:paraId="70970F87" w14:textId="77777777">
            <w:pPr>
              <w:tabs>
                <w:tab w:val="center" w:pos="4680"/>
              </w:tabs>
              <w:suppressAutoHyphens/>
              <w:rPr>
                <w:spacing w:val="-2"/>
              </w:rPr>
            </w:pPr>
          </w:p>
          <w:p w:rsidR="00496173" w:rsidRPr="0001288F" w:rsidP="007B7EAB" w14:paraId="70970F88" w14:textId="77777777">
            <w:pPr>
              <w:tabs>
                <w:tab w:val="center" w:pos="4680"/>
              </w:tabs>
              <w:suppressAutoHyphens/>
              <w:rPr>
                <w:spacing w:val="-2"/>
              </w:rPr>
            </w:pPr>
          </w:p>
          <w:p w:rsidR="00496173" w:rsidRPr="0001288F" w:rsidP="007B7EAB" w14:paraId="70970F89" w14:textId="06DFA373">
            <w:pPr>
              <w:tabs>
                <w:tab w:val="center" w:pos="4680"/>
              </w:tabs>
              <w:suppressAutoHyphens/>
              <w:rPr>
                <w:spacing w:val="-2"/>
              </w:rPr>
            </w:pPr>
            <w:r>
              <w:rPr>
                <w:spacing w:val="-2"/>
              </w:rPr>
              <w:t>CG Docket No. 10-51</w:t>
            </w:r>
          </w:p>
        </w:tc>
      </w:tr>
    </w:tbl>
    <w:p w:rsidR="00496173" w:rsidRPr="0001288F" w:rsidP="001012C1" w14:paraId="70970F8B" w14:textId="77777777">
      <w:pPr>
        <w:jc w:val="right"/>
      </w:pPr>
    </w:p>
    <w:p w:rsidR="00496173" w:rsidRPr="0001288F" w:rsidP="00496173" w14:paraId="70970F8C" w14:textId="77777777">
      <w:pPr>
        <w:pStyle w:val="StyleBoldCentered"/>
        <w:rPr>
          <w:rFonts w:ascii="Times New Roman" w:hAnsi="Times New Roman"/>
        </w:rPr>
      </w:pPr>
      <w:r w:rsidRPr="0001288F">
        <w:rPr>
          <w:rFonts w:ascii="Times New Roman" w:hAnsi="Times New Roman"/>
        </w:rPr>
        <w:t>Order</w:t>
      </w:r>
    </w:p>
    <w:p w:rsidR="00496173" w:rsidRPr="0001288F" w:rsidP="00496173" w14:paraId="70970F8D" w14:textId="77777777">
      <w:pPr>
        <w:tabs>
          <w:tab w:val="left" w:pos="-720"/>
        </w:tabs>
        <w:suppressAutoHyphens/>
        <w:spacing w:line="227" w:lineRule="auto"/>
        <w:rPr>
          <w:spacing w:val="-2"/>
        </w:rPr>
      </w:pPr>
    </w:p>
    <w:p w:rsidR="00496173" w:rsidRPr="0001288F" w:rsidP="00496173" w14:paraId="70970F8E" w14:textId="4D4ED0D3">
      <w:pPr>
        <w:tabs>
          <w:tab w:val="left" w:pos="720"/>
          <w:tab w:val="right" w:pos="9360"/>
        </w:tabs>
        <w:suppressAutoHyphens/>
        <w:spacing w:line="227" w:lineRule="auto"/>
        <w:rPr>
          <w:spacing w:val="-2"/>
        </w:rPr>
      </w:pPr>
      <w:r w:rsidRPr="0001288F">
        <w:rPr>
          <w:b/>
          <w:spacing w:val="-2"/>
        </w:rPr>
        <w:t xml:space="preserve">Adopted:  </w:t>
      </w:r>
      <w:r w:rsidR="00765027">
        <w:rPr>
          <w:b/>
          <w:spacing w:val="-2"/>
        </w:rPr>
        <w:t>September 29</w:t>
      </w:r>
      <w:r w:rsidR="00472770">
        <w:rPr>
          <w:b/>
          <w:spacing w:val="-2"/>
        </w:rPr>
        <w:t>, 2023</w:t>
      </w:r>
      <w:r w:rsidRPr="0001288F">
        <w:rPr>
          <w:b/>
          <w:spacing w:val="-2"/>
        </w:rPr>
        <w:tab/>
        <w:t xml:space="preserve">Released:  </w:t>
      </w:r>
      <w:r w:rsidR="00765027">
        <w:rPr>
          <w:b/>
          <w:spacing w:val="-2"/>
        </w:rPr>
        <w:t>September 29</w:t>
      </w:r>
      <w:r w:rsidR="00472770">
        <w:rPr>
          <w:b/>
          <w:spacing w:val="-2"/>
        </w:rPr>
        <w:t>, 2023</w:t>
      </w:r>
    </w:p>
    <w:p w:rsidR="00496173" w:rsidRPr="0001288F" w:rsidP="00496173" w14:paraId="70970F8F" w14:textId="77777777"/>
    <w:p w:rsidR="00496173" w:rsidRPr="0001288F" w:rsidP="00496173" w14:paraId="70970F90" w14:textId="77777777">
      <w:pPr>
        <w:rPr>
          <w:spacing w:val="-2"/>
        </w:rPr>
      </w:pPr>
      <w:r w:rsidRPr="0001288F">
        <w:t xml:space="preserve">By the </w:t>
      </w:r>
      <w:r w:rsidRPr="0001288F">
        <w:rPr>
          <w:spacing w:val="-2"/>
        </w:rPr>
        <w:t>Chief, Consumer and Governmental Affairs Bureau</w:t>
      </w:r>
      <w:r>
        <w:rPr>
          <w:spacing w:val="-2"/>
        </w:rPr>
        <w:t>:</w:t>
      </w:r>
    </w:p>
    <w:p w:rsidR="00496173" w:rsidRPr="0001288F" w:rsidP="00496173" w14:paraId="70970F91" w14:textId="77777777">
      <w:pPr>
        <w:rPr>
          <w:spacing w:val="-2"/>
        </w:rPr>
      </w:pPr>
    </w:p>
    <w:p w:rsidR="000C6F01" w:rsidP="002208C9" w14:paraId="6EE07356" w14:textId="3CC345B6">
      <w:pPr>
        <w:pStyle w:val="Heading1"/>
      </w:pPr>
      <w:r>
        <w:t>Introduction</w:t>
      </w:r>
    </w:p>
    <w:p w:rsidR="00DF35D7" w:rsidP="00E913FA" w14:paraId="1E981413" w14:textId="2AA3D914">
      <w:pPr>
        <w:pStyle w:val="FCCNumPara"/>
      </w:pPr>
      <w:r>
        <w:t>The</w:t>
      </w:r>
      <w:r w:rsidRPr="0001288F">
        <w:t xml:space="preserve"> Consumer and Governmental Affairs Bureau (</w:t>
      </w:r>
      <w:r w:rsidR="00E246FA">
        <w:t xml:space="preserve">CGB or </w:t>
      </w:r>
      <w:r w:rsidRPr="0001288F">
        <w:t>Bureau) of the Federal Communications Commission (</w:t>
      </w:r>
      <w:r w:rsidR="00E246FA">
        <w:t xml:space="preserve">FCC or </w:t>
      </w:r>
      <w:r w:rsidRPr="0001288F">
        <w:t>Commission)</w:t>
      </w:r>
      <w:r>
        <w:t xml:space="preserve"> </w:t>
      </w:r>
      <w:r w:rsidR="00EC4383">
        <w:t xml:space="preserve">hereby </w:t>
      </w:r>
      <w:r w:rsidRPr="0001288F">
        <w:t>grant</w:t>
      </w:r>
      <w:r w:rsidR="008471EE">
        <w:t>s</w:t>
      </w:r>
      <w:r w:rsidRPr="0001288F">
        <w:t xml:space="preserve"> </w:t>
      </w:r>
      <w:r w:rsidR="00EE7DDA">
        <w:t xml:space="preserve">to </w:t>
      </w:r>
      <w:r w:rsidR="008E0A5E">
        <w:t>Sorenson Communications,</w:t>
      </w:r>
      <w:r w:rsidR="00730B83">
        <w:t xml:space="preserve"> LLC (</w:t>
      </w:r>
      <w:r w:rsidR="008E0A5E">
        <w:t>Sorenson</w:t>
      </w:r>
      <w:r w:rsidR="00730B83">
        <w:t>)</w:t>
      </w:r>
      <w:r w:rsidR="008471EE">
        <w:t>,</w:t>
      </w:r>
      <w:r w:rsidR="00B66D34">
        <w:t xml:space="preserve"> </w:t>
      </w:r>
      <w:r w:rsidR="00CB3A13">
        <w:t>limited</w:t>
      </w:r>
      <w:r w:rsidR="00202EA1">
        <w:t xml:space="preserve"> </w:t>
      </w:r>
      <w:r w:rsidRPr="0001288F">
        <w:t>waiver</w:t>
      </w:r>
      <w:r w:rsidR="0024609A">
        <w:t>s</w:t>
      </w:r>
      <w:r w:rsidR="00B548F5">
        <w:t>, as described below,</w:t>
      </w:r>
      <w:r w:rsidR="00730B83">
        <w:t xml:space="preserve"> </w:t>
      </w:r>
      <w:r w:rsidRPr="0001288F">
        <w:t>of the Commission’s rule</w:t>
      </w:r>
      <w:r w:rsidR="00CA3F1E">
        <w:t>s</w:t>
      </w:r>
      <w:r w:rsidR="00C41F0A">
        <w:t xml:space="preserve"> </w:t>
      </w:r>
      <w:r w:rsidR="00D2427E">
        <w:t xml:space="preserve">to the extent that they </w:t>
      </w:r>
      <w:r w:rsidR="0024705C">
        <w:t xml:space="preserve">require a Video Relay Service (VRS) provider </w:t>
      </w:r>
      <w:r w:rsidR="008471EE">
        <w:t xml:space="preserve">to: </w:t>
      </w:r>
      <w:r w:rsidR="00117A70">
        <w:t xml:space="preserve">(1) </w:t>
      </w:r>
      <w:r w:rsidR="00762E26">
        <w:t>send a notice to a</w:t>
      </w:r>
      <w:r w:rsidR="009C32AE">
        <w:t xml:space="preserve"> second</w:t>
      </w:r>
      <w:r w:rsidR="00762E26">
        <w:t xml:space="preserve"> VRS provider’s </w:t>
      </w:r>
      <w:r w:rsidR="00112BED">
        <w:t xml:space="preserve">users </w:t>
      </w:r>
      <w:r w:rsidR="00762E26">
        <w:t xml:space="preserve">when the </w:t>
      </w:r>
      <w:r w:rsidR="009C32AE">
        <w:t xml:space="preserve">first </w:t>
      </w:r>
      <w:r w:rsidR="00762E26">
        <w:t>provider is acquiring</w:t>
      </w:r>
      <w:r w:rsidR="00F85F6F">
        <w:t>,</w:t>
      </w:r>
      <w:r w:rsidR="00762E26">
        <w:t xml:space="preserve"> by sale or transfer</w:t>
      </w:r>
      <w:r w:rsidR="00F85F6F">
        <w:t>,</w:t>
      </w:r>
      <w:r w:rsidR="008E6FCD">
        <w:t xml:space="preserve"> </w:t>
      </w:r>
      <w:r w:rsidR="00AF09EC">
        <w:t xml:space="preserve">part or all of </w:t>
      </w:r>
      <w:r w:rsidR="00762E26">
        <w:t xml:space="preserve">the second provider’s </w:t>
      </w:r>
      <w:r w:rsidR="007C5280">
        <w:t>user</w:t>
      </w:r>
      <w:r w:rsidR="00AF09EC">
        <w:t xml:space="preserve"> base</w:t>
      </w:r>
      <w:r w:rsidR="008471EE">
        <w:t>;</w:t>
      </w:r>
      <w:r>
        <w:rPr>
          <w:rStyle w:val="FootnoteReference"/>
        </w:rPr>
        <w:footnoteReference w:id="3"/>
      </w:r>
      <w:r w:rsidR="00762E26">
        <w:t xml:space="preserve"> </w:t>
      </w:r>
      <w:r w:rsidR="00117A70">
        <w:t xml:space="preserve">(2) re-register </w:t>
      </w:r>
      <w:r w:rsidR="00386122">
        <w:t xml:space="preserve">newly-acquired </w:t>
      </w:r>
      <w:r w:rsidR="007C5280">
        <w:t xml:space="preserve">users </w:t>
      </w:r>
      <w:r w:rsidR="00117A70">
        <w:t xml:space="preserve">in the Telecommunications Relay Services (TRS) User Registration Database (URD or </w:t>
      </w:r>
      <w:r w:rsidR="002D02CE">
        <w:t xml:space="preserve">User </w:t>
      </w:r>
      <w:r w:rsidR="00117A70">
        <w:t>Database) before initiat</w:t>
      </w:r>
      <w:r w:rsidR="00F003E5">
        <w:t>ing</w:t>
      </w:r>
      <w:r w:rsidR="00117A70">
        <w:t xml:space="preserve"> service to those </w:t>
      </w:r>
      <w:r w:rsidR="007C5280">
        <w:t>users</w:t>
      </w:r>
      <w:r w:rsidR="00E272A9">
        <w:t>;</w:t>
      </w:r>
      <w:r>
        <w:rPr>
          <w:rStyle w:val="FootnoteReference"/>
        </w:rPr>
        <w:footnoteReference w:id="4"/>
      </w:r>
      <w:r w:rsidR="00E272A9">
        <w:t xml:space="preserve"> </w:t>
      </w:r>
      <w:r w:rsidR="00EE0A6C">
        <w:t xml:space="preserve">(3) </w:t>
      </w:r>
      <w:r w:rsidR="00D82881">
        <w:t xml:space="preserve">answer </w:t>
      </w:r>
      <w:r w:rsidR="00F638D7">
        <w:t>calls</w:t>
      </w:r>
      <w:r w:rsidR="00D82881">
        <w:t xml:space="preserve"> </w:t>
      </w:r>
      <w:r w:rsidR="00A63E6D">
        <w:t xml:space="preserve">from users </w:t>
      </w:r>
      <w:r w:rsidR="00D82881">
        <w:t>on a first</w:t>
      </w:r>
      <w:r w:rsidR="002A66DE">
        <w:t>-</w:t>
      </w:r>
      <w:r w:rsidR="00D82881">
        <w:t>come, first</w:t>
      </w:r>
      <w:r w:rsidR="002A66DE">
        <w:t>-</w:t>
      </w:r>
      <w:r w:rsidR="00D82881">
        <w:t>served basis</w:t>
      </w:r>
      <w:r w:rsidR="00BA38A6">
        <w:t>;</w:t>
      </w:r>
      <w:r>
        <w:rPr>
          <w:rStyle w:val="FootnoteReference"/>
        </w:rPr>
        <w:footnoteReference w:id="5"/>
      </w:r>
      <w:r w:rsidR="008E0C85">
        <w:t xml:space="preserve"> </w:t>
      </w:r>
      <w:r w:rsidR="00433B08">
        <w:t>and (4)</w:t>
      </w:r>
      <w:r w:rsidR="00DE49CB">
        <w:t xml:space="preserve"> </w:t>
      </w:r>
      <w:r w:rsidR="00800110">
        <w:t>answer 80 percent of all calls within 120 seconds, measured on a monthly basis</w:t>
      </w:r>
      <w:r w:rsidR="00117A70">
        <w:t>.</w:t>
      </w:r>
      <w:r>
        <w:rPr>
          <w:rStyle w:val="FootnoteReference"/>
        </w:rPr>
        <w:footnoteReference w:id="6"/>
      </w:r>
      <w:r w:rsidR="008E0C85">
        <w:t xml:space="preserve"> </w:t>
      </w:r>
      <w:r w:rsidR="00117A70">
        <w:t xml:space="preserve"> </w:t>
      </w:r>
      <w:r w:rsidR="00DB3DAF">
        <w:t xml:space="preserve">Sorenson requested waiver of these rules in </w:t>
      </w:r>
      <w:r w:rsidR="0034263C">
        <w:t>two recently filed petitions.</w:t>
      </w:r>
      <w:r>
        <w:rPr>
          <w:rStyle w:val="FootnoteReference"/>
        </w:rPr>
        <w:footnoteReference w:id="7"/>
      </w:r>
      <w:r w:rsidR="0034263C">
        <w:t xml:space="preserve"> </w:t>
      </w:r>
      <w:r w:rsidR="00DB3DAF">
        <w:t xml:space="preserve"> </w:t>
      </w:r>
      <w:r w:rsidR="00FF5BF4">
        <w:t>We find good cause to grant the</w:t>
      </w:r>
      <w:r w:rsidR="009415BA">
        <w:t>se</w:t>
      </w:r>
      <w:r w:rsidR="00FF5BF4">
        <w:t xml:space="preserve"> </w:t>
      </w:r>
      <w:r w:rsidR="009415BA">
        <w:t xml:space="preserve">limited waivers </w:t>
      </w:r>
      <w:r w:rsidR="00FF5BF4">
        <w:t xml:space="preserve">because adherence to these rules </w:t>
      </w:r>
      <w:r w:rsidR="00C41F0A">
        <w:t xml:space="preserve">could </w:t>
      </w:r>
      <w:r w:rsidR="0019663B">
        <w:t xml:space="preserve">prevent Sorenson from quickly establishing a fully functioning, robust VRS service for </w:t>
      </w:r>
      <w:r w:rsidR="00C2530B">
        <w:t xml:space="preserve">consumers </w:t>
      </w:r>
      <w:r w:rsidR="00455CC9">
        <w:t>who are deafblind</w:t>
      </w:r>
      <w:r w:rsidR="00F27B84">
        <w:t xml:space="preserve">.  </w:t>
      </w:r>
      <w:r w:rsidR="00706764">
        <w:t xml:space="preserve">Granting these waivers will ensure the continuous availability of service to consumers who are deafblind </w:t>
      </w:r>
      <w:r w:rsidR="00A044B2">
        <w:t>during a transition period after t</w:t>
      </w:r>
      <w:r w:rsidR="00706764">
        <w:t>heir current provider,</w:t>
      </w:r>
      <w:r w:rsidR="00C41F0A">
        <w:t xml:space="preserve"> ASL Services Holdings LLC d/b/a GlobalVRS (GlobalVRS)</w:t>
      </w:r>
      <w:r w:rsidR="00400598">
        <w:t>,</w:t>
      </w:r>
      <w:r w:rsidR="00C41F0A">
        <w:t xml:space="preserve"> exits </w:t>
      </w:r>
      <w:r w:rsidR="00D46DD4">
        <w:t>the VRS market.</w:t>
      </w:r>
    </w:p>
    <w:p w:rsidR="008F608B" w:rsidP="002D166B" w14:paraId="70970F92" w14:textId="740B5015">
      <w:pPr>
        <w:pStyle w:val="Heading1"/>
      </w:pPr>
      <w:r>
        <w:t>background</w:t>
      </w:r>
      <w:r w:rsidR="00D46DD4">
        <w:t xml:space="preserve"> </w:t>
      </w:r>
    </w:p>
    <w:p w:rsidR="007B4208" w:rsidRPr="00850DBB" w:rsidP="007B4208" w14:paraId="53B924D6" w14:textId="77777777">
      <w:pPr>
        <w:pStyle w:val="ParaNum"/>
      </w:pPr>
      <w:r w:rsidRPr="00850DBB">
        <w:t>VRS is a relay service,</w:t>
      </w:r>
      <w:r>
        <w:rPr>
          <w:sz w:val="20"/>
          <w:vertAlign w:val="superscript"/>
        </w:rPr>
        <w:footnoteReference w:id="8"/>
      </w:r>
      <w:r w:rsidRPr="00850DBB">
        <w:t xml:space="preserve"> supported by the TRS Fund, that “allows people with hearing or speech disabilities who use sign language to communicate with voice telephone users through video equipment.”</w:t>
      </w:r>
      <w:r>
        <w:rPr>
          <w:sz w:val="20"/>
          <w:vertAlign w:val="superscript"/>
        </w:rPr>
        <w:footnoteReference w:id="9"/>
      </w:r>
      <w:r w:rsidRPr="00850DBB">
        <w:t xml:space="preserve">  In a typical VRS call, a deaf or hard of hearing person communicates in American Sign Language (ASL), by video over a broadband link, to a communications assistant (CA), who then voices the message to a hearing person using ordinary telephone service.  The same process then occurs in reverse: the CA receives the hearing party’s voice response over the telephone and signs that response, by video, to the ASL user.</w:t>
      </w:r>
      <w:r>
        <w:rPr>
          <w:vertAlign w:val="superscript"/>
        </w:rPr>
        <w:footnoteReference w:id="10"/>
      </w:r>
    </w:p>
    <w:p w:rsidR="007B4208" w:rsidP="007B4208" w14:paraId="5A817FDA" w14:textId="6ACBA69C">
      <w:pPr>
        <w:pStyle w:val="ParaNum"/>
      </w:pPr>
      <w:r w:rsidRPr="00850DBB">
        <w:rPr>
          <w:i/>
          <w:iCs/>
        </w:rPr>
        <w:t>Video-Text Service.</w:t>
      </w:r>
      <w:r w:rsidRPr="00850DBB">
        <w:t xml:space="preserve">  Some VRS users, who are deafblind, are able to sign </w:t>
      </w:r>
      <w:r w:rsidRPr="00850DBB">
        <w:rPr>
          <w:i/>
          <w:iCs/>
        </w:rPr>
        <w:t>to</w:t>
      </w:r>
      <w:r w:rsidRPr="00850DBB">
        <w:t xml:space="preserve"> a CA but are unable to see the signs received </w:t>
      </w:r>
      <w:r w:rsidRPr="00850DBB">
        <w:rPr>
          <w:i/>
          <w:iCs/>
        </w:rPr>
        <w:t>from</w:t>
      </w:r>
      <w:r w:rsidRPr="00850DBB">
        <w:t xml:space="preserve"> the CA well enough to understand them.  For such users, </w:t>
      </w:r>
      <w:r w:rsidR="00763D1C">
        <w:t xml:space="preserve">since </w:t>
      </w:r>
      <w:r w:rsidRPr="00BF5D40" w:rsidR="00763D1C">
        <w:t>201</w:t>
      </w:r>
      <w:r w:rsidR="00C74013">
        <w:t>6</w:t>
      </w:r>
      <w:r w:rsidR="00763D1C">
        <w:t xml:space="preserve">, </w:t>
      </w:r>
      <w:r w:rsidRPr="00850DBB">
        <w:t xml:space="preserve">GlobalVRS </w:t>
      </w:r>
      <w:r w:rsidR="000906CA">
        <w:t xml:space="preserve">has </w:t>
      </w:r>
      <w:r w:rsidRPr="00850DBB">
        <w:t>provide</w:t>
      </w:r>
      <w:r w:rsidR="000906CA">
        <w:t>d</w:t>
      </w:r>
      <w:r w:rsidRPr="00850DBB">
        <w:t xml:space="preserve"> a special variant of VRS (referred to in this Order as Video-Text Service), which </w:t>
      </w:r>
      <w:r w:rsidR="007110F4">
        <w:t xml:space="preserve">has been </w:t>
      </w:r>
      <w:r w:rsidRPr="00850DBB">
        <w:t>available only from GlobalVRS.  In this service, the ASL user continues to use a video link to sign to the CA.  However, the other party’s contributions to the conversation are converted to text (instead of ASL video), which the deafblind party can read using a refreshable braille display.</w:t>
      </w:r>
      <w:r>
        <w:rPr>
          <w:rStyle w:val="FootnoteReference"/>
        </w:rPr>
        <w:footnoteReference w:id="11"/>
      </w:r>
      <w:r w:rsidRPr="00850DBB">
        <w:t xml:space="preserve">  For persons who are deafblind and whose primary language is ASL, this Video-Text Service offers an alternative to text-to-voice relay services, such as Internet Protocol Relay Service, allowing such users the opportunity to send messages in their first language, ASL, while receiving a text response.</w:t>
      </w:r>
      <w:r w:rsidRPr="00C10E88" w:rsidR="00C10E88">
        <w:t xml:space="preserve"> </w:t>
      </w:r>
      <w:r w:rsidR="00C10E88">
        <w:t xml:space="preserve"> </w:t>
      </w:r>
    </w:p>
    <w:p w:rsidR="002C61AC" w:rsidP="007B4208" w14:paraId="46E3304D" w14:textId="0422159C">
      <w:pPr>
        <w:pStyle w:val="ParaNum"/>
      </w:pPr>
      <w:r w:rsidRPr="000A30FE">
        <w:t xml:space="preserve">On April 28, </w:t>
      </w:r>
      <w:r w:rsidR="00362715">
        <w:t>2023</w:t>
      </w:r>
      <w:r w:rsidR="0053364C">
        <w:t xml:space="preserve">, </w:t>
      </w:r>
      <w:r w:rsidRPr="000A30FE">
        <w:t>GlobalVRS filed a letter with the Commission notifying it of a “potential service interruption on or about June 30, 2023</w:t>
      </w:r>
      <w:r w:rsidR="009D31AC">
        <w:t>,</w:t>
      </w:r>
      <w:r w:rsidRPr="000A30FE">
        <w:t xml:space="preserve">” absent affirmative Commission action on </w:t>
      </w:r>
      <w:r w:rsidR="009D31AC">
        <w:t>a petition filed by GlobalVRS requesting additional compensation</w:t>
      </w:r>
      <w:r w:rsidRPr="000A30FE">
        <w:t>.</w:t>
      </w:r>
      <w:r>
        <w:rPr>
          <w:vertAlign w:val="superscript"/>
        </w:rPr>
        <w:footnoteReference w:id="12"/>
      </w:r>
      <w:r w:rsidRPr="000A30FE">
        <w:t xml:space="preserve">  </w:t>
      </w:r>
      <w:r w:rsidRPr="00076728" w:rsidR="00076728">
        <w:t xml:space="preserve">One month later, </w:t>
      </w:r>
      <w:r w:rsidR="00076728">
        <w:t xml:space="preserve">in </w:t>
      </w:r>
      <w:r w:rsidR="00865BFC">
        <w:t>a notice dated May 26,</w:t>
      </w:r>
      <w:r w:rsidR="001733D5">
        <w:t xml:space="preserve"> 2023,</w:t>
      </w:r>
      <w:r w:rsidR="00865BFC">
        <w:t xml:space="preserve"> GlobalVRS </w:t>
      </w:r>
      <w:r w:rsidR="006D67A4">
        <w:t xml:space="preserve">informed its </w:t>
      </w:r>
      <w:r w:rsidR="00693D24">
        <w:t xml:space="preserve">users </w:t>
      </w:r>
      <w:r w:rsidR="006D67A4">
        <w:t xml:space="preserve">that </w:t>
      </w:r>
      <w:r w:rsidRPr="00C1134B" w:rsidR="00C1134B">
        <w:t>absent such action, GlobalVRS “will have no choice but to cease operations effective June 30, 2023</w:t>
      </w:r>
      <w:r w:rsidR="00BA0664">
        <w:t>,</w:t>
      </w:r>
      <w:r w:rsidRPr="00C1134B" w:rsidR="00C1134B">
        <w:t xml:space="preserve">” </w:t>
      </w:r>
      <w:r w:rsidR="006D67A4">
        <w:t>and</w:t>
      </w:r>
      <w:r w:rsidR="00FC46B0">
        <w:t xml:space="preserve"> suggested tha</w:t>
      </w:r>
      <w:r w:rsidR="00DB5403">
        <w:t xml:space="preserve">t </w:t>
      </w:r>
      <w:r w:rsidR="00FC46B0">
        <w:t xml:space="preserve">its </w:t>
      </w:r>
      <w:r w:rsidR="00621B49">
        <w:t xml:space="preserve">users </w:t>
      </w:r>
      <w:r w:rsidR="00FC46B0">
        <w:t xml:space="preserve">begin </w:t>
      </w:r>
      <w:r w:rsidR="00B77445">
        <w:t xml:space="preserve">registering </w:t>
      </w:r>
      <w:r w:rsidR="00FC46B0">
        <w:t>for service with other VRS providers.</w:t>
      </w:r>
      <w:r>
        <w:rPr>
          <w:rStyle w:val="FootnoteReference"/>
        </w:rPr>
        <w:footnoteReference w:id="13"/>
      </w:r>
      <w:r w:rsidR="00FC46B0">
        <w:t xml:space="preserve">  </w:t>
      </w:r>
      <w:r w:rsidR="00D31267">
        <w:t xml:space="preserve">On June 8, GlobalVRS sent </w:t>
      </w:r>
      <w:r w:rsidR="003A0ECD">
        <w:t xml:space="preserve">a more definitive </w:t>
      </w:r>
      <w:r w:rsidR="00D31267">
        <w:t xml:space="preserve">notice </w:t>
      </w:r>
      <w:r w:rsidR="007E0A38">
        <w:t>of its intention to cease providing VRS after June 30</w:t>
      </w:r>
      <w:r w:rsidR="00A66D96">
        <w:t>,</w:t>
      </w:r>
      <w:r w:rsidR="006B6873">
        <w:t xml:space="preserve"> 2023. </w:t>
      </w:r>
      <w:r w:rsidR="00A66D96">
        <w:t xml:space="preserve"> </w:t>
      </w:r>
      <w:r w:rsidR="007E0A38">
        <w:t xml:space="preserve">GlobalVRS </w:t>
      </w:r>
      <w:r w:rsidR="00A66D96">
        <w:t>suggest</w:t>
      </w:r>
      <w:r w:rsidR="009C70FD">
        <w:t>ed</w:t>
      </w:r>
      <w:r w:rsidR="00A66D96">
        <w:t xml:space="preserve"> that </w:t>
      </w:r>
      <w:r w:rsidR="0082366F">
        <w:t xml:space="preserve">Video-Text Service </w:t>
      </w:r>
      <w:r w:rsidR="00621B49">
        <w:t xml:space="preserve">users </w:t>
      </w:r>
      <w:r w:rsidR="00A66D96">
        <w:t xml:space="preserve">register for </w:t>
      </w:r>
      <w:r w:rsidR="003E6FE8">
        <w:t xml:space="preserve">a </w:t>
      </w:r>
      <w:r w:rsidR="006877A3">
        <w:t xml:space="preserve">text-based </w:t>
      </w:r>
      <w:r w:rsidR="00A66D96">
        <w:t>service until their “</w:t>
      </w:r>
      <w:r w:rsidR="004D4A71">
        <w:t>MyMM</w:t>
      </w:r>
      <w:r w:rsidR="00F12DB6">
        <w:t>X</w:t>
      </w:r>
      <w:r w:rsidR="004D4A71">
        <w:t>-db</w:t>
      </w:r>
      <w:r w:rsidR="004D4A71">
        <w:t xml:space="preserve"> software has a new [VRS] provider connected to it.”</w:t>
      </w:r>
      <w:r>
        <w:rPr>
          <w:rStyle w:val="FootnoteReference"/>
        </w:rPr>
        <w:footnoteReference w:id="14"/>
      </w:r>
      <w:r w:rsidR="003C6D86">
        <w:t xml:space="preserve"> </w:t>
      </w:r>
      <w:r w:rsidR="00E26EF8">
        <w:t xml:space="preserve"> On June 30,</w:t>
      </w:r>
      <w:r w:rsidR="006B6873">
        <w:t xml:space="preserve"> 2023,</w:t>
      </w:r>
      <w:r w:rsidR="00E26EF8">
        <w:t xml:space="preserve"> GlobalVRS sent </w:t>
      </w:r>
      <w:r w:rsidR="007466D8">
        <w:t xml:space="preserve">a third </w:t>
      </w:r>
      <w:r w:rsidR="00E26EF8">
        <w:t xml:space="preserve">notice to its </w:t>
      </w:r>
      <w:r w:rsidR="00621B49">
        <w:t>users</w:t>
      </w:r>
      <w:r w:rsidR="009C70FD">
        <w:t xml:space="preserve">.  </w:t>
      </w:r>
      <w:r w:rsidR="00F12C7B">
        <w:t xml:space="preserve">In this notice, GlobalVRS informed users that </w:t>
      </w:r>
      <w:r w:rsidR="00E26EF8">
        <w:t>it was continuing to provide</w:t>
      </w:r>
      <w:r w:rsidR="00C70D1A">
        <w:t xml:space="preserve"> </w:t>
      </w:r>
      <w:r w:rsidR="00E26EF8">
        <w:t xml:space="preserve">VRS temporarily </w:t>
      </w:r>
      <w:r w:rsidR="006F67FF">
        <w:t xml:space="preserve">while it works with the Commission </w:t>
      </w:r>
      <w:r w:rsidR="00C70D1A">
        <w:t xml:space="preserve">and </w:t>
      </w:r>
      <w:r w:rsidR="006F67FF">
        <w:t xml:space="preserve">Sorenson </w:t>
      </w:r>
      <w:r w:rsidR="00C70D1A">
        <w:t xml:space="preserve">to develop </w:t>
      </w:r>
      <w:r w:rsidR="006F67FF">
        <w:t>a “seamless t</w:t>
      </w:r>
      <w:r w:rsidR="003E6FE8">
        <w:t>r</w:t>
      </w:r>
      <w:r w:rsidR="006F67FF">
        <w:t>ansition” for their service.</w:t>
      </w:r>
      <w:r>
        <w:rPr>
          <w:rStyle w:val="FootnoteReference"/>
        </w:rPr>
        <w:footnoteReference w:id="15"/>
      </w:r>
      <w:r w:rsidR="001A55B2">
        <w:t xml:space="preserve">  </w:t>
      </w:r>
      <w:r w:rsidR="00F12C7B">
        <w:t xml:space="preserve">On August </w:t>
      </w:r>
      <w:r w:rsidR="00F10CC3">
        <w:t>3,</w:t>
      </w:r>
      <w:r w:rsidR="008048F8">
        <w:t xml:space="preserve"> 2023,</w:t>
      </w:r>
      <w:r w:rsidR="00F10CC3">
        <w:t xml:space="preserve"> </w:t>
      </w:r>
      <w:r w:rsidRPr="00592088" w:rsidR="00592088">
        <w:t xml:space="preserve">GlobalVRS filed a letter with the Commission </w:t>
      </w:r>
      <w:r w:rsidR="00F10CC3">
        <w:t xml:space="preserve">confirming its plan to </w:t>
      </w:r>
      <w:r w:rsidR="00AB3DF5">
        <w:t xml:space="preserve">continue providing Video-Text Service pending its availability from a new provider, and </w:t>
      </w:r>
      <w:r w:rsidRPr="00592088" w:rsidR="00592088">
        <w:t xml:space="preserve">seeking reimbursement of expenses incurred to maintain </w:t>
      </w:r>
      <w:r w:rsidR="00AB3DF5">
        <w:t>the service</w:t>
      </w:r>
      <w:r w:rsidRPr="00592088" w:rsidR="00592088">
        <w:t xml:space="preserve"> after June 30</w:t>
      </w:r>
      <w:r w:rsidR="00D57F67">
        <w:t>, 2023</w:t>
      </w:r>
      <w:r w:rsidR="00AB3DF5">
        <w:t>.</w:t>
      </w:r>
      <w:r>
        <w:rPr>
          <w:rStyle w:val="FootnoteReference"/>
        </w:rPr>
        <w:footnoteReference w:id="16"/>
      </w:r>
      <w:r w:rsidR="00AB3DF5">
        <w:t xml:space="preserve">  On </w:t>
      </w:r>
      <w:r w:rsidR="002C6F90">
        <w:t>August 17,</w:t>
      </w:r>
      <w:r w:rsidR="008048F8">
        <w:t xml:space="preserve"> 2023,</w:t>
      </w:r>
      <w:r w:rsidR="002C6F90">
        <w:t xml:space="preserve"> the Bureau adopted </w:t>
      </w:r>
      <w:r w:rsidR="004835A1">
        <w:t xml:space="preserve">an order authorizing </w:t>
      </w:r>
      <w:r w:rsidR="00472FAF">
        <w:t>an accelerated schedule</w:t>
      </w:r>
      <w:r w:rsidR="0081707D">
        <w:t xml:space="preserve"> </w:t>
      </w:r>
      <w:r w:rsidR="00CE51B6">
        <w:t xml:space="preserve">for reimbursement </w:t>
      </w:r>
      <w:r w:rsidR="0081707D">
        <w:t xml:space="preserve">of exogenous costs </w:t>
      </w:r>
      <w:r w:rsidR="00472FAF">
        <w:t xml:space="preserve">incurred by GlobalVRS </w:t>
      </w:r>
      <w:r w:rsidR="00CE51B6">
        <w:t xml:space="preserve">in providing Video-Text Service </w:t>
      </w:r>
      <w:r w:rsidR="00987D91">
        <w:t>after June 30</w:t>
      </w:r>
      <w:r w:rsidR="00D57F67">
        <w:t>, 2023,</w:t>
      </w:r>
      <w:r w:rsidR="00987D91">
        <w:t xml:space="preserve"> </w:t>
      </w:r>
      <w:r w:rsidR="00472FAF">
        <w:t>and granting conditional waivers of certain Commission rules.</w:t>
      </w:r>
      <w:r>
        <w:rPr>
          <w:rStyle w:val="FootnoteReference"/>
        </w:rPr>
        <w:footnoteReference w:id="17"/>
      </w:r>
      <w:r w:rsidR="00472FAF">
        <w:t xml:space="preserve"> </w:t>
      </w:r>
      <w:r w:rsidR="004A31C3">
        <w:t xml:space="preserve"> </w:t>
      </w:r>
    </w:p>
    <w:p w:rsidR="009933B9" w:rsidP="00A250AC" w14:paraId="02DCD674" w14:textId="33BCCA3C">
      <w:pPr>
        <w:pStyle w:val="ParaNum"/>
      </w:pPr>
      <w:r>
        <w:t>In a petition filed</w:t>
      </w:r>
      <w:r w:rsidR="00987D91">
        <w:t xml:space="preserve"> July </w:t>
      </w:r>
      <w:r w:rsidR="00293750">
        <w:t>24,</w:t>
      </w:r>
      <w:r w:rsidR="001733D5">
        <w:t xml:space="preserve"> 2023</w:t>
      </w:r>
      <w:r w:rsidR="00AB5690">
        <w:t>,</w:t>
      </w:r>
      <w:r w:rsidR="00293750">
        <w:t xml:space="preserve"> </w:t>
      </w:r>
      <w:r>
        <w:t xml:space="preserve">Sorenson </w:t>
      </w:r>
      <w:r>
        <w:t xml:space="preserve">explained that </w:t>
      </w:r>
      <w:r w:rsidR="00CC27D6">
        <w:t xml:space="preserve">it is </w:t>
      </w:r>
      <w:r w:rsidR="00EA4334">
        <w:t xml:space="preserve">currently </w:t>
      </w:r>
      <w:r w:rsidR="00CC27D6">
        <w:t xml:space="preserve">preparing to offer </w:t>
      </w:r>
      <w:r w:rsidRPr="006D7C5F" w:rsidR="006D7C5F">
        <w:t xml:space="preserve"> a form of </w:t>
      </w:r>
      <w:r>
        <w:t>Video-Text service</w:t>
      </w:r>
      <w:r w:rsidR="00794920">
        <w:t>,</w:t>
      </w:r>
      <w:r w:rsidR="00E91BEB">
        <w:t xml:space="preserve"> </w:t>
      </w:r>
      <w:r w:rsidR="00F16CE5">
        <w:t xml:space="preserve">which </w:t>
      </w:r>
      <w:r w:rsidR="00E91BEB">
        <w:t xml:space="preserve">it </w:t>
      </w:r>
      <w:r w:rsidR="00794920">
        <w:t xml:space="preserve">expects to make </w:t>
      </w:r>
      <w:r w:rsidR="00E91BEB">
        <w:t>available in the near future</w:t>
      </w:r>
      <w:r w:rsidR="00794920">
        <w:t>,</w:t>
      </w:r>
      <w:r w:rsidR="00E91BEB">
        <w:t xml:space="preserve"> and </w:t>
      </w:r>
      <w:r w:rsidR="00794920">
        <w:t xml:space="preserve">that it </w:t>
      </w:r>
      <w:r w:rsidR="00524DB4">
        <w:t xml:space="preserve">is </w:t>
      </w:r>
      <w:r w:rsidR="00A05DC9">
        <w:t xml:space="preserve">negotiating </w:t>
      </w:r>
      <w:r w:rsidR="00524DB4">
        <w:t xml:space="preserve">with GlobalVRS </w:t>
      </w:r>
      <w:r w:rsidR="001230EE">
        <w:t xml:space="preserve">for the transfer </w:t>
      </w:r>
      <w:r w:rsidR="00BB1E2A">
        <w:t xml:space="preserve">to Sorenson </w:t>
      </w:r>
      <w:r w:rsidR="001230EE">
        <w:t xml:space="preserve">of </w:t>
      </w:r>
      <w:r w:rsidR="00E91BEB">
        <w:t>GlobalVRS’s</w:t>
      </w:r>
      <w:r w:rsidR="00E91BEB">
        <w:t xml:space="preserve"> deafblind </w:t>
      </w:r>
      <w:r w:rsidR="00621B49">
        <w:t xml:space="preserve">users </w:t>
      </w:r>
      <w:r w:rsidR="00BB1E2A">
        <w:t xml:space="preserve">and any </w:t>
      </w:r>
      <w:r w:rsidR="00BC50D4">
        <w:t xml:space="preserve">other </w:t>
      </w:r>
      <w:r w:rsidR="00BB1E2A">
        <w:t>remaining GlobalVRS users</w:t>
      </w:r>
      <w:r w:rsidR="00E91BEB">
        <w:t>.</w:t>
      </w:r>
      <w:r>
        <w:rPr>
          <w:rStyle w:val="FootnoteReference"/>
        </w:rPr>
        <w:footnoteReference w:id="18"/>
      </w:r>
      <w:r w:rsidR="00317B33">
        <w:t xml:space="preserve">  </w:t>
      </w:r>
      <w:r w:rsidR="00BD0743">
        <w:t>In the July 24</w:t>
      </w:r>
      <w:r w:rsidR="00D57F67">
        <w:t>, 2023</w:t>
      </w:r>
      <w:r w:rsidR="005B4EE8">
        <w:t>,</w:t>
      </w:r>
      <w:r w:rsidR="00BD0743">
        <w:t xml:space="preserve"> petition and a second petition filed Aug</w:t>
      </w:r>
      <w:r w:rsidR="007D2B68">
        <w:t>ust 8,</w:t>
      </w:r>
      <w:r w:rsidR="00D57F67">
        <w:t xml:space="preserve"> 2023,</w:t>
      </w:r>
      <w:r w:rsidR="007D2B68">
        <w:t xml:space="preserve"> Sorenson requests </w:t>
      </w:r>
      <w:r w:rsidR="00F27392">
        <w:t>limited</w:t>
      </w:r>
      <w:r w:rsidR="007D2B68">
        <w:t xml:space="preserve"> waivers </w:t>
      </w:r>
      <w:r w:rsidR="00F27392">
        <w:t>of several Commission rules</w:t>
      </w:r>
      <w:r w:rsidR="00BD0743">
        <w:t xml:space="preserve"> </w:t>
      </w:r>
      <w:r w:rsidRPr="009E26D4" w:rsidR="00F27392">
        <w:t>t</w:t>
      </w:r>
      <w:r w:rsidRPr="009E26D4" w:rsidR="00317B33">
        <w:t xml:space="preserve">o facilitate </w:t>
      </w:r>
      <w:r w:rsidRPr="00E913FA" w:rsidR="002B4702">
        <w:t>a smooth and prompt</w:t>
      </w:r>
      <w:r w:rsidRPr="00E913FA" w:rsidR="00381B91">
        <w:t xml:space="preserve"> </w:t>
      </w:r>
      <w:r w:rsidRPr="009E26D4" w:rsidR="00F27392">
        <w:t>tran</w:t>
      </w:r>
      <w:r w:rsidRPr="009E26D4" w:rsidR="002C506C">
        <w:t xml:space="preserve">sition of </w:t>
      </w:r>
      <w:r w:rsidRPr="00E913FA" w:rsidR="00381B91">
        <w:t>GlobalVRS’s</w:t>
      </w:r>
      <w:r w:rsidRPr="00E913FA" w:rsidR="00381B91">
        <w:t xml:space="preserve"> </w:t>
      </w:r>
      <w:r w:rsidRPr="00E913FA" w:rsidR="0083469D">
        <w:t>remaining</w:t>
      </w:r>
      <w:r w:rsidRPr="009E26D4" w:rsidR="002C506C">
        <w:t xml:space="preserve"> users</w:t>
      </w:r>
      <w:r w:rsidR="004B631B">
        <w:t xml:space="preserve"> and</w:t>
      </w:r>
      <w:r w:rsidRPr="009E26D4" w:rsidR="002C506C">
        <w:t xml:space="preserve"> </w:t>
      </w:r>
      <w:r w:rsidRPr="009E26D4" w:rsidR="00BD0743">
        <w:t>prevent interruption</w:t>
      </w:r>
      <w:r w:rsidRPr="009E26D4" w:rsidR="007C3E90">
        <w:t xml:space="preserve"> or degradation</w:t>
      </w:r>
      <w:r w:rsidRPr="009E26D4" w:rsidR="00BD0743">
        <w:t xml:space="preserve"> of service</w:t>
      </w:r>
      <w:r w:rsidR="008C3FBD">
        <w:t xml:space="preserve"> to those users</w:t>
      </w:r>
      <w:r w:rsidR="004B631B">
        <w:t>.</w:t>
      </w:r>
      <w:r>
        <w:rPr>
          <w:rStyle w:val="FootnoteReference"/>
        </w:rPr>
        <w:footnoteReference w:id="19"/>
      </w:r>
      <w:r w:rsidR="004B631B">
        <w:t xml:space="preserve">  </w:t>
      </w:r>
      <w:r w:rsidR="00A10002">
        <w:t xml:space="preserve"> Further, with respect to its second petition,</w:t>
      </w:r>
      <w:r w:rsidR="000A422A">
        <w:t xml:space="preserve"> Sorenson </w:t>
      </w:r>
      <w:r w:rsidR="00A10002">
        <w:t xml:space="preserve">explains that it needs </w:t>
      </w:r>
      <w:r w:rsidR="004B631B">
        <w:t xml:space="preserve">time </w:t>
      </w:r>
      <w:r w:rsidR="000A422A">
        <w:t xml:space="preserve">to train CAs </w:t>
      </w:r>
      <w:r w:rsidR="003603A4">
        <w:t xml:space="preserve">to handle Video-Text </w:t>
      </w:r>
      <w:r w:rsidR="00C5637E">
        <w:t>c</w:t>
      </w:r>
      <w:r w:rsidR="003603A4">
        <w:t>alls in order to</w:t>
      </w:r>
      <w:r w:rsidRPr="00E913FA" w:rsidR="00ED66B1">
        <w:t xml:space="preserve"> </w:t>
      </w:r>
      <w:r w:rsidRPr="00E913FA" w:rsidR="005A17F1">
        <w:t xml:space="preserve">provide a better experience for </w:t>
      </w:r>
      <w:r w:rsidRPr="00E913FA" w:rsidR="008C5665">
        <w:t>d</w:t>
      </w:r>
      <w:r w:rsidRPr="00E913FA" w:rsidR="005A17F1">
        <w:t>eaf</w:t>
      </w:r>
      <w:r w:rsidRPr="00E913FA" w:rsidR="008C5665">
        <w:t>b</w:t>
      </w:r>
      <w:r w:rsidRPr="00E913FA" w:rsidR="005A17F1">
        <w:t>lind users</w:t>
      </w:r>
      <w:r w:rsidRPr="009E26D4" w:rsidR="00BD0743">
        <w:t xml:space="preserve"> </w:t>
      </w:r>
      <w:r w:rsidRPr="009E26D4" w:rsidR="007C3E90">
        <w:t xml:space="preserve">as Sorenson </w:t>
      </w:r>
      <w:r w:rsidR="00A10002">
        <w:t xml:space="preserve">introduces this service for the first time and </w:t>
      </w:r>
      <w:r w:rsidRPr="009E26D4" w:rsidR="007C3E90">
        <w:t xml:space="preserve">ramps up its capabilities to provide the </w:t>
      </w:r>
      <w:r w:rsidR="00A37486">
        <w:t>Video</w:t>
      </w:r>
      <w:r w:rsidR="00E64C45">
        <w:t>-</w:t>
      </w:r>
      <w:r w:rsidR="00A37486">
        <w:t>Text S</w:t>
      </w:r>
      <w:r w:rsidRPr="009E26D4" w:rsidR="007C3E90">
        <w:t>ervice.</w:t>
      </w:r>
      <w:r>
        <w:rPr>
          <w:rStyle w:val="FootnoteReference"/>
        </w:rPr>
        <w:footnoteReference w:id="20"/>
      </w:r>
      <w:r w:rsidR="00BD0743">
        <w:t xml:space="preserve"> </w:t>
      </w:r>
    </w:p>
    <w:p w:rsidR="00D6098D" w:rsidRPr="00177FEA" w:rsidP="00D6098D" w14:paraId="50F2E96D" w14:textId="0D6DCC3A">
      <w:pPr>
        <w:pStyle w:val="ParaNum"/>
        <w:widowControl/>
      </w:pPr>
      <w:r>
        <w:t xml:space="preserve">Sorenson </w:t>
      </w:r>
      <w:r w:rsidR="00E64C45">
        <w:t>maintains</w:t>
      </w:r>
      <w:r>
        <w:t xml:space="preserve"> that</w:t>
      </w:r>
      <w:r w:rsidR="00EE4B7F">
        <w:t xml:space="preserve"> GlobalVRS has provided notices to </w:t>
      </w:r>
      <w:r w:rsidR="00AA691F">
        <w:t xml:space="preserve">users </w:t>
      </w:r>
      <w:r w:rsidR="00EE4B7F">
        <w:t xml:space="preserve">that meet </w:t>
      </w:r>
      <w:r w:rsidR="00C5103E">
        <w:t xml:space="preserve">certain </w:t>
      </w:r>
      <w:r w:rsidR="00EE4B7F">
        <w:t xml:space="preserve">key elements of the Commission’s </w:t>
      </w:r>
      <w:r w:rsidR="007E6C69">
        <w:t xml:space="preserve">sale or transfer </w:t>
      </w:r>
      <w:r w:rsidR="00AC4623">
        <w:t xml:space="preserve">notice </w:t>
      </w:r>
      <w:r w:rsidR="00EE4B7F">
        <w:t xml:space="preserve">requirements, </w:t>
      </w:r>
      <w:bookmarkStart w:id="1" w:name="_Hlk146796510"/>
      <w:r w:rsidR="00EE4B7F">
        <w:t>and that</w:t>
      </w:r>
      <w:r w:rsidR="00AC2AAD">
        <w:t xml:space="preserve"> providing another 30 days’ notice at this point could</w:t>
      </w:r>
      <w:r w:rsidR="00C874BA">
        <w:t xml:space="preserve"> </w:t>
      </w:r>
      <w:r w:rsidR="00AC2AAD">
        <w:t>cause</w:t>
      </w:r>
      <w:r w:rsidR="00F140E8">
        <w:t xml:space="preserve"> a delay in the </w:t>
      </w:r>
      <w:r w:rsidR="00AC2AAD">
        <w:t>transition</w:t>
      </w:r>
      <w:r w:rsidR="00F140E8">
        <w:t xml:space="preserve"> or </w:t>
      </w:r>
      <w:r w:rsidR="007E6C69">
        <w:t xml:space="preserve">potentially </w:t>
      </w:r>
      <w:r w:rsidR="00F140E8">
        <w:t>a</w:t>
      </w:r>
      <w:r w:rsidR="00F140E8">
        <w:t xml:space="preserve"> </w:t>
      </w:r>
      <w:r w:rsidR="00F140E8">
        <w:t xml:space="preserve">gap in service for </w:t>
      </w:r>
      <w:r w:rsidR="00AA691F">
        <w:t xml:space="preserve">users </w:t>
      </w:r>
      <w:r w:rsidR="00F140E8">
        <w:t xml:space="preserve">of </w:t>
      </w:r>
      <w:r w:rsidR="00F140E8">
        <w:t>GlobalVRS’s</w:t>
      </w:r>
      <w:r w:rsidR="00F140E8">
        <w:t xml:space="preserve"> services</w:t>
      </w:r>
      <w:r w:rsidR="008A79A8">
        <w:t xml:space="preserve"> – </w:t>
      </w:r>
      <w:r w:rsidR="00B14AF6">
        <w:t xml:space="preserve">and could </w:t>
      </w:r>
      <w:r w:rsidR="00E01F89">
        <w:t>depriv</w:t>
      </w:r>
      <w:r w:rsidR="00B14AF6">
        <w:t>e</w:t>
      </w:r>
      <w:r w:rsidR="005E135D">
        <w:t xml:space="preserve"> </w:t>
      </w:r>
      <w:r w:rsidR="006217E2">
        <w:t xml:space="preserve">ASL users who are deafblind </w:t>
      </w:r>
      <w:r w:rsidR="005E135D">
        <w:t>of a vital means of communication</w:t>
      </w:r>
      <w:r w:rsidR="00F140E8">
        <w:t>.</w:t>
      </w:r>
      <w:r>
        <w:rPr>
          <w:rStyle w:val="FootnoteReference"/>
        </w:rPr>
        <w:footnoteReference w:id="21"/>
      </w:r>
      <w:r w:rsidR="00D768F7">
        <w:t xml:space="preserve">  </w:t>
      </w:r>
      <w:bookmarkEnd w:id="1"/>
      <w:r w:rsidR="00020822">
        <w:t>I</w:t>
      </w:r>
      <w:r w:rsidR="00D768F7">
        <w:t xml:space="preserve">n light of the potential harm </w:t>
      </w:r>
      <w:r w:rsidR="00212877">
        <w:t>to</w:t>
      </w:r>
      <w:r w:rsidR="006C7908">
        <w:t xml:space="preserve"> </w:t>
      </w:r>
      <w:r w:rsidR="006C7908">
        <w:t>GlobalVRS’s</w:t>
      </w:r>
      <w:r w:rsidR="006C7908">
        <w:t xml:space="preserve"> remaining</w:t>
      </w:r>
      <w:r w:rsidR="00212877">
        <w:t xml:space="preserve"> </w:t>
      </w:r>
      <w:r w:rsidR="00AA691F">
        <w:t>users</w:t>
      </w:r>
      <w:r w:rsidR="00212877">
        <w:t xml:space="preserve">, </w:t>
      </w:r>
      <w:r w:rsidR="00D768F7">
        <w:t xml:space="preserve">Sorenson requests a waiver of the requirement to provide its own 30-days’ notice to </w:t>
      </w:r>
      <w:r w:rsidR="00321C84">
        <w:t xml:space="preserve">users </w:t>
      </w:r>
      <w:r w:rsidR="00D768F7">
        <w:t>of the upcoming transfer.</w:t>
      </w:r>
      <w:r>
        <w:rPr>
          <w:rStyle w:val="FootnoteReference"/>
        </w:rPr>
        <w:footnoteReference w:id="22"/>
      </w:r>
      <w:r w:rsidR="00391AEC">
        <w:t xml:space="preserve">  </w:t>
      </w:r>
    </w:p>
    <w:p w:rsidR="00226CCE" w:rsidP="00496173" w14:paraId="123FC2CB" w14:textId="41A98CD9">
      <w:pPr>
        <w:pStyle w:val="ParaNum"/>
      </w:pPr>
      <w:r>
        <w:t>Sorenson</w:t>
      </w:r>
      <w:r w:rsidR="00A53DBB">
        <w:t xml:space="preserve"> </w:t>
      </w:r>
      <w:r w:rsidR="00B3229F">
        <w:t xml:space="preserve">also </w:t>
      </w:r>
      <w:r w:rsidR="00BF24F7">
        <w:t xml:space="preserve">asserts that </w:t>
      </w:r>
      <w:r w:rsidR="00E91BEB">
        <w:t xml:space="preserve">the process of </w:t>
      </w:r>
      <w:r w:rsidR="00742ED4">
        <w:t>re-register</w:t>
      </w:r>
      <w:r w:rsidR="00E91BEB">
        <w:t>ing</w:t>
      </w:r>
      <w:r w:rsidR="00742ED4">
        <w:t xml:space="preserve"> </w:t>
      </w:r>
      <w:r w:rsidR="00742ED4">
        <w:t>GlobalVRS</w:t>
      </w:r>
      <w:r w:rsidR="00E91BEB">
        <w:t>’</w:t>
      </w:r>
      <w:r w:rsidR="00A90B39">
        <w:t>s</w:t>
      </w:r>
      <w:r w:rsidR="00742ED4">
        <w:t xml:space="preserve"> </w:t>
      </w:r>
      <w:r w:rsidR="00735DE0">
        <w:t>remaining</w:t>
      </w:r>
      <w:r w:rsidR="00742ED4">
        <w:t xml:space="preserve"> </w:t>
      </w:r>
      <w:r w:rsidR="001F2FA4">
        <w:t xml:space="preserve">users </w:t>
      </w:r>
      <w:r w:rsidR="00742ED4">
        <w:t xml:space="preserve">could cause additional delay in the transition.  Sorenson contends </w:t>
      </w:r>
      <w:r w:rsidR="00A53DBB">
        <w:t xml:space="preserve">that </w:t>
      </w:r>
      <w:r w:rsidR="001F2FA4">
        <w:t xml:space="preserve">users </w:t>
      </w:r>
      <w:r w:rsidR="0068388E">
        <w:t xml:space="preserve">“routinely fail the URD Administrator’s identity verification” for a variety of reasons, and </w:t>
      </w:r>
      <w:r w:rsidR="00E118D0">
        <w:t xml:space="preserve">as a result their </w:t>
      </w:r>
      <w:r w:rsidR="00AE2F5F">
        <w:t xml:space="preserve">re-registration </w:t>
      </w:r>
      <w:r w:rsidR="00B3229F">
        <w:t xml:space="preserve">can be </w:t>
      </w:r>
      <w:r w:rsidR="00AE2F5F">
        <w:t xml:space="preserve">delayed </w:t>
      </w:r>
      <w:r w:rsidR="00B3229F">
        <w:t>for some period of time</w:t>
      </w:r>
      <w:r w:rsidR="00AE2F5F">
        <w:t>.</w:t>
      </w:r>
      <w:r>
        <w:rPr>
          <w:rStyle w:val="FootnoteReference"/>
        </w:rPr>
        <w:footnoteReference w:id="23"/>
      </w:r>
      <w:r w:rsidR="000F26EB">
        <w:t xml:space="preserve">  </w:t>
      </w:r>
      <w:r w:rsidR="00B1514E">
        <w:t>Ordinarily</w:t>
      </w:r>
      <w:r w:rsidR="00615953">
        <w:t>,</w:t>
      </w:r>
      <w:r w:rsidR="00B1514E">
        <w:t xml:space="preserve"> i</w:t>
      </w:r>
      <w:r w:rsidR="000F26EB">
        <w:t xml:space="preserve">n such situations, these </w:t>
      </w:r>
      <w:r w:rsidR="001F2FA4">
        <w:t xml:space="preserve">users </w:t>
      </w:r>
      <w:r w:rsidR="00A2312A">
        <w:t>would revert to their porting-out provider</w:t>
      </w:r>
      <w:r w:rsidR="004E3E40">
        <w:t xml:space="preserve">.  In this situation, </w:t>
      </w:r>
      <w:r w:rsidR="00A2312A">
        <w:t xml:space="preserve">however, </w:t>
      </w:r>
      <w:r w:rsidR="001138CD">
        <w:t>porting back</w:t>
      </w:r>
      <w:r w:rsidR="00A2312A">
        <w:t xml:space="preserve"> would be impractical</w:t>
      </w:r>
      <w:r w:rsidR="00133514">
        <w:t xml:space="preserve"> </w:t>
      </w:r>
      <w:r w:rsidR="00A2312A">
        <w:t>since GlobalVRS would no longer be available</w:t>
      </w:r>
      <w:r w:rsidR="001B259B">
        <w:t>,</w:t>
      </w:r>
      <w:r w:rsidR="00955867">
        <w:t xml:space="preserve"> and these </w:t>
      </w:r>
      <w:r w:rsidR="001F2FA4">
        <w:t xml:space="preserve">users </w:t>
      </w:r>
      <w:r w:rsidR="00955867">
        <w:t>would be unable to register with any VRS provider pending resolution of the identity verification</w:t>
      </w:r>
      <w:r w:rsidR="00A2312A">
        <w:t>.</w:t>
      </w:r>
      <w:r>
        <w:rPr>
          <w:rStyle w:val="FootnoteReference"/>
        </w:rPr>
        <w:footnoteReference w:id="24"/>
      </w:r>
      <w:r w:rsidR="000D16F2">
        <w:t xml:space="preserve">  </w:t>
      </w:r>
      <w:r w:rsidR="001B259B">
        <w:t xml:space="preserve">Sorenson notes that this again </w:t>
      </w:r>
      <w:r w:rsidR="00511DB8">
        <w:t xml:space="preserve">could </w:t>
      </w:r>
      <w:r w:rsidR="000D16F2">
        <w:t xml:space="preserve">delay the transition or </w:t>
      </w:r>
      <w:r w:rsidR="0029109F">
        <w:t xml:space="preserve">lead to </w:t>
      </w:r>
      <w:r w:rsidR="000D16F2">
        <w:t xml:space="preserve">a gap in service for </w:t>
      </w:r>
      <w:r w:rsidR="00735DE0">
        <w:t>the remaining</w:t>
      </w:r>
      <w:r w:rsidR="00C7167F">
        <w:t xml:space="preserve"> </w:t>
      </w:r>
      <w:r w:rsidR="001F2FA4">
        <w:t>users</w:t>
      </w:r>
      <w:r w:rsidR="009C25FD">
        <w:t xml:space="preserve">.  </w:t>
      </w:r>
      <w:r w:rsidR="006410A1">
        <w:t>Sorenson requests a waiver of this rule</w:t>
      </w:r>
      <w:r w:rsidR="00955867">
        <w:t xml:space="preserve">, </w:t>
      </w:r>
      <w:r w:rsidR="00A82891">
        <w:t>asserting</w:t>
      </w:r>
      <w:r w:rsidR="00955867">
        <w:t xml:space="preserve"> that </w:t>
      </w:r>
      <w:r w:rsidR="00FE2602">
        <w:t>GlobalVRS’s</w:t>
      </w:r>
      <w:r w:rsidR="00FE2602">
        <w:t xml:space="preserve"> </w:t>
      </w:r>
      <w:r w:rsidR="001F2FA4">
        <w:t xml:space="preserve">users </w:t>
      </w:r>
      <w:r w:rsidR="00955867">
        <w:t>are already registered in the</w:t>
      </w:r>
      <w:r w:rsidR="002D02CE">
        <w:t xml:space="preserve"> User Database</w:t>
      </w:r>
      <w:r w:rsidR="00955867">
        <w:t>, their identities have already been verified, and they have already been determined to be eligible for VRS.</w:t>
      </w:r>
      <w:r>
        <w:rPr>
          <w:rStyle w:val="FootnoteReference"/>
        </w:rPr>
        <w:footnoteReference w:id="25"/>
      </w:r>
    </w:p>
    <w:p w:rsidR="00CD23C3" w:rsidP="00496173" w14:paraId="30359597" w14:textId="73C7E87D">
      <w:pPr>
        <w:pStyle w:val="ParaNum"/>
      </w:pPr>
      <w:r>
        <w:t>In its August Petition</w:t>
      </w:r>
      <w:r w:rsidR="00A16A5B">
        <w:t xml:space="preserve"> and </w:t>
      </w:r>
      <w:r w:rsidRPr="66643290" w:rsidR="00A16A5B">
        <w:rPr>
          <w:i/>
          <w:iCs/>
        </w:rPr>
        <w:t>Ex Parte</w:t>
      </w:r>
      <w:r>
        <w:t xml:space="preserve">, Sorenson </w:t>
      </w:r>
      <w:r w:rsidR="00A82891">
        <w:t>explains</w:t>
      </w:r>
      <w:r w:rsidR="00BF648F">
        <w:t xml:space="preserve"> that a separate queue for </w:t>
      </w:r>
      <w:r w:rsidR="0082434A">
        <w:t xml:space="preserve">Video-Text Service </w:t>
      </w:r>
      <w:r w:rsidR="00BF648F">
        <w:t xml:space="preserve">calls </w:t>
      </w:r>
      <w:r w:rsidR="00D15CD1">
        <w:t xml:space="preserve">may be necessary </w:t>
      </w:r>
      <w:r w:rsidR="00B31598">
        <w:t xml:space="preserve">so </w:t>
      </w:r>
      <w:r w:rsidR="00383CBF">
        <w:t xml:space="preserve">that </w:t>
      </w:r>
      <w:r w:rsidR="00B31598">
        <w:t>these</w:t>
      </w:r>
      <w:r w:rsidR="00B01D0E">
        <w:t xml:space="preserve"> calls </w:t>
      </w:r>
      <w:r w:rsidR="00B31598">
        <w:t xml:space="preserve">can be routed to CAs who are </w:t>
      </w:r>
      <w:r w:rsidR="00B80DCA">
        <w:t xml:space="preserve">trained and </w:t>
      </w:r>
      <w:r w:rsidR="00B31598">
        <w:t>experienced in providing this unique service</w:t>
      </w:r>
      <w:r w:rsidR="00BF648F">
        <w:t>.</w:t>
      </w:r>
      <w:r>
        <w:rPr>
          <w:rStyle w:val="FootnoteReference"/>
        </w:rPr>
        <w:footnoteReference w:id="26"/>
      </w:r>
      <w:r w:rsidR="00BF648F">
        <w:t xml:space="preserve">  </w:t>
      </w:r>
      <w:r w:rsidR="00B23092">
        <w:t xml:space="preserve">Otherwise, </w:t>
      </w:r>
      <w:r w:rsidR="00D87F94">
        <w:t xml:space="preserve">it would be “very inefficient” for Sorenson to train </w:t>
      </w:r>
      <w:r w:rsidR="00B61812">
        <w:t xml:space="preserve">and equip </w:t>
      </w:r>
      <w:r w:rsidR="00D87F94">
        <w:t xml:space="preserve">all of its </w:t>
      </w:r>
      <w:r w:rsidR="004A4364">
        <w:t xml:space="preserve">CAs to </w:t>
      </w:r>
      <w:r w:rsidR="00795755">
        <w:t>handle deafblind calls</w:t>
      </w:r>
      <w:r w:rsidR="00385029">
        <w:t xml:space="preserve"> because “[d]</w:t>
      </w:r>
      <w:r w:rsidR="00385029">
        <w:t>eaf</w:t>
      </w:r>
      <w:r w:rsidR="00385029">
        <w:t>[b]</w:t>
      </w:r>
      <w:r w:rsidR="00385029">
        <w:t>lind</w:t>
      </w:r>
      <w:r w:rsidR="00385029">
        <w:t xml:space="preserve"> minutes will make up a fraction of a percent of Sorenson’s overall VRS minutes</w:t>
      </w:r>
      <w:r w:rsidR="00E619D3">
        <w:t>.</w:t>
      </w:r>
      <w:r w:rsidR="00385029">
        <w:t>”</w:t>
      </w:r>
      <w:r>
        <w:rPr>
          <w:rStyle w:val="FootnoteReference"/>
        </w:rPr>
        <w:footnoteReference w:id="27"/>
      </w:r>
      <w:r w:rsidR="00EB1C72">
        <w:t xml:space="preserve">  </w:t>
      </w:r>
      <w:r w:rsidR="006F397B">
        <w:t xml:space="preserve">In addition, </w:t>
      </w:r>
      <w:r w:rsidR="00B2641E">
        <w:t xml:space="preserve">Sorenson states </w:t>
      </w:r>
      <w:r w:rsidR="003D0B00">
        <w:t xml:space="preserve">that </w:t>
      </w:r>
      <w:r w:rsidR="003F191C">
        <w:t xml:space="preserve">a separate queue for deafblind VRS users could potentially provide a much better experience for </w:t>
      </w:r>
      <w:r w:rsidR="00B2641E">
        <w:t>deafblind</w:t>
      </w:r>
      <w:r w:rsidR="003F191C">
        <w:t xml:space="preserve"> users.</w:t>
      </w:r>
      <w:r>
        <w:rPr>
          <w:rStyle w:val="FootnoteReference"/>
        </w:rPr>
        <w:footnoteReference w:id="28"/>
      </w:r>
      <w:r w:rsidR="003F191C">
        <w:t xml:space="preserve">  </w:t>
      </w:r>
      <w:r w:rsidR="00EB1C72">
        <w:t>Consequently, Sorenson</w:t>
      </w:r>
      <w:r>
        <w:t xml:space="preserve"> </w:t>
      </w:r>
      <w:r w:rsidR="00EB1C72">
        <w:t>requests</w:t>
      </w:r>
      <w:r>
        <w:t xml:space="preserve"> </w:t>
      </w:r>
      <w:r w:rsidR="00BF648F">
        <w:t>a waiver of the first</w:t>
      </w:r>
      <w:r w:rsidR="001D557B">
        <w:t>-</w:t>
      </w:r>
      <w:r w:rsidR="00BF648F">
        <w:t>come, first</w:t>
      </w:r>
      <w:r w:rsidR="001D557B">
        <w:t>-</w:t>
      </w:r>
      <w:r w:rsidR="00BF648F">
        <w:t xml:space="preserve">served rule to permit routing </w:t>
      </w:r>
      <w:r w:rsidR="0082434A">
        <w:t xml:space="preserve">of Video-Text Service </w:t>
      </w:r>
      <w:r w:rsidR="00BF648F">
        <w:t xml:space="preserve">calls to the next available </w:t>
      </w:r>
      <w:r w:rsidR="00175B24">
        <w:t>CA</w:t>
      </w:r>
      <w:r w:rsidR="00BF648F">
        <w:t xml:space="preserve"> who is specially trained in</w:t>
      </w:r>
      <w:r w:rsidR="00176822">
        <w:t xml:space="preserve"> both</w:t>
      </w:r>
      <w:r w:rsidR="00BF648F">
        <w:t xml:space="preserve"> interpreting </w:t>
      </w:r>
      <w:r w:rsidR="0064259B">
        <w:t>from ASL to English and transcribing from voice to text</w:t>
      </w:r>
      <w:r w:rsidR="00BF648F">
        <w:t>.</w:t>
      </w:r>
      <w:r>
        <w:rPr>
          <w:rStyle w:val="FootnoteReference"/>
        </w:rPr>
        <w:footnoteReference w:id="29"/>
      </w:r>
    </w:p>
    <w:p w:rsidR="00DA1503" w:rsidP="00496173" w14:paraId="095DE607" w14:textId="0B340151">
      <w:pPr>
        <w:pStyle w:val="ParaNum"/>
      </w:pPr>
      <w:r>
        <w:t>Sorenson</w:t>
      </w:r>
      <w:r w:rsidR="006F03B4">
        <w:t xml:space="preserve"> further</w:t>
      </w:r>
      <w:r>
        <w:t xml:space="preserve"> explains that it expects a period of adjustment while </w:t>
      </w:r>
      <w:r w:rsidR="00254284">
        <w:t>developing</w:t>
      </w:r>
      <w:r w:rsidR="00156DF7">
        <w:t xml:space="preserve"> its </w:t>
      </w:r>
      <w:r w:rsidR="002A2279">
        <w:t xml:space="preserve">version of Video-Text Service </w:t>
      </w:r>
      <w:r w:rsidR="00254284">
        <w:t xml:space="preserve">and </w:t>
      </w:r>
      <w:r>
        <w:t>onboard</w:t>
      </w:r>
      <w:r w:rsidR="00254284">
        <w:t>ing</w:t>
      </w:r>
      <w:r w:rsidR="00A14945">
        <w:t>, training,</w:t>
      </w:r>
      <w:r>
        <w:t xml:space="preserve"> and equip</w:t>
      </w:r>
      <w:r w:rsidR="00254284">
        <w:t>ping</w:t>
      </w:r>
      <w:r>
        <w:t xml:space="preserve"> CAs </w:t>
      </w:r>
      <w:r w:rsidR="004D40B1">
        <w:t xml:space="preserve">to </w:t>
      </w:r>
      <w:r w:rsidR="00A14945">
        <w:t xml:space="preserve">provide </w:t>
      </w:r>
      <w:r w:rsidR="002A2279">
        <w:t>the</w:t>
      </w:r>
      <w:r w:rsidR="00A14945">
        <w:t xml:space="preserve"> service</w:t>
      </w:r>
      <w:r w:rsidR="00254284">
        <w:t>.</w:t>
      </w:r>
      <w:r>
        <w:rPr>
          <w:rStyle w:val="FootnoteReference"/>
        </w:rPr>
        <w:footnoteReference w:id="30"/>
      </w:r>
      <w:r w:rsidR="00254284">
        <w:t xml:space="preserve">  </w:t>
      </w:r>
      <w:r w:rsidR="00F64DC9">
        <w:t xml:space="preserve">Sorenson states it is moving as quickly as possible and expects to </w:t>
      </w:r>
      <w:r w:rsidR="00ED3712">
        <w:t xml:space="preserve">comply with </w:t>
      </w:r>
      <w:r w:rsidR="003F5517">
        <w:t>the “speed of answer”</w:t>
      </w:r>
      <w:r w:rsidR="00ED3712">
        <w:t xml:space="preserve"> rule requiring </w:t>
      </w:r>
      <w:r w:rsidR="003F5517">
        <w:t xml:space="preserve">it to </w:t>
      </w:r>
      <w:r w:rsidR="00F64DC9">
        <w:t xml:space="preserve">answer </w:t>
      </w:r>
      <w:r w:rsidR="00970658">
        <w:t>at least 80 percent of all</w:t>
      </w:r>
      <w:r w:rsidR="00F64DC9">
        <w:t xml:space="preserve"> calls </w:t>
      </w:r>
      <w:r w:rsidR="00970658">
        <w:t xml:space="preserve">within 120 </w:t>
      </w:r>
      <w:r w:rsidR="00463BD3">
        <w:t>seconds, as measured on a monthly basis.</w:t>
      </w:r>
      <w:r>
        <w:rPr>
          <w:rStyle w:val="FootnoteReference"/>
        </w:rPr>
        <w:footnoteReference w:id="31"/>
      </w:r>
      <w:r w:rsidR="00463BD3">
        <w:t xml:space="preserve">  </w:t>
      </w:r>
      <w:r w:rsidR="00F64238">
        <w:t>Yet</w:t>
      </w:r>
      <w:r w:rsidR="003819DA">
        <w:t>, Sorenson</w:t>
      </w:r>
      <w:r w:rsidR="006767C5">
        <w:t xml:space="preserve"> </w:t>
      </w:r>
      <w:r w:rsidR="00F64238">
        <w:t xml:space="preserve">also </w:t>
      </w:r>
      <w:r w:rsidR="006767C5">
        <w:t xml:space="preserve">recognizes that it is in the early stages of developing </w:t>
      </w:r>
      <w:r w:rsidR="00642B9F">
        <w:t xml:space="preserve">the </w:t>
      </w:r>
      <w:r w:rsidR="003819DA">
        <w:t>service and that the transfer of users is on a short timeframe.</w:t>
      </w:r>
      <w:r>
        <w:rPr>
          <w:rStyle w:val="FootnoteReference"/>
        </w:rPr>
        <w:footnoteReference w:id="32"/>
      </w:r>
      <w:r w:rsidR="003819DA">
        <w:t xml:space="preserve">  </w:t>
      </w:r>
      <w:r w:rsidR="00662D6D">
        <w:t xml:space="preserve">Under these circumstances, </w:t>
      </w:r>
      <w:r w:rsidR="00F42FBA">
        <w:t xml:space="preserve">if it </w:t>
      </w:r>
      <w:r w:rsidR="007137F2">
        <w:t xml:space="preserve">determines to implement a separate queue for deafblind users, </w:t>
      </w:r>
      <w:r w:rsidR="00463BD3">
        <w:t xml:space="preserve">Sorenson requests a </w:t>
      </w:r>
      <w:r w:rsidR="009428F4">
        <w:t>temporary</w:t>
      </w:r>
      <w:r w:rsidR="00463BD3">
        <w:t xml:space="preserve"> </w:t>
      </w:r>
      <w:r w:rsidR="003F5517">
        <w:t xml:space="preserve">waiver of the speed of answer rule for </w:t>
      </w:r>
      <w:r w:rsidR="007137F2">
        <w:t xml:space="preserve">the </w:t>
      </w:r>
      <w:r w:rsidR="003F5517">
        <w:t>deafblind users</w:t>
      </w:r>
      <w:r w:rsidR="00AB0CE0">
        <w:t>’</w:t>
      </w:r>
      <w:r w:rsidR="009428F4">
        <w:t xml:space="preserve"> </w:t>
      </w:r>
      <w:r w:rsidR="007137F2">
        <w:t>queue</w:t>
      </w:r>
      <w:r w:rsidR="009428F4">
        <w:t xml:space="preserve"> for a period of </w:t>
      </w:r>
      <w:r w:rsidR="008B699E">
        <w:t>four months</w:t>
      </w:r>
      <w:r w:rsidR="009428F4">
        <w:t xml:space="preserve"> after the transfer of </w:t>
      </w:r>
      <w:r w:rsidR="009428F4">
        <w:t>GlobalVRS’s</w:t>
      </w:r>
      <w:r w:rsidR="009428F4">
        <w:t xml:space="preserve"> deafblind users to Sorenson.</w:t>
      </w:r>
      <w:r>
        <w:rPr>
          <w:rStyle w:val="FootnoteReference"/>
        </w:rPr>
        <w:footnoteReference w:id="33"/>
      </w:r>
    </w:p>
    <w:p w:rsidR="005C7013" w:rsidP="00513077" w14:paraId="508A7C37" w14:textId="4FBF04DE">
      <w:pPr>
        <w:pStyle w:val="Heading1"/>
      </w:pPr>
      <w:r>
        <w:t>discussion</w:t>
      </w:r>
    </w:p>
    <w:p w:rsidR="00056103" w:rsidRPr="00056103" w:rsidP="00513077" w14:paraId="2FF1948A" w14:textId="77777777">
      <w:pPr>
        <w:pStyle w:val="ParaNum"/>
        <w:rPr>
          <w:szCs w:val="22"/>
        </w:rPr>
      </w:pPr>
      <w:r w:rsidRPr="66643290">
        <w:rPr>
          <w:i/>
        </w:rPr>
        <w:t>Waiver Standard.</w:t>
      </w:r>
      <w:r w:rsidRPr="66643290">
        <w:t xml:space="preserve">  A </w:t>
      </w:r>
      <w:r w:rsidRPr="00056103">
        <w:t>Commission</w:t>
      </w:r>
      <w:r w:rsidRPr="66643290">
        <w:t xml:space="preserve"> rule may be waived for “good cause shown.”</w:t>
      </w:r>
      <w:r>
        <w:rPr>
          <w:rStyle w:val="FootnoteReference"/>
          <w:sz w:val="22"/>
          <w:szCs w:val="22"/>
        </w:rPr>
        <w:footnoteReference w:id="34"/>
      </w:r>
      <w:r w:rsidRPr="66643290">
        <w:t xml:space="preserve">  In particular, a waiver is appropriate where the particular facts make strict compliance inconsistent with the public interest.</w:t>
      </w:r>
      <w:r>
        <w:rPr>
          <w:rStyle w:val="FootnoteReference"/>
          <w:sz w:val="22"/>
          <w:szCs w:val="22"/>
        </w:rPr>
        <w:footnoteReference w:id="35"/>
      </w:r>
      <w:r w:rsidRPr="66643290">
        <w:t xml:space="preserve">  In addition, we may take into account considerations of hardship, equity, or more effective implementation of overall policy on an individual basis.</w:t>
      </w:r>
      <w:r>
        <w:rPr>
          <w:rStyle w:val="FootnoteReference"/>
          <w:sz w:val="22"/>
          <w:szCs w:val="22"/>
        </w:rPr>
        <w:footnoteReference w:id="36"/>
      </w:r>
      <w:r w:rsidRPr="66643290">
        <w:t xml:space="preserve">  Good cause for a waiver may be found if special circumstances warrant a deviation from the general rule and such deviation will serve the public interest.</w:t>
      </w:r>
      <w:r>
        <w:rPr>
          <w:rStyle w:val="FootnoteReference"/>
          <w:sz w:val="22"/>
          <w:szCs w:val="22"/>
        </w:rPr>
        <w:footnoteReference w:id="37"/>
      </w:r>
      <w:r w:rsidRPr="00056103">
        <w:rPr>
          <w:szCs w:val="22"/>
        </w:rPr>
        <w:t xml:space="preserve"> </w:t>
      </w:r>
    </w:p>
    <w:p w:rsidR="00795D97" w:rsidP="006D4830" w14:paraId="31440B57" w14:textId="4AA76213">
      <w:pPr>
        <w:pStyle w:val="ParaNum"/>
      </w:pPr>
      <w:r w:rsidRPr="00CA707D">
        <w:rPr>
          <w:i/>
          <w:iCs/>
        </w:rPr>
        <w:t xml:space="preserve">Waiver of </w:t>
      </w:r>
      <w:r w:rsidRPr="00CA707D" w:rsidR="002563A0">
        <w:rPr>
          <w:i/>
          <w:iCs/>
        </w:rPr>
        <w:t xml:space="preserve">Porting </w:t>
      </w:r>
      <w:r w:rsidRPr="00CA707D" w:rsidR="00AC783C">
        <w:rPr>
          <w:i/>
          <w:iCs/>
        </w:rPr>
        <w:t>Notice</w:t>
      </w:r>
      <w:r w:rsidR="00AC783C">
        <w:t xml:space="preserve">.  </w:t>
      </w:r>
      <w:r w:rsidR="0070528A">
        <w:t xml:space="preserve">We find good cause to </w:t>
      </w:r>
      <w:r w:rsidR="00434BBB">
        <w:t>grant limited</w:t>
      </w:r>
      <w:r w:rsidR="0070528A">
        <w:t xml:space="preserve"> waive</w:t>
      </w:r>
      <w:r w:rsidR="00434BBB">
        <w:t>r of</w:t>
      </w:r>
      <w:r w:rsidR="0070528A">
        <w:t xml:space="preserve"> </w:t>
      </w:r>
      <w:bookmarkStart w:id="2" w:name="OLE_LINK21"/>
      <w:r w:rsidR="0070528A">
        <w:t>section</w:t>
      </w:r>
      <w:r w:rsidR="00B256BC">
        <w:t xml:space="preserve"> </w:t>
      </w:r>
      <w:r w:rsidR="000B270F">
        <w:t xml:space="preserve"> </w:t>
      </w:r>
      <w:r w:rsidR="00320D45">
        <w:t xml:space="preserve">64.631(f)(1) </w:t>
      </w:r>
      <w:bookmarkEnd w:id="2"/>
      <w:r w:rsidR="000F3BE3">
        <w:t>of the Commission’s rules</w:t>
      </w:r>
      <w:r w:rsidR="00BF3D16">
        <w:t>, which</w:t>
      </w:r>
      <w:r w:rsidR="000F3BE3">
        <w:t xml:space="preserve"> </w:t>
      </w:r>
      <w:r w:rsidRPr="00CA3F1E" w:rsidR="00BF3D16">
        <w:t>requir</w:t>
      </w:r>
      <w:r w:rsidR="00BF3D16">
        <w:t>es</w:t>
      </w:r>
      <w:r w:rsidRPr="00CA3F1E" w:rsidR="00BF3D16">
        <w:t xml:space="preserve"> </w:t>
      </w:r>
      <w:r w:rsidR="00423AAC">
        <w:t xml:space="preserve">Sorenson to </w:t>
      </w:r>
      <w:r w:rsidR="00AE0BD9">
        <w:t xml:space="preserve">provide 30 days’ notice to </w:t>
      </w:r>
      <w:r w:rsidR="001F64DE">
        <w:t>GlobalVRS</w:t>
      </w:r>
      <w:r w:rsidR="00FC7E8A">
        <w:t>’s</w:t>
      </w:r>
      <w:r w:rsidR="00FC7E8A">
        <w:t xml:space="preserve"> </w:t>
      </w:r>
      <w:r w:rsidR="00C04B95">
        <w:t xml:space="preserve">registered </w:t>
      </w:r>
      <w:r w:rsidR="00833148">
        <w:t xml:space="preserve">users </w:t>
      </w:r>
      <w:r w:rsidR="00A05555">
        <w:t>before acquiring them from GlobalVRS through a sale or transfer</w:t>
      </w:r>
      <w:r w:rsidR="005E0DFC">
        <w:t>.</w:t>
      </w:r>
      <w:r w:rsidR="005E0DFC">
        <w:t xml:space="preserve">  </w:t>
      </w:r>
      <w:r w:rsidRPr="00BD5C1E" w:rsidR="00CC464B">
        <w:t xml:space="preserve">Sorenson and GlobalVRS </w:t>
      </w:r>
      <w:r w:rsidRPr="005D2391" w:rsidR="00F7185B">
        <w:t>are</w:t>
      </w:r>
      <w:r w:rsidRPr="005D2391" w:rsidR="00F4638A">
        <w:t xml:space="preserve"> currently negotiating</w:t>
      </w:r>
      <w:r w:rsidRPr="00BD5C1E" w:rsidR="00CC464B">
        <w:t xml:space="preserve"> </w:t>
      </w:r>
      <w:r w:rsidRPr="00C26529" w:rsidR="00F7185B">
        <w:t xml:space="preserve">an agreement for the transfer of </w:t>
      </w:r>
      <w:r w:rsidR="00A36FEE">
        <w:t>GlobalVRS’s</w:t>
      </w:r>
      <w:r w:rsidR="00A36FEE">
        <w:t xml:space="preserve"> </w:t>
      </w:r>
      <w:r w:rsidR="00334B8B">
        <w:t>remaining</w:t>
      </w:r>
      <w:r w:rsidR="00027282">
        <w:t xml:space="preserve"> registered</w:t>
      </w:r>
      <w:r w:rsidR="00334B8B">
        <w:t xml:space="preserve"> users,</w:t>
      </w:r>
      <w:r w:rsidRPr="00C26529" w:rsidR="00F7185B">
        <w:t xml:space="preserve"> from GlobalVRS to Sorenson.</w:t>
      </w:r>
      <w:r>
        <w:rPr>
          <w:rStyle w:val="FootnoteReference"/>
        </w:rPr>
        <w:footnoteReference w:id="38"/>
      </w:r>
      <w:r w:rsidRPr="00C26529" w:rsidR="00F7185B">
        <w:t xml:space="preserve">  </w:t>
      </w:r>
    </w:p>
    <w:p w:rsidR="006D4830" w:rsidP="006D4830" w14:paraId="25A7510A" w14:textId="0ADBEEFE">
      <w:pPr>
        <w:pStyle w:val="ParaNum"/>
      </w:pPr>
      <w:r>
        <w:t xml:space="preserve">We </w:t>
      </w:r>
      <w:r w:rsidR="00795D97">
        <w:t xml:space="preserve">agree with Sorenson </w:t>
      </w:r>
      <w:r>
        <w:t xml:space="preserve">that </w:t>
      </w:r>
      <w:r>
        <w:t>GlobalVRS</w:t>
      </w:r>
      <w:r w:rsidR="00056103">
        <w:t>’</w:t>
      </w:r>
      <w:r w:rsidR="00BF6144">
        <w:t>s</w:t>
      </w:r>
      <w:r w:rsidR="00B82436">
        <w:t xml:space="preserve"> </w:t>
      </w:r>
      <w:r>
        <w:t>notice</w:t>
      </w:r>
      <w:r w:rsidR="00056103">
        <w:t>s</w:t>
      </w:r>
      <w:r>
        <w:t xml:space="preserve"> to its </w:t>
      </w:r>
      <w:r w:rsidR="00F4468B">
        <w:t xml:space="preserve">users </w:t>
      </w:r>
      <w:r>
        <w:t xml:space="preserve">of </w:t>
      </w:r>
      <w:r w:rsidR="00470637">
        <w:t xml:space="preserve">its plans to </w:t>
      </w:r>
      <w:r w:rsidR="00857B8E">
        <w:t xml:space="preserve">terminate </w:t>
      </w:r>
      <w:r w:rsidR="00470637">
        <w:t xml:space="preserve">the </w:t>
      </w:r>
      <w:r w:rsidR="00857B8E">
        <w:t xml:space="preserve">provision of </w:t>
      </w:r>
      <w:r w:rsidR="00470637">
        <w:t>VRS</w:t>
      </w:r>
      <w:r>
        <w:rPr>
          <w:rStyle w:val="FootnoteReference"/>
        </w:rPr>
        <w:footnoteReference w:id="39"/>
      </w:r>
      <w:r w:rsidR="00470637">
        <w:t xml:space="preserve"> </w:t>
      </w:r>
      <w:r w:rsidRPr="0048675A" w:rsidR="00470637">
        <w:t xml:space="preserve">and </w:t>
      </w:r>
      <w:r w:rsidR="00857B8E">
        <w:t xml:space="preserve">to </w:t>
      </w:r>
      <w:r w:rsidRPr="0048675A">
        <w:t xml:space="preserve">transfer </w:t>
      </w:r>
      <w:r w:rsidR="00857B8E">
        <w:t xml:space="preserve">its </w:t>
      </w:r>
      <w:r w:rsidRPr="0048675A" w:rsidR="00356B9E">
        <w:t xml:space="preserve">remaining </w:t>
      </w:r>
      <w:r w:rsidRPr="0048675A">
        <w:t xml:space="preserve">VRS </w:t>
      </w:r>
      <w:r w:rsidRPr="0048675A" w:rsidR="00026C20">
        <w:t xml:space="preserve">users </w:t>
      </w:r>
      <w:r w:rsidRPr="0048675A">
        <w:t>to Sorenson</w:t>
      </w:r>
      <w:r>
        <w:rPr>
          <w:rStyle w:val="FootnoteReference"/>
        </w:rPr>
        <w:footnoteReference w:id="40"/>
      </w:r>
      <w:r w:rsidR="00470637">
        <w:t xml:space="preserve"> </w:t>
      </w:r>
      <w:r w:rsidR="00857B8E">
        <w:t xml:space="preserve">have already </w:t>
      </w:r>
      <w:r w:rsidR="00CF577C">
        <w:t xml:space="preserve">provided </w:t>
      </w:r>
      <w:r w:rsidR="00857B8E">
        <w:t xml:space="preserve">users with </w:t>
      </w:r>
      <w:r w:rsidR="00ED2B9D">
        <w:t>key</w:t>
      </w:r>
      <w:r w:rsidR="00E33E55">
        <w:t xml:space="preserve"> </w:t>
      </w:r>
      <w:r w:rsidR="00CF577C">
        <w:t xml:space="preserve">information required by </w:t>
      </w:r>
      <w:r w:rsidR="00E33E55">
        <w:t xml:space="preserve">the </w:t>
      </w:r>
      <w:r w:rsidR="00CF577C">
        <w:t xml:space="preserve">notice rule.  </w:t>
      </w:r>
      <w:r w:rsidR="00634D93">
        <w:t xml:space="preserve">As </w:t>
      </w:r>
      <w:r w:rsidR="00117AA9">
        <w:t xml:space="preserve">Sorenson explains, </w:t>
      </w:r>
      <w:r w:rsidR="00117AA9">
        <w:t>GlobalVRS’s</w:t>
      </w:r>
      <w:r w:rsidR="00117AA9">
        <w:t xml:space="preserve"> customers have received three notices of the upcoming change in service and have had </w:t>
      </w:r>
      <w:r w:rsidR="007B70CD">
        <w:t>several months to select a new provider.</w:t>
      </w:r>
      <w:r>
        <w:rPr>
          <w:rStyle w:val="FootnoteReference"/>
        </w:rPr>
        <w:footnoteReference w:id="41"/>
      </w:r>
      <w:r w:rsidR="007B70CD">
        <w:t xml:space="preserve">  </w:t>
      </w:r>
      <w:r w:rsidR="00144091">
        <w:t>It is likely that those users still receiving service from GlobalVRS</w:t>
      </w:r>
      <w:r w:rsidR="00F47F45">
        <w:t xml:space="preserve"> are remaining with GlobalVRS because the</w:t>
      </w:r>
      <w:r w:rsidR="001D14D4">
        <w:t>y need a</w:t>
      </w:r>
      <w:r w:rsidR="00F47F45">
        <w:t xml:space="preserve"> service </w:t>
      </w:r>
      <w:r w:rsidR="001D14D4">
        <w:t>(i.e., Video-Text Service</w:t>
      </w:r>
      <w:r w:rsidR="00BF2765">
        <w:t xml:space="preserve">) that </w:t>
      </w:r>
      <w:r w:rsidR="001D14D4">
        <w:t xml:space="preserve">is not yet available from </w:t>
      </w:r>
      <w:r w:rsidR="00BF2765">
        <w:t xml:space="preserve">Sorenson, the only other </w:t>
      </w:r>
      <w:r w:rsidR="001D14D4">
        <w:t>provider</w:t>
      </w:r>
      <w:r w:rsidR="00BF2765">
        <w:t xml:space="preserve"> preparing to offer it</w:t>
      </w:r>
      <w:r w:rsidR="00F47F45">
        <w:t>.</w:t>
      </w:r>
      <w:r w:rsidR="00144091">
        <w:t xml:space="preserve"> </w:t>
      </w:r>
      <w:r w:rsidR="00BF2765">
        <w:t xml:space="preserve"> </w:t>
      </w:r>
      <w:r w:rsidR="00E33E55">
        <w:t xml:space="preserve">We </w:t>
      </w:r>
      <w:r w:rsidR="00D26031">
        <w:t xml:space="preserve">also agree that </w:t>
      </w:r>
      <w:r w:rsidR="00ED2B9D">
        <w:t>requiring</w:t>
      </w:r>
      <w:r w:rsidRPr="007155CB" w:rsidR="00E33E55">
        <w:t xml:space="preserve"> another</w:t>
      </w:r>
      <w:r w:rsidR="001A0F51">
        <w:t>, more detailed</w:t>
      </w:r>
      <w:r w:rsidRPr="007155CB" w:rsidR="00E33E55">
        <w:t xml:space="preserve"> 30 days’ notice </w:t>
      </w:r>
      <w:r w:rsidR="001A0F51">
        <w:t xml:space="preserve">before a transfer agreement is implemented </w:t>
      </w:r>
      <w:r w:rsidRPr="007155CB" w:rsidR="00E33E55">
        <w:t xml:space="preserve">could </w:t>
      </w:r>
      <w:r w:rsidR="00C8240B">
        <w:t xml:space="preserve">delay or interrupt </w:t>
      </w:r>
      <w:r w:rsidR="000774DA">
        <w:t xml:space="preserve">the provision of </w:t>
      </w:r>
      <w:r w:rsidRPr="007155CB" w:rsidR="00E33E55">
        <w:t xml:space="preserve">service </w:t>
      </w:r>
      <w:r w:rsidR="000774DA">
        <w:t xml:space="preserve">to </w:t>
      </w:r>
      <w:r w:rsidRPr="007155CB" w:rsidR="00E33E55">
        <w:t>GlobalVRS’s</w:t>
      </w:r>
      <w:r w:rsidRPr="007155CB" w:rsidR="00E33E55">
        <w:t xml:space="preserve"> </w:t>
      </w:r>
      <w:r w:rsidR="000774DA">
        <w:t>users</w:t>
      </w:r>
      <w:r w:rsidR="00C8240B">
        <w:t xml:space="preserve">—and potentially </w:t>
      </w:r>
      <w:r w:rsidRPr="007155CB" w:rsidR="00E33E55">
        <w:t>deprive ASL users who are deafblind of a vital means of communication.</w:t>
      </w:r>
      <w:r>
        <w:rPr>
          <w:vertAlign w:val="superscript"/>
        </w:rPr>
        <w:footnoteReference w:id="42"/>
      </w:r>
      <w:r w:rsidRPr="007155CB" w:rsidR="00E33E55">
        <w:t xml:space="preserve">  </w:t>
      </w:r>
      <w:r w:rsidR="00F23835">
        <w:t xml:space="preserve">For these reasons, we find that </w:t>
      </w:r>
      <w:r w:rsidR="00A92A7B">
        <w:t>a partial waiver of the notice requirement is justified.</w:t>
      </w:r>
    </w:p>
    <w:p w:rsidR="0018003E" w:rsidRPr="00842B2B" w14:paraId="30B9DDB8" w14:textId="6CF7B648">
      <w:pPr>
        <w:pStyle w:val="ParaNum"/>
        <w:rPr>
          <w:rStyle w:val="FCCNumParaChar"/>
        </w:rPr>
      </w:pPr>
      <w:r>
        <w:t xml:space="preserve">However, </w:t>
      </w:r>
      <w:r>
        <w:t>GlobalVRS’s</w:t>
      </w:r>
      <w:r>
        <w:t xml:space="preserve"> users have not received </w:t>
      </w:r>
      <w:r w:rsidR="00470396">
        <w:t>certain</w:t>
      </w:r>
      <w:r w:rsidR="00B16B88">
        <w:t xml:space="preserve"> information </w:t>
      </w:r>
      <w:r w:rsidR="00470396">
        <w:t xml:space="preserve">required </w:t>
      </w:r>
      <w:r w:rsidR="00B16B88">
        <w:t xml:space="preserve">by </w:t>
      </w:r>
      <w:r w:rsidR="00470396">
        <w:t xml:space="preserve">section </w:t>
      </w:r>
      <w:r w:rsidRPr="00842B2B" w:rsidR="00470396">
        <w:rPr>
          <w:rStyle w:val="FCCNumParaChar"/>
        </w:rPr>
        <w:t>64.631(f), i.e.:</w:t>
      </w:r>
      <w:r w:rsidRPr="00842B2B" w:rsidR="00855CD9">
        <w:rPr>
          <w:rStyle w:val="FCCNumParaChar"/>
        </w:rPr>
        <w:t xml:space="preserve"> (</w:t>
      </w:r>
      <w:r w:rsidRPr="00842B2B" w:rsidR="00300B26">
        <w:rPr>
          <w:rStyle w:val="FCCNumParaChar"/>
        </w:rPr>
        <w:t>1)</w:t>
      </w:r>
      <w:r w:rsidRPr="00842B2B" w:rsidR="00D30441">
        <w:rPr>
          <w:rStyle w:val="FCCNumParaChar"/>
        </w:rPr>
        <w:t xml:space="preserve"> the date on which Sorenson will become the users</w:t>
      </w:r>
      <w:r w:rsidRPr="00842B2B" w:rsidR="00B16B88">
        <w:rPr>
          <w:rStyle w:val="FCCNumParaChar"/>
        </w:rPr>
        <w:t>’</w:t>
      </w:r>
      <w:r w:rsidRPr="00842B2B" w:rsidR="00D30441">
        <w:rPr>
          <w:rStyle w:val="FCCNumParaChar"/>
        </w:rPr>
        <w:t xml:space="preserve"> new default provider</w:t>
      </w:r>
      <w:r w:rsidRPr="00842B2B" w:rsidR="00300B26">
        <w:rPr>
          <w:rStyle w:val="FCCNumParaChar"/>
        </w:rPr>
        <w:t>;</w:t>
      </w:r>
      <w:r>
        <w:rPr>
          <w:rStyle w:val="FootnoteReference"/>
        </w:rPr>
        <w:footnoteReference w:id="43"/>
      </w:r>
      <w:r w:rsidRPr="00842B2B" w:rsidR="00300B26">
        <w:rPr>
          <w:rStyle w:val="FCCNumParaChar"/>
        </w:rPr>
        <w:t xml:space="preserve"> (2)</w:t>
      </w:r>
      <w:r w:rsidRPr="00842B2B" w:rsidR="001C36B1">
        <w:rPr>
          <w:rStyle w:val="FCCNumParaChar"/>
        </w:rPr>
        <w:t xml:space="preserve"> whether Sorenson will be responsible for handling any complaints filed, or otherwise raised,</w:t>
      </w:r>
      <w:r w:rsidRPr="00842B2B" w:rsidR="005E01A4">
        <w:rPr>
          <w:rStyle w:val="FCCNumParaChar"/>
        </w:rPr>
        <w:t xml:space="preserve"> against </w:t>
      </w:r>
      <w:r w:rsidRPr="00842B2B" w:rsidR="005E01A4">
        <w:rPr>
          <w:rStyle w:val="FCCNumParaChar"/>
        </w:rPr>
        <w:t>GlobalVRS</w:t>
      </w:r>
      <w:r w:rsidRPr="00842B2B" w:rsidR="001C36B1">
        <w:rPr>
          <w:rStyle w:val="FCCNumParaChar"/>
        </w:rPr>
        <w:t xml:space="preserve"> prior to or during the transfer</w:t>
      </w:r>
      <w:r w:rsidRPr="00842B2B" w:rsidR="00300B26">
        <w:rPr>
          <w:rStyle w:val="FCCNumParaChar"/>
        </w:rPr>
        <w:t>;</w:t>
      </w:r>
      <w:r>
        <w:rPr>
          <w:rStyle w:val="FootnoteReference"/>
        </w:rPr>
        <w:footnoteReference w:id="44"/>
      </w:r>
      <w:r w:rsidRPr="00842B2B" w:rsidR="00300B26">
        <w:rPr>
          <w:rStyle w:val="FCCNumParaChar"/>
        </w:rPr>
        <w:t xml:space="preserve"> and (3) Sorenson’s toll-free customer service telephone number</w:t>
      </w:r>
      <w:r w:rsidRPr="00842B2B" w:rsidR="005F1875">
        <w:rPr>
          <w:rStyle w:val="FCCNumParaChar"/>
        </w:rPr>
        <w:t>.</w:t>
      </w:r>
      <w:r>
        <w:rPr>
          <w:rStyle w:val="FootnoteReference"/>
        </w:rPr>
        <w:footnoteReference w:id="45"/>
      </w:r>
      <w:r w:rsidRPr="00842B2B" w:rsidR="005F1875">
        <w:rPr>
          <w:rStyle w:val="FootnoteReference"/>
        </w:rPr>
        <w:t xml:space="preserve"> </w:t>
      </w:r>
      <w:r w:rsidRPr="00842B2B" w:rsidR="005F1875">
        <w:rPr>
          <w:rStyle w:val="FCCNumParaChar"/>
        </w:rPr>
        <w:t xml:space="preserve"> </w:t>
      </w:r>
      <w:r w:rsidRPr="00842B2B" w:rsidR="00E50EF0">
        <w:rPr>
          <w:rStyle w:val="FCCNumParaChar"/>
        </w:rPr>
        <w:t xml:space="preserve">Sorenson </w:t>
      </w:r>
      <w:r w:rsidRPr="00842B2B" w:rsidR="003F7453">
        <w:rPr>
          <w:rStyle w:val="FCCNumParaChar"/>
        </w:rPr>
        <w:t>state</w:t>
      </w:r>
      <w:r w:rsidRPr="00842B2B" w:rsidR="007E622E">
        <w:rPr>
          <w:rStyle w:val="FCCNumParaChar"/>
        </w:rPr>
        <w:t xml:space="preserve">s that, once a transfer agreement is executed, </w:t>
      </w:r>
      <w:r w:rsidRPr="00842B2B" w:rsidR="00061B5B">
        <w:rPr>
          <w:rStyle w:val="FCCNumParaChar"/>
        </w:rPr>
        <w:t xml:space="preserve">it can provide a supplemental notice prior to the transfer which would </w:t>
      </w:r>
      <w:r w:rsidRPr="00842B2B" w:rsidR="00C14161">
        <w:rPr>
          <w:rStyle w:val="FCCNumParaChar"/>
        </w:rPr>
        <w:t xml:space="preserve">include </w:t>
      </w:r>
      <w:r w:rsidRPr="00842B2B" w:rsidR="000258BE">
        <w:rPr>
          <w:rStyle w:val="FCCNumParaChar"/>
        </w:rPr>
        <w:t>this information</w:t>
      </w:r>
      <w:r w:rsidRPr="00842B2B" w:rsidR="00833DA0">
        <w:rPr>
          <w:rStyle w:val="FCCNumParaChar"/>
        </w:rPr>
        <w:t>.</w:t>
      </w:r>
      <w:r>
        <w:rPr>
          <w:rStyle w:val="FootnoteReference"/>
        </w:rPr>
        <w:footnoteReference w:id="46"/>
      </w:r>
      <w:r w:rsidRPr="00842B2B" w:rsidR="003F7453">
        <w:rPr>
          <w:rStyle w:val="FootnoteReference"/>
        </w:rPr>
        <w:t xml:space="preserve"> </w:t>
      </w:r>
      <w:r w:rsidRPr="00842B2B" w:rsidR="003F7453">
        <w:rPr>
          <w:rStyle w:val="FCCNumParaChar"/>
        </w:rPr>
        <w:t xml:space="preserve"> </w:t>
      </w:r>
      <w:r w:rsidRPr="00842B2B" w:rsidR="00C82A86">
        <w:rPr>
          <w:rStyle w:val="FCCNumParaChar"/>
        </w:rPr>
        <w:t>Therefore, we condition</w:t>
      </w:r>
      <w:r w:rsidRPr="00842B2B" w:rsidR="00891FCE">
        <w:rPr>
          <w:rStyle w:val="FCCNumParaChar"/>
        </w:rPr>
        <w:t xml:space="preserve"> grant of</w:t>
      </w:r>
      <w:r w:rsidRPr="00842B2B" w:rsidR="00C82A86">
        <w:rPr>
          <w:rStyle w:val="FCCNumParaChar"/>
        </w:rPr>
        <w:t xml:space="preserve"> this limited waiver</w:t>
      </w:r>
      <w:r w:rsidRPr="00842B2B" w:rsidR="00891FCE">
        <w:rPr>
          <w:rStyle w:val="FCCNumParaChar"/>
        </w:rPr>
        <w:t xml:space="preserve"> on</w:t>
      </w:r>
      <w:r w:rsidRPr="00842B2B" w:rsidR="000028E7">
        <w:rPr>
          <w:rStyle w:val="FCCNumParaChar"/>
        </w:rPr>
        <w:t xml:space="preserve"> </w:t>
      </w:r>
      <w:r w:rsidRPr="00842B2B" w:rsidR="00664D4D">
        <w:rPr>
          <w:rStyle w:val="FCCNumParaChar"/>
        </w:rPr>
        <w:t>(</w:t>
      </w:r>
      <w:r w:rsidRPr="00842B2B" w:rsidR="00664D4D">
        <w:rPr>
          <w:rStyle w:val="FCCNumParaChar"/>
        </w:rPr>
        <w:t>i</w:t>
      </w:r>
      <w:r w:rsidRPr="00842B2B" w:rsidR="000028E7">
        <w:rPr>
          <w:rStyle w:val="FCCNumParaChar"/>
        </w:rPr>
        <w:t>) Sorenson filing with the Commission a copy of the transfer agreement between Sorenson and Global no later than five business days after the agreement is executed</w:t>
      </w:r>
      <w:r w:rsidRPr="00842B2B" w:rsidR="00D84292">
        <w:rPr>
          <w:rStyle w:val="FCCNumParaChar"/>
        </w:rPr>
        <w:t xml:space="preserve">; and </w:t>
      </w:r>
      <w:r w:rsidRPr="00842B2B" w:rsidR="00664D4D">
        <w:rPr>
          <w:rStyle w:val="FCCNumParaChar"/>
        </w:rPr>
        <w:t>(ii</w:t>
      </w:r>
      <w:r w:rsidRPr="00842B2B" w:rsidR="00D84292">
        <w:rPr>
          <w:rStyle w:val="FCCNumParaChar"/>
        </w:rPr>
        <w:t>)</w:t>
      </w:r>
      <w:r w:rsidRPr="00842B2B" w:rsidR="00891FCE">
        <w:rPr>
          <w:rStyle w:val="FCCNumParaChar"/>
        </w:rPr>
        <w:t xml:space="preserve"> Sorenson providing notice to </w:t>
      </w:r>
      <w:r w:rsidRPr="00842B2B" w:rsidR="00DB72B6">
        <w:rPr>
          <w:rStyle w:val="FCCNumParaChar"/>
        </w:rPr>
        <w:t>Global</w:t>
      </w:r>
      <w:r w:rsidRPr="00842B2B" w:rsidR="008C52B4">
        <w:rPr>
          <w:rStyle w:val="FCCNumParaChar"/>
        </w:rPr>
        <w:t>VRS</w:t>
      </w:r>
      <w:r w:rsidRPr="00842B2B" w:rsidR="00DB72B6">
        <w:rPr>
          <w:rStyle w:val="FCCNumParaChar"/>
        </w:rPr>
        <w:t>’s</w:t>
      </w:r>
      <w:r w:rsidRPr="00842B2B" w:rsidR="00DB72B6">
        <w:rPr>
          <w:rStyle w:val="FCCNumParaChar"/>
        </w:rPr>
        <w:t xml:space="preserve"> </w:t>
      </w:r>
      <w:r w:rsidRPr="00842B2B" w:rsidR="008C52B4">
        <w:rPr>
          <w:rStyle w:val="FCCNumParaChar"/>
        </w:rPr>
        <w:t>users</w:t>
      </w:r>
      <w:r w:rsidRPr="00842B2B" w:rsidR="00733FDB">
        <w:rPr>
          <w:rStyle w:val="FCCNumParaChar"/>
        </w:rPr>
        <w:t xml:space="preserve"> of th</w:t>
      </w:r>
      <w:r w:rsidRPr="00842B2B" w:rsidR="00E05AD7">
        <w:rPr>
          <w:rStyle w:val="FCCNumParaChar"/>
        </w:rPr>
        <w:t>e</w:t>
      </w:r>
      <w:r w:rsidRPr="00842B2B" w:rsidR="00733FDB">
        <w:rPr>
          <w:rStyle w:val="FCCNumParaChar"/>
        </w:rPr>
        <w:t xml:space="preserve"> information </w:t>
      </w:r>
      <w:r w:rsidRPr="00842B2B" w:rsidR="00E05AD7">
        <w:rPr>
          <w:rStyle w:val="FCCNumParaChar"/>
        </w:rPr>
        <w:t xml:space="preserve">referenced above </w:t>
      </w:r>
      <w:r w:rsidRPr="00842B2B" w:rsidR="00733FDB">
        <w:rPr>
          <w:rStyle w:val="FCCNumParaChar"/>
        </w:rPr>
        <w:t>as soon as practica</w:t>
      </w:r>
      <w:r w:rsidRPr="00842B2B" w:rsidR="00AA56D6">
        <w:rPr>
          <w:rStyle w:val="FCCNumParaChar"/>
        </w:rPr>
        <w:t>b</w:t>
      </w:r>
      <w:r w:rsidRPr="00842B2B" w:rsidR="00733FDB">
        <w:rPr>
          <w:rStyle w:val="FCCNumParaChar"/>
        </w:rPr>
        <w:t>l</w:t>
      </w:r>
      <w:r w:rsidRPr="00842B2B" w:rsidR="00AA56D6">
        <w:rPr>
          <w:rStyle w:val="FCCNumParaChar"/>
        </w:rPr>
        <w:t>e</w:t>
      </w:r>
      <w:r w:rsidRPr="00842B2B" w:rsidR="00733FDB">
        <w:rPr>
          <w:rStyle w:val="FCCNumParaChar"/>
        </w:rPr>
        <w:t xml:space="preserve"> after</w:t>
      </w:r>
      <w:r w:rsidRPr="00842B2B" w:rsidR="004D796C">
        <w:rPr>
          <w:rStyle w:val="FCCNumParaChar"/>
        </w:rPr>
        <w:t xml:space="preserve"> the agreement is executed</w:t>
      </w:r>
      <w:r w:rsidRPr="00842B2B" w:rsidR="00B27110">
        <w:rPr>
          <w:rStyle w:val="FCCNumParaChar"/>
        </w:rPr>
        <w:t>, and in any event, no later than the date of transfer</w:t>
      </w:r>
      <w:r w:rsidRPr="00842B2B" w:rsidR="00B70865">
        <w:rPr>
          <w:rStyle w:val="FCCNumParaChar"/>
        </w:rPr>
        <w:t>.</w:t>
      </w:r>
      <w:r w:rsidRPr="00842B2B" w:rsidR="00875D28">
        <w:rPr>
          <w:rStyle w:val="FCCNumParaChar"/>
        </w:rPr>
        <w:t xml:space="preserve">  </w:t>
      </w:r>
      <w:r w:rsidRPr="00842B2B" w:rsidR="0018510B">
        <w:rPr>
          <w:rStyle w:val="FCCNumParaChar"/>
        </w:rPr>
        <w:t>This</w:t>
      </w:r>
      <w:r w:rsidRPr="00842B2B" w:rsidR="00D86712">
        <w:rPr>
          <w:rStyle w:val="FCCNumParaChar"/>
        </w:rPr>
        <w:t xml:space="preserve"> notice shall </w:t>
      </w:r>
      <w:r w:rsidRPr="00842B2B" w:rsidR="0018510B">
        <w:rPr>
          <w:rStyle w:val="FCCNumParaChar"/>
        </w:rPr>
        <w:t xml:space="preserve">also </w:t>
      </w:r>
      <w:r w:rsidRPr="00842B2B" w:rsidR="00D86712">
        <w:rPr>
          <w:rStyle w:val="FCCNumParaChar"/>
        </w:rPr>
        <w:t>be provided as a pre-recorded video message in ASL.</w:t>
      </w:r>
      <w:r>
        <w:rPr>
          <w:rStyle w:val="FootnoteReference"/>
        </w:rPr>
        <w:footnoteReference w:id="47"/>
      </w:r>
    </w:p>
    <w:p w:rsidR="000F5FD2" w:rsidRPr="00E913FA" w:rsidP="00E466C4" w14:paraId="0560D077" w14:textId="00D54F45">
      <w:pPr>
        <w:pStyle w:val="ParaNum"/>
        <w:rPr>
          <w:i/>
          <w:iCs/>
        </w:rPr>
      </w:pPr>
      <w:r>
        <w:rPr>
          <w:i/>
          <w:iCs/>
        </w:rPr>
        <w:t xml:space="preserve">Waiver of </w:t>
      </w:r>
      <w:r w:rsidR="001928EC">
        <w:rPr>
          <w:i/>
          <w:iCs/>
        </w:rPr>
        <w:t xml:space="preserve">User </w:t>
      </w:r>
      <w:r>
        <w:rPr>
          <w:i/>
          <w:iCs/>
        </w:rPr>
        <w:t>Re</w:t>
      </w:r>
      <w:r w:rsidR="001928EC">
        <w:rPr>
          <w:i/>
          <w:iCs/>
        </w:rPr>
        <w:t>-Re</w:t>
      </w:r>
      <w:r>
        <w:rPr>
          <w:i/>
          <w:iCs/>
        </w:rPr>
        <w:t>gistration and Verification</w:t>
      </w:r>
      <w:r w:rsidR="001928EC">
        <w:rPr>
          <w:i/>
          <w:iCs/>
        </w:rPr>
        <w:t xml:space="preserve">.  </w:t>
      </w:r>
      <w:r w:rsidR="00105B6C">
        <w:t>We also find</w:t>
      </w:r>
      <w:r w:rsidR="00476D85">
        <w:t xml:space="preserve"> good cause to grant a limited waiver of section</w:t>
      </w:r>
      <w:r w:rsidR="001D4EFA">
        <w:t>s 64</w:t>
      </w:r>
      <w:r w:rsidR="003F2679">
        <w:t>.</w:t>
      </w:r>
      <w:r w:rsidR="001D4EFA">
        <w:t>611</w:t>
      </w:r>
      <w:r w:rsidR="003F2679">
        <w:t xml:space="preserve">(a)(4) </w:t>
      </w:r>
      <w:r w:rsidR="008B749B">
        <w:t>and 64.615(a)(6)(</w:t>
      </w:r>
      <w:r w:rsidR="008B749B">
        <w:t>i</w:t>
      </w:r>
      <w:r w:rsidR="008B749B">
        <w:t xml:space="preserve">)-(vi) </w:t>
      </w:r>
      <w:r w:rsidR="00476D85">
        <w:t>of the Commission’s rules</w:t>
      </w:r>
      <w:r w:rsidR="00083A14">
        <w:t>.  Under these rules, w</w:t>
      </w:r>
      <w:r w:rsidR="001C7C26">
        <w:t xml:space="preserve">hen a registered VRS user changes its default provider, </w:t>
      </w:r>
      <w:r w:rsidR="002D1CF7">
        <w:t xml:space="preserve">the new default </w:t>
      </w:r>
      <w:r w:rsidR="008F5976">
        <w:t xml:space="preserve">VRS provider </w:t>
      </w:r>
      <w:r w:rsidR="001C7C26">
        <w:t>must re</w:t>
      </w:r>
      <w:r w:rsidR="001D4EFA">
        <w:t>submit</w:t>
      </w:r>
      <w:r w:rsidR="008F5976">
        <w:t xml:space="preserve"> </w:t>
      </w:r>
      <w:r w:rsidR="002218E5">
        <w:t xml:space="preserve">the user’s information (such as name, address, date of birth, and the last four digits of the user’s social security number) to the </w:t>
      </w:r>
      <w:r w:rsidR="002D02CE">
        <w:t>User Database</w:t>
      </w:r>
      <w:r w:rsidR="00CD4BEC">
        <w:t xml:space="preserve"> </w:t>
      </w:r>
      <w:r w:rsidR="008F5976">
        <w:t>for</w:t>
      </w:r>
      <w:r w:rsidR="00CD4BEC">
        <w:t xml:space="preserve"> </w:t>
      </w:r>
      <w:r w:rsidR="000614EA">
        <w:t>re</w:t>
      </w:r>
      <w:r w:rsidR="00CD4BEC">
        <w:t>verifi</w:t>
      </w:r>
      <w:r w:rsidR="008F5976">
        <w:t>cation</w:t>
      </w:r>
      <w:r w:rsidR="00CD4BEC">
        <w:t xml:space="preserve"> </w:t>
      </w:r>
      <w:r w:rsidR="002218E5">
        <w:t xml:space="preserve">of the user’s identity </w:t>
      </w:r>
      <w:r w:rsidR="00476D85">
        <w:t xml:space="preserve">before initiating service to </w:t>
      </w:r>
      <w:r w:rsidR="002809B9">
        <w:t>the porting customer</w:t>
      </w:r>
      <w:r>
        <w:t>.</w:t>
      </w:r>
      <w:r>
        <w:rPr>
          <w:rStyle w:val="FootnoteReference"/>
        </w:rPr>
        <w:footnoteReference w:id="48"/>
      </w:r>
      <w:r>
        <w:t xml:space="preserve">    </w:t>
      </w:r>
    </w:p>
    <w:p w:rsidR="00F00D49" w:rsidRPr="00DB126F" w14:paraId="36E98950" w14:textId="2D450187">
      <w:pPr>
        <w:pStyle w:val="ParaNum"/>
        <w:rPr>
          <w:i/>
          <w:iCs/>
        </w:rPr>
      </w:pPr>
      <w:r>
        <w:t>I</w:t>
      </w:r>
      <w:r w:rsidR="000B23F8">
        <w:t>n the</w:t>
      </w:r>
      <w:r>
        <w:t xml:space="preserve"> unusual</w:t>
      </w:r>
      <w:r w:rsidR="000B23F8">
        <w:t xml:space="preserve"> circumstances</w:t>
      </w:r>
      <w:r>
        <w:t xml:space="preserve"> present here</w:t>
      </w:r>
      <w:r w:rsidR="000B23F8">
        <w:t xml:space="preserve">, </w:t>
      </w:r>
      <w:r w:rsidR="00051D0B">
        <w:t xml:space="preserve">requiring </w:t>
      </w:r>
      <w:r w:rsidR="000B23F8">
        <w:t xml:space="preserve">compliance with </w:t>
      </w:r>
      <w:r w:rsidR="003B034E">
        <w:t>re</w:t>
      </w:r>
      <w:r w:rsidR="00692D3C">
        <w:t xml:space="preserve">-registration and verification </w:t>
      </w:r>
      <w:r w:rsidR="00BD41DA">
        <w:t>requirements</w:t>
      </w:r>
      <w:r w:rsidR="00692D3C">
        <w:t xml:space="preserve"> during the transition period</w:t>
      </w:r>
      <w:r w:rsidR="000B23F8">
        <w:t xml:space="preserve"> could result in interruption of service to </w:t>
      </w:r>
      <w:r w:rsidR="00D90217">
        <w:t>the affected users</w:t>
      </w:r>
      <w:r w:rsidR="00692D3C">
        <w:t>.</w:t>
      </w:r>
      <w:r>
        <w:rPr>
          <w:rStyle w:val="FootnoteReference"/>
        </w:rPr>
        <w:footnoteReference w:id="49"/>
      </w:r>
      <w:r w:rsidR="00692D3C">
        <w:t xml:space="preserve">  </w:t>
      </w:r>
      <w:r w:rsidR="00394521">
        <w:t xml:space="preserve">As </w:t>
      </w:r>
      <w:r w:rsidRPr="00394521" w:rsidR="00394521">
        <w:t xml:space="preserve">Sorenson </w:t>
      </w:r>
      <w:r w:rsidR="00394521">
        <w:t>explains,</w:t>
      </w:r>
      <w:r w:rsidRPr="00394521" w:rsidR="00394521">
        <w:t xml:space="preserve"> </w:t>
      </w:r>
      <w:r w:rsidR="00394521">
        <w:t xml:space="preserve">VRS </w:t>
      </w:r>
      <w:r w:rsidRPr="00394521" w:rsidR="00394521">
        <w:t xml:space="preserve">users “routinely fail the URD Administrator’s identity verification” for a variety of reasons, and </w:t>
      </w:r>
      <w:r w:rsidR="00FA7681">
        <w:t xml:space="preserve">the provider must then submit </w:t>
      </w:r>
      <w:r w:rsidR="00D27434">
        <w:t>additional documentation to establish the user’s identity.</w:t>
      </w:r>
      <w:r>
        <w:rPr>
          <w:rStyle w:val="FootnoteReference"/>
        </w:rPr>
        <w:footnoteReference w:id="50"/>
      </w:r>
      <w:r w:rsidR="00D27434">
        <w:t xml:space="preserve">  </w:t>
      </w:r>
      <w:r w:rsidR="00A73095">
        <w:t>T</w:t>
      </w:r>
      <w:r w:rsidR="00FA4E19">
        <w:t xml:space="preserve">his can be a challenging </w:t>
      </w:r>
      <w:r w:rsidR="00935BD2">
        <w:t xml:space="preserve">and time-consuming </w:t>
      </w:r>
      <w:r w:rsidR="00FA4E19">
        <w:t xml:space="preserve">process, </w:t>
      </w:r>
      <w:r w:rsidR="00CE2A66">
        <w:t xml:space="preserve">as </w:t>
      </w:r>
      <w:r w:rsidRPr="00CE2A66" w:rsidR="00CE2A66">
        <w:t xml:space="preserve">it </w:t>
      </w:r>
      <w:r w:rsidR="00A73095">
        <w:t>involves</w:t>
      </w:r>
      <w:r w:rsidRPr="00CE2A66" w:rsidR="00CE2A66">
        <w:t xml:space="preserve"> individually contacting </w:t>
      </w:r>
      <w:r w:rsidR="00A73095">
        <w:t xml:space="preserve">each </w:t>
      </w:r>
      <w:r w:rsidRPr="00CE2A66" w:rsidR="00CE2A66">
        <w:t>customer and working with them to securely upload the</w:t>
      </w:r>
      <w:r w:rsidR="00A73095">
        <w:t>ir</w:t>
      </w:r>
      <w:r w:rsidRPr="00CE2A66" w:rsidR="00CE2A66">
        <w:t xml:space="preserve"> documentation to Sorenson, which must then submit that documentation for the URD Administrator’s review and approval.</w:t>
      </w:r>
      <w:r>
        <w:rPr>
          <w:rStyle w:val="FootnoteReference"/>
        </w:rPr>
        <w:footnoteReference w:id="51"/>
      </w:r>
      <w:r w:rsidRPr="00CE2A66" w:rsidR="00CE2A66">
        <w:t xml:space="preserve"> </w:t>
      </w:r>
      <w:r w:rsidR="00BB2294">
        <w:t xml:space="preserve"> It</w:t>
      </w:r>
      <w:r w:rsidR="00FA4E19">
        <w:t xml:space="preserve"> is likely to be</w:t>
      </w:r>
      <w:r w:rsidR="00F4692C">
        <w:t xml:space="preserve"> especially challenging for users who are deafblind.</w:t>
      </w:r>
      <w:r>
        <w:rPr>
          <w:rStyle w:val="FootnoteReference"/>
        </w:rPr>
        <w:footnoteReference w:id="52"/>
      </w:r>
      <w:r w:rsidR="00F4692C">
        <w:t xml:space="preserve">  </w:t>
      </w:r>
      <w:r w:rsidR="00AE548C">
        <w:t>Further, additional delays are possible if there are discrepancies in the information provided</w:t>
      </w:r>
      <w:r w:rsidR="00555950">
        <w:t>, or if the required documentation is not immediately available.</w:t>
      </w:r>
      <w:r>
        <w:rPr>
          <w:rStyle w:val="FootnoteReference"/>
        </w:rPr>
        <w:footnoteReference w:id="53"/>
      </w:r>
      <w:r w:rsidR="00555950">
        <w:t xml:space="preserve">  </w:t>
      </w:r>
      <w:r w:rsidRPr="00394521" w:rsidR="00394521">
        <w:t xml:space="preserve">  </w:t>
      </w:r>
    </w:p>
    <w:p w:rsidR="00905C22" w:rsidRPr="00905C22" w:rsidP="00905C22" w14:paraId="6ABBEA6D" w14:textId="3D40FEF3">
      <w:pPr>
        <w:pStyle w:val="ParaNum"/>
      </w:pPr>
      <w:r>
        <w:t>It is especially significant that</w:t>
      </w:r>
      <w:r w:rsidR="003656E9">
        <w:t xml:space="preserve">, unlike the </w:t>
      </w:r>
      <w:r w:rsidR="000D5C6C">
        <w:t>typical case w</w:t>
      </w:r>
      <w:r w:rsidR="00C44F7D">
        <w:t>he</w:t>
      </w:r>
      <w:r w:rsidR="000D5C6C">
        <w:t>re</w:t>
      </w:r>
      <w:r w:rsidR="00C44F7D">
        <w:t xml:space="preserve"> a user is porting from one </w:t>
      </w:r>
      <w:r w:rsidR="000D5C6C">
        <w:t xml:space="preserve">default </w:t>
      </w:r>
      <w:r w:rsidR="00C44F7D">
        <w:t xml:space="preserve">provider to another, the users involved here have no </w:t>
      </w:r>
      <w:r w:rsidR="00977637">
        <w:t xml:space="preserve">alternative to porting.  </w:t>
      </w:r>
      <w:r w:rsidR="00817E56">
        <w:t xml:space="preserve">As </w:t>
      </w:r>
      <w:r w:rsidR="0077517B">
        <w:t>GlobalVRS’s</w:t>
      </w:r>
      <w:r w:rsidR="0077517B">
        <w:t xml:space="preserve"> notices to its users make clear</w:t>
      </w:r>
      <w:r w:rsidR="00817E56">
        <w:t xml:space="preserve">, </w:t>
      </w:r>
      <w:r w:rsidR="00536105">
        <w:t xml:space="preserve">it </w:t>
      </w:r>
      <w:r w:rsidR="000C3CB1">
        <w:t>needs to terminate the provision of VRS as soon as possible</w:t>
      </w:r>
      <w:r w:rsidR="00536105">
        <w:t>, for economic reasons</w:t>
      </w:r>
      <w:r w:rsidR="000C3CB1">
        <w:t>.</w:t>
      </w:r>
      <w:r>
        <w:rPr>
          <w:rStyle w:val="FootnoteReference"/>
        </w:rPr>
        <w:footnoteReference w:id="54"/>
      </w:r>
      <w:r w:rsidR="000C3CB1">
        <w:t xml:space="preserve">  </w:t>
      </w:r>
      <w:r w:rsidR="00536105">
        <w:t>Having</w:t>
      </w:r>
      <w:r w:rsidR="00D35764">
        <w:t xml:space="preserve"> initially planned to terminate service </w:t>
      </w:r>
      <w:r w:rsidR="00536105">
        <w:t>June 30</w:t>
      </w:r>
      <w:r w:rsidR="00150EC1">
        <w:t xml:space="preserve">, </w:t>
      </w:r>
      <w:r w:rsidR="00536105">
        <w:t>GlobalVRS has</w:t>
      </w:r>
      <w:r w:rsidR="00D755E9">
        <w:t xml:space="preserve"> </w:t>
      </w:r>
      <w:r w:rsidR="00FB6C2E">
        <w:t>extended its termination date</w:t>
      </w:r>
      <w:r w:rsidR="00D755E9">
        <w:t xml:space="preserve"> </w:t>
      </w:r>
      <w:r w:rsidR="000C3CB1">
        <w:t>for a brief period</w:t>
      </w:r>
      <w:r w:rsidR="00FB6C2E">
        <w:t>, as an accommodation to its customers</w:t>
      </w:r>
      <w:r w:rsidR="007D47E9">
        <w:t xml:space="preserve"> who are deafblind</w:t>
      </w:r>
      <w:r w:rsidR="00FB6C2E">
        <w:t xml:space="preserve">, solely because no service </w:t>
      </w:r>
      <w:r w:rsidR="00A1139F">
        <w:t>al</w:t>
      </w:r>
      <w:r w:rsidR="00FB6C2E">
        <w:t xml:space="preserve">ternative </w:t>
      </w:r>
      <w:r w:rsidR="00A1139F">
        <w:t xml:space="preserve">for its Video-Text Service customers </w:t>
      </w:r>
      <w:r w:rsidR="00817E56">
        <w:t>was immediately</w:t>
      </w:r>
      <w:r w:rsidR="00A1139F">
        <w:t xml:space="preserve"> available.</w:t>
      </w:r>
      <w:r>
        <w:rPr>
          <w:rStyle w:val="FootnoteReference"/>
        </w:rPr>
        <w:footnoteReference w:id="55"/>
      </w:r>
      <w:r w:rsidR="00A1139F">
        <w:t xml:space="preserve"> </w:t>
      </w:r>
      <w:r w:rsidR="00536105">
        <w:t xml:space="preserve"> </w:t>
      </w:r>
      <w:r w:rsidR="004247C1">
        <w:t xml:space="preserve">Thus, </w:t>
      </w:r>
      <w:r w:rsidR="00B32224">
        <w:t xml:space="preserve">for </w:t>
      </w:r>
      <w:r w:rsidR="00745984">
        <w:t>any users who</w:t>
      </w:r>
      <w:r w:rsidR="00F27FC6">
        <w:t xml:space="preserve">se identities </w:t>
      </w:r>
      <w:r w:rsidR="00B32224">
        <w:t>cannot be</w:t>
      </w:r>
      <w:r w:rsidR="00F27FC6">
        <w:t xml:space="preserve"> reverified </w:t>
      </w:r>
      <w:r w:rsidR="0098615C">
        <w:t>quickly</w:t>
      </w:r>
      <w:r w:rsidR="00B32224">
        <w:t xml:space="preserve">, </w:t>
      </w:r>
      <w:r w:rsidR="00463470">
        <w:t xml:space="preserve">the </w:t>
      </w:r>
      <w:r w:rsidR="00E17340">
        <w:t xml:space="preserve">service </w:t>
      </w:r>
      <w:r w:rsidR="00463470">
        <w:t xml:space="preserve">they need </w:t>
      </w:r>
      <w:r w:rsidR="00E17340">
        <w:t>will no longer be available from their current provider</w:t>
      </w:r>
      <w:r w:rsidR="00BC5FAC">
        <w:t>.</w:t>
      </w:r>
      <w:r>
        <w:rPr>
          <w:rStyle w:val="FootnoteReference"/>
        </w:rPr>
        <w:footnoteReference w:id="56"/>
      </w:r>
      <w:r w:rsidR="009F6F1A">
        <w:t xml:space="preserve"> </w:t>
      </w:r>
      <w:r w:rsidR="0045349F">
        <w:t xml:space="preserve"> </w:t>
      </w:r>
      <w:r w:rsidR="004D297F">
        <w:t>Without</w:t>
      </w:r>
      <w:r w:rsidR="00CE2693">
        <w:t xml:space="preserve"> waivers</w:t>
      </w:r>
      <w:r w:rsidR="004D297F">
        <w:t xml:space="preserve"> of these </w:t>
      </w:r>
      <w:r w:rsidR="00C70350">
        <w:t xml:space="preserve">registration </w:t>
      </w:r>
      <w:r w:rsidR="004D297F">
        <w:t>rules</w:t>
      </w:r>
      <w:r w:rsidR="00CE2693">
        <w:t xml:space="preserve">, </w:t>
      </w:r>
      <w:r w:rsidR="00EA4B03">
        <w:t>GlobalVRS’s</w:t>
      </w:r>
      <w:r w:rsidR="00EA4B03">
        <w:t xml:space="preserve"> </w:t>
      </w:r>
      <w:r w:rsidR="00BF29A7">
        <w:t>remaining</w:t>
      </w:r>
      <w:r w:rsidR="00EA4B03">
        <w:t xml:space="preserve"> </w:t>
      </w:r>
      <w:r w:rsidR="00F4468B">
        <w:t xml:space="preserve">users </w:t>
      </w:r>
      <w:r w:rsidR="004D297F">
        <w:t>may suffer harm</w:t>
      </w:r>
      <w:r w:rsidR="00035316">
        <w:t>,</w:t>
      </w:r>
      <w:r w:rsidR="00EA4B03">
        <w:t xml:space="preserve"> </w:t>
      </w:r>
      <w:r w:rsidR="00FD7395">
        <w:t>face unnecessary hurdles</w:t>
      </w:r>
      <w:r w:rsidR="00665635">
        <w:t xml:space="preserve"> or delays</w:t>
      </w:r>
      <w:r w:rsidR="00035316">
        <w:t>,</w:t>
      </w:r>
      <w:r w:rsidR="00FD7395">
        <w:t xml:space="preserve"> and potentially </w:t>
      </w:r>
      <w:r w:rsidR="00EA4B03">
        <w:t>lose access to vital communication services during this transition</w:t>
      </w:r>
      <w:r w:rsidR="00FD7395">
        <w:t xml:space="preserve">.  </w:t>
      </w:r>
      <w:r w:rsidR="00A423F5">
        <w:t>Further,</w:t>
      </w:r>
      <w:r w:rsidRPr="00BE0FFC" w:rsidR="00BE0FFC">
        <w:t xml:space="preserve"> the identities of these users have been verified previously, when their registration data was submitted to the Database by GlobalVRS.  </w:t>
      </w:r>
      <w:r w:rsidR="00B811EE">
        <w:t xml:space="preserve">In these unusual circumstances, </w:t>
      </w:r>
      <w:r w:rsidRPr="001C6A02" w:rsidR="001C6A02">
        <w:t xml:space="preserve">to avoid inflicting such hardship and to maintain uninterrupted service to a small group of customers for whom an alternative service provider is not yet available, and for whom a service cutoff could have especially harmful effects, we find good cause to waive the requirement to reregister and reverify </w:t>
      </w:r>
      <w:r w:rsidRPr="001C6A02" w:rsidR="001C6A02">
        <w:t>GlobalVRS’s</w:t>
      </w:r>
      <w:r w:rsidRPr="001C6A02" w:rsidR="001C6A02">
        <w:t xml:space="preserve"> users</w:t>
      </w:r>
      <w:r w:rsidR="00782EEB">
        <w:t>.</w:t>
      </w:r>
      <w:r>
        <w:rPr>
          <w:rStyle w:val="FootnoteReference"/>
        </w:rPr>
        <w:footnoteReference w:id="57"/>
      </w:r>
      <w:r w:rsidRPr="00905C22">
        <w:t xml:space="preserve"> </w:t>
      </w:r>
    </w:p>
    <w:p w:rsidR="00AC0432" w:rsidRPr="00E913FA" w14:paraId="6E657E58" w14:textId="3DF9592C">
      <w:pPr>
        <w:pStyle w:val="ParaNum"/>
        <w:rPr>
          <w:i/>
          <w:iCs/>
        </w:rPr>
      </w:pPr>
      <w:r>
        <w:t xml:space="preserve">To implement this waiver, we direct the </w:t>
      </w:r>
      <w:r w:rsidR="00190FB6">
        <w:t>TRS Fund administrator to reclassify</w:t>
      </w:r>
      <w:r w:rsidR="00E8185E">
        <w:t xml:space="preserve"> all current registered users of GlobalVRS as </w:t>
      </w:r>
      <w:r w:rsidR="005C619B">
        <w:t>registered</w:t>
      </w:r>
      <w:r w:rsidR="00E8185E">
        <w:t xml:space="preserve"> users</w:t>
      </w:r>
      <w:r w:rsidR="005C619B">
        <w:t xml:space="preserve"> of Sorenson.  To the extent that any GlobalVRS users are involved in a </w:t>
      </w:r>
      <w:r w:rsidR="00226B90">
        <w:t xml:space="preserve">Database registration </w:t>
      </w:r>
      <w:r w:rsidR="005C619B">
        <w:t xml:space="preserve">appeal </w:t>
      </w:r>
      <w:r w:rsidR="00E61428">
        <w:t>process</w:t>
      </w:r>
      <w:r w:rsidR="00226B90">
        <w:t xml:space="preserve">, such appeal process shall </w:t>
      </w:r>
      <w:r w:rsidR="000C7359">
        <w:t>now be treated as an appeal relating to registration with Sorenson</w:t>
      </w:r>
      <w:r w:rsidR="00226B90">
        <w:t xml:space="preserve">. </w:t>
      </w:r>
      <w:r w:rsidR="004126CB">
        <w:t xml:space="preserve"> However, we emphasize</w:t>
      </w:r>
      <w:r w:rsidRPr="00905C22" w:rsidR="004126CB">
        <w:t xml:space="preserve"> that </w:t>
      </w:r>
      <w:r w:rsidR="004126CB">
        <w:t xml:space="preserve">these users, like </w:t>
      </w:r>
      <w:r w:rsidRPr="00905C22" w:rsidR="004126CB">
        <w:t>all VRS users</w:t>
      </w:r>
      <w:r w:rsidR="004126CB">
        <w:t>,</w:t>
      </w:r>
      <w:r w:rsidRPr="00905C22" w:rsidR="004126CB">
        <w:t xml:space="preserve"> are free to register with a different VRS provider at any time.</w:t>
      </w:r>
    </w:p>
    <w:p w:rsidR="00643504" w:rsidRPr="006300A0" w14:paraId="0A668537" w14:textId="50479606">
      <w:pPr>
        <w:pStyle w:val="FCCNumPara"/>
      </w:pPr>
      <w:r>
        <w:rPr>
          <w:i/>
          <w:iCs/>
        </w:rPr>
        <w:t>Waiver of First-Come First-Serve</w:t>
      </w:r>
      <w:r w:rsidR="00AE7FCE">
        <w:rPr>
          <w:i/>
          <w:iCs/>
        </w:rPr>
        <w:t xml:space="preserve"> and Speed-of-Answer</w:t>
      </w:r>
      <w:r>
        <w:t xml:space="preserve">.  </w:t>
      </w:r>
      <w:r w:rsidR="008A3017">
        <w:t xml:space="preserve">Part 64 of the Commission’s rules does not </w:t>
      </w:r>
      <w:r w:rsidR="00980CFC">
        <w:t xml:space="preserve">include a codified </w:t>
      </w:r>
      <w:r w:rsidR="009C7DE8">
        <w:t>rule providing</w:t>
      </w:r>
      <w:r w:rsidR="008A3017">
        <w:t xml:space="preserve"> that VRS calls </w:t>
      </w:r>
      <w:r w:rsidR="00980CFC">
        <w:t xml:space="preserve">must </w:t>
      </w:r>
      <w:r w:rsidR="008A3017">
        <w:t>be answered in the order in which they are received.</w:t>
      </w:r>
      <w:r w:rsidR="00980CFC">
        <w:t xml:space="preserve">  However, </w:t>
      </w:r>
      <w:r w:rsidR="00C70835">
        <w:t xml:space="preserve">a public notice </w:t>
      </w:r>
      <w:r w:rsidR="009C7DE8">
        <w:t>stating such a requirement</w:t>
      </w:r>
      <w:r w:rsidR="00C70835">
        <w:t xml:space="preserve"> was issued by CGB in 2005</w:t>
      </w:r>
      <w:r w:rsidR="002526D6">
        <w:t xml:space="preserve">, and a Commission-level Report and Order </w:t>
      </w:r>
      <w:r w:rsidR="002A7302">
        <w:t>refers to</w:t>
      </w:r>
      <w:r w:rsidR="002526D6">
        <w:t xml:space="preserve"> the </w:t>
      </w:r>
      <w:r w:rsidR="00324738">
        <w:t xml:space="preserve">first-come, first-served </w:t>
      </w:r>
      <w:r w:rsidR="002A7302">
        <w:t>principle as a binding obligation</w:t>
      </w:r>
      <w:r w:rsidR="00324738">
        <w:t xml:space="preserve">  </w:t>
      </w:r>
      <w:r w:rsidR="002A7302">
        <w:t>of VRS providers</w:t>
      </w:r>
      <w:r w:rsidR="00C70835">
        <w:t>.</w:t>
      </w:r>
      <w:r>
        <w:rPr>
          <w:rStyle w:val="FootnoteReference"/>
        </w:rPr>
        <w:footnoteReference w:id="58"/>
      </w:r>
      <w:r w:rsidR="008A3017">
        <w:t xml:space="preserve"> </w:t>
      </w:r>
      <w:r w:rsidR="00AD4F21">
        <w:t xml:space="preserve"> </w:t>
      </w:r>
      <w:r w:rsidR="00BE0053">
        <w:t>Thus,</w:t>
      </w:r>
      <w:r>
        <w:t xml:space="preserve"> </w:t>
      </w:r>
      <w:r w:rsidR="00BE0053">
        <w:t xml:space="preserve">absent a waiver, </w:t>
      </w:r>
      <w:r w:rsidR="00F06F11">
        <w:t xml:space="preserve">Sorenson </w:t>
      </w:r>
      <w:r w:rsidR="00BE0053">
        <w:t xml:space="preserve">may be </w:t>
      </w:r>
      <w:r w:rsidR="002A7302">
        <w:t xml:space="preserve">prohibited from </w:t>
      </w:r>
      <w:r w:rsidR="005F2F9A">
        <w:t>using a separate call</w:t>
      </w:r>
      <w:r w:rsidR="00447DFC">
        <w:t xml:space="preserve"> </w:t>
      </w:r>
      <w:r w:rsidR="005F2F9A">
        <w:t>“</w:t>
      </w:r>
      <w:r w:rsidR="00447DFC">
        <w:t>queue</w:t>
      </w:r>
      <w:r w:rsidR="005F2F9A">
        <w:t xml:space="preserve">” to handle </w:t>
      </w:r>
      <w:r w:rsidR="00BE0053">
        <w:t xml:space="preserve">Video-Text Service </w:t>
      </w:r>
      <w:r w:rsidR="00DC2DD0">
        <w:t>calls</w:t>
      </w:r>
      <w:r>
        <w:t xml:space="preserve">.  </w:t>
      </w:r>
      <w:r w:rsidR="00375466">
        <w:t>Sorenson has stated</w:t>
      </w:r>
      <w:r w:rsidR="00E23BFA">
        <w:t xml:space="preserve"> that </w:t>
      </w:r>
      <w:r w:rsidR="00C96EAB">
        <w:t xml:space="preserve">a separate queue for </w:t>
      </w:r>
      <w:r w:rsidR="006E6435">
        <w:t xml:space="preserve">Video-Text calls </w:t>
      </w:r>
      <w:r w:rsidR="00375466">
        <w:t>may be needed</w:t>
      </w:r>
      <w:r w:rsidR="00C96EAB">
        <w:t xml:space="preserve"> </w:t>
      </w:r>
      <w:r w:rsidR="00665635">
        <w:t xml:space="preserve">so that </w:t>
      </w:r>
      <w:r w:rsidR="00375466">
        <w:t xml:space="preserve">it </w:t>
      </w:r>
      <w:r w:rsidR="00665635">
        <w:t>can</w:t>
      </w:r>
      <w:r w:rsidR="00C96EAB">
        <w:t xml:space="preserve"> efficiently </w:t>
      </w:r>
      <w:r w:rsidR="004B6A0A">
        <w:t xml:space="preserve">and timely </w:t>
      </w:r>
      <w:r w:rsidR="00C96EAB">
        <w:t xml:space="preserve">route </w:t>
      </w:r>
      <w:r>
        <w:t xml:space="preserve">those </w:t>
      </w:r>
      <w:r w:rsidR="00C96EAB">
        <w:t>calls to specially trained and equipped CAs.</w:t>
      </w:r>
      <w:r>
        <w:rPr>
          <w:rStyle w:val="FootnoteReference"/>
        </w:rPr>
        <w:footnoteReference w:id="59"/>
      </w:r>
      <w:r w:rsidR="006D75B5">
        <w:t xml:space="preserve">  </w:t>
      </w:r>
    </w:p>
    <w:p w:rsidR="000E1C7F" w:rsidRPr="00382E1D" w14:paraId="008A34BE" w14:textId="5185ECC6">
      <w:pPr>
        <w:pStyle w:val="FCCNumPara"/>
        <w:rPr>
          <w:sz w:val="20"/>
          <w:vertAlign w:val="superscript"/>
        </w:rPr>
      </w:pPr>
      <w:r>
        <w:t xml:space="preserve">To the extent that VRS providers are required to </w:t>
      </w:r>
      <w:r w:rsidR="007679D9">
        <w:t>use a single queue to handle</w:t>
      </w:r>
      <w:r>
        <w:t xml:space="preserve"> all calls</w:t>
      </w:r>
      <w:r w:rsidR="007679D9">
        <w:t>, so that they are answered</w:t>
      </w:r>
      <w:r>
        <w:t xml:space="preserve"> in the order in which they are received</w:t>
      </w:r>
      <w:r w:rsidR="005B64C9">
        <w:t>,</w:t>
      </w:r>
      <w:r>
        <w:rPr>
          <w:rStyle w:val="FootnoteReference"/>
        </w:rPr>
        <w:footnoteReference w:id="60"/>
      </w:r>
      <w:r>
        <w:t xml:space="preserve"> </w:t>
      </w:r>
      <w:r w:rsidR="005B64C9">
        <w:t>w</w:t>
      </w:r>
      <w:r>
        <w:t>e find</w:t>
      </w:r>
      <w:r w:rsidRPr="00F07321">
        <w:t xml:space="preserve"> </w:t>
      </w:r>
      <w:r>
        <w:t>good cause to grant a limited waiver of th</w:t>
      </w:r>
      <w:r w:rsidR="00BE0053">
        <w:t>at</w:t>
      </w:r>
      <w:r>
        <w:t xml:space="preserve"> requirement</w:t>
      </w:r>
      <w:r w:rsidR="0068582B">
        <w:t xml:space="preserve"> in the current circumstances</w:t>
      </w:r>
      <w:r>
        <w:t xml:space="preserve">.  </w:t>
      </w:r>
      <w:r w:rsidR="0068582B">
        <w:t>Video-Text Service</w:t>
      </w:r>
      <w:r>
        <w:t xml:space="preserve"> requires </w:t>
      </w:r>
      <w:r w:rsidR="0068582B">
        <w:t xml:space="preserve">that </w:t>
      </w:r>
      <w:r>
        <w:t xml:space="preserve">CAs have more advanced typing skills than </w:t>
      </w:r>
      <w:r w:rsidR="0068582B">
        <w:t>those</w:t>
      </w:r>
      <w:r>
        <w:t xml:space="preserve"> needed to handle ordinary VRS calls</w:t>
      </w:r>
      <w:r w:rsidR="0068582B">
        <w:t xml:space="preserve">.  Although Sorenson is </w:t>
      </w:r>
      <w:r w:rsidR="005905B6">
        <w:t xml:space="preserve">preparing to offer </w:t>
      </w:r>
      <w:r w:rsidR="003D0D0E">
        <w:t>Video-Text S</w:t>
      </w:r>
      <w:r w:rsidR="005905B6">
        <w:t xml:space="preserve">ervice for the first time, and has yet </w:t>
      </w:r>
      <w:r w:rsidR="003D0D0E">
        <w:t xml:space="preserve">to </w:t>
      </w:r>
      <w:r w:rsidR="005905B6">
        <w:t xml:space="preserve">decide </w:t>
      </w:r>
      <w:r w:rsidR="003D0D0E">
        <w:t>all the details of how it will be configured</w:t>
      </w:r>
      <w:r>
        <w:t>,</w:t>
      </w:r>
      <w:r>
        <w:rPr>
          <w:rStyle w:val="FootnoteReference"/>
        </w:rPr>
        <w:footnoteReference w:id="61"/>
      </w:r>
      <w:r>
        <w:t xml:space="preserve"> </w:t>
      </w:r>
      <w:r w:rsidR="003D0D0E">
        <w:t>it is likely that</w:t>
      </w:r>
      <w:r w:rsidR="005905B6">
        <w:t xml:space="preserve"> </w:t>
      </w:r>
      <w:r w:rsidR="00A52C90">
        <w:t xml:space="preserve">a provider of Sorenson’s size may </w:t>
      </w:r>
      <w:r w:rsidR="00D74099">
        <w:t xml:space="preserve">need to place </w:t>
      </w:r>
      <w:r>
        <w:t>Video-Text calls in a separate queue, at least until a sufficient number of CAs are trained to handle such calls.  Otherwise, when a Video-Text call is received, the limited number of CAs initially able to handle Video-Text calls could all be busy handling other calls, resulting in unnecessary and undue delay for the Video-Text user.</w:t>
      </w:r>
      <w:r w:rsidRPr="00B50963" w:rsidR="00B50963">
        <w:t xml:space="preserve"> </w:t>
      </w:r>
      <w:r w:rsidR="00B50963">
        <w:t xml:space="preserve"> Further, service to Sorenson’s other customers is unlikely to be affected by the use of a separate queue for the very limited number of Video-Text customers.</w:t>
      </w:r>
      <w:r>
        <w:rPr>
          <w:rStyle w:val="FootnoteReference"/>
        </w:rPr>
        <w:footnoteReference w:id="62"/>
      </w:r>
      <w:r w:rsidR="00B50963">
        <w:t xml:space="preserve">  </w:t>
      </w:r>
      <w:r w:rsidR="00E9787E">
        <w:t>The grant of th</w:t>
      </w:r>
      <w:r w:rsidR="00382E1D">
        <w:t>is</w:t>
      </w:r>
      <w:r w:rsidR="00E9787E">
        <w:t xml:space="preserve"> waiver is contingent on </w:t>
      </w:r>
      <w:r w:rsidR="00737040">
        <w:t>Sore</w:t>
      </w:r>
      <w:r w:rsidR="00414FA8">
        <w:t>n</w:t>
      </w:r>
      <w:r w:rsidR="00737040">
        <w:t>son’s compliance with the first-come, first-serve</w:t>
      </w:r>
      <w:r w:rsidR="00EF4C8C">
        <w:t>d</w:t>
      </w:r>
      <w:r w:rsidR="00737040">
        <w:t xml:space="preserve"> rule within </w:t>
      </w:r>
      <w:r w:rsidR="00757292">
        <w:t xml:space="preserve">each of the two separate </w:t>
      </w:r>
      <w:r w:rsidR="00737040">
        <w:t>queue</w:t>
      </w:r>
      <w:r w:rsidR="00757292">
        <w:t>s</w:t>
      </w:r>
      <w:r w:rsidR="00EF4C8C">
        <w:t>.</w:t>
      </w:r>
      <w:r>
        <w:rPr>
          <w:rStyle w:val="FootnoteReference"/>
        </w:rPr>
        <w:footnoteReference w:id="63"/>
      </w:r>
      <w:r w:rsidR="00C96EAB">
        <w:t xml:space="preserve"> </w:t>
      </w:r>
    </w:p>
    <w:p w:rsidR="005E0DFC" w:rsidRPr="00056103" w:rsidP="00E913FA" w14:paraId="54491F0D" w14:textId="1F5DB25F">
      <w:pPr>
        <w:pStyle w:val="FCCNumPara"/>
        <w:rPr>
          <w:rStyle w:val="FootnoteReference"/>
        </w:rPr>
      </w:pPr>
      <w:r>
        <w:t>We also find good cause to grant a temporary waiver of</w:t>
      </w:r>
      <w:r w:rsidR="002415BC">
        <w:t xml:space="preserve"> the speed</w:t>
      </w:r>
      <w:r w:rsidR="00757292">
        <w:t>-</w:t>
      </w:r>
      <w:r w:rsidR="002415BC">
        <w:t>of</w:t>
      </w:r>
      <w:r w:rsidR="00757292">
        <w:t>-</w:t>
      </w:r>
      <w:r w:rsidR="002415BC">
        <w:t>answer rule,</w:t>
      </w:r>
      <w:r>
        <w:t xml:space="preserve"> section 64.604(b)(2)(iii) of the Commission’s rules</w:t>
      </w:r>
      <w:r w:rsidR="002415BC">
        <w:t>,</w:t>
      </w:r>
      <w:r>
        <w:t xml:space="preserve"> </w:t>
      </w:r>
      <w:r w:rsidR="009F6F1A">
        <w:t xml:space="preserve">for a period of </w:t>
      </w:r>
      <w:r w:rsidR="001D7FAE">
        <w:t>four months</w:t>
      </w:r>
      <w:r w:rsidR="00DD4CBC">
        <w:t>,</w:t>
      </w:r>
      <w:r w:rsidR="00E13D34">
        <w:t xml:space="preserve"> beginning on the effective date of the transfer</w:t>
      </w:r>
      <w:r w:rsidR="00DD4CBC">
        <w:t xml:space="preserve"> of the GlobalVRS deafblind users</w:t>
      </w:r>
      <w:r w:rsidR="00CE6D61">
        <w:t>,</w:t>
      </w:r>
      <w:r w:rsidR="009F6F1A">
        <w:t xml:space="preserve"> </w:t>
      </w:r>
      <w:r w:rsidR="00467E3D">
        <w:t>if Sorenson implement</w:t>
      </w:r>
      <w:r w:rsidR="00CE6D61">
        <w:t>s</w:t>
      </w:r>
      <w:r w:rsidR="00467E3D">
        <w:t xml:space="preserve"> a separate queue </w:t>
      </w:r>
      <w:r w:rsidR="007265DA">
        <w:t>for deafblind users</w:t>
      </w:r>
      <w:r w:rsidRPr="66643290" w:rsidR="00BC5FAC">
        <w:t>.</w:t>
      </w:r>
      <w:r>
        <w:rPr>
          <w:rStyle w:val="FootnoteReference"/>
        </w:rPr>
        <w:footnoteReference w:id="64"/>
      </w:r>
      <w:r w:rsidR="000D1CA8">
        <w:t xml:space="preserve"> </w:t>
      </w:r>
      <w:r w:rsidR="007C29E1">
        <w:t xml:space="preserve"> </w:t>
      </w:r>
      <w:r w:rsidR="0061232A">
        <w:t>Sorenson states it is taking over the V</w:t>
      </w:r>
      <w:r w:rsidR="00F11E90">
        <w:t>ideo-Text Service on an accelerated timeline due to GlobalVRS exiting the market</w:t>
      </w:r>
      <w:r w:rsidR="00201ADB">
        <w:t xml:space="preserve"> and that it has not previously offer</w:t>
      </w:r>
      <w:r w:rsidR="001E361B">
        <w:t>ed</w:t>
      </w:r>
      <w:r w:rsidR="00201ADB">
        <w:t xml:space="preserve"> a similar</w:t>
      </w:r>
      <w:r w:rsidR="001E361B">
        <w:t xml:space="preserve"> service</w:t>
      </w:r>
      <w:r w:rsidR="00201ADB">
        <w:t>.</w:t>
      </w:r>
      <w:r>
        <w:rPr>
          <w:rStyle w:val="FootnoteReference"/>
        </w:rPr>
        <w:footnoteReference w:id="65"/>
      </w:r>
      <w:r w:rsidR="00F11E90">
        <w:t xml:space="preserve"> </w:t>
      </w:r>
      <w:r w:rsidR="00E0515C">
        <w:t xml:space="preserve"> We agree that</w:t>
      </w:r>
      <w:r w:rsidR="00F11E90">
        <w:t xml:space="preserve"> </w:t>
      </w:r>
      <w:r w:rsidR="00166E2F">
        <w:t xml:space="preserve">a </w:t>
      </w:r>
      <w:r w:rsidR="00F11E90">
        <w:t xml:space="preserve">four-month </w:t>
      </w:r>
      <w:r w:rsidR="00166E2F">
        <w:t xml:space="preserve">waiver will </w:t>
      </w:r>
      <w:r w:rsidR="00F11E90">
        <w:t xml:space="preserve">allow Sorenson time to </w:t>
      </w:r>
      <w:r w:rsidR="001C7EA0">
        <w:t xml:space="preserve">equip and train CAs specifically </w:t>
      </w:r>
      <w:r w:rsidR="00D96F54">
        <w:t>to work with deafblind users</w:t>
      </w:r>
      <w:r w:rsidR="00F11E90">
        <w:t xml:space="preserve">, assess Video-Text Service traffic, </w:t>
      </w:r>
      <w:r w:rsidR="001C7EA0">
        <w:t>and make any necessary long-term adjustments</w:t>
      </w:r>
      <w:r w:rsidR="000540D0">
        <w:t xml:space="preserve"> as it takes over this service from GlobalVRS.</w:t>
      </w:r>
      <w:r>
        <w:rPr>
          <w:rStyle w:val="FootnoteReference"/>
        </w:rPr>
        <w:footnoteReference w:id="66"/>
      </w:r>
      <w:r w:rsidRPr="66643290" w:rsidR="5D4721DD">
        <w:rPr>
          <w:rStyle w:val="FootnoteReference"/>
        </w:rPr>
        <w:t xml:space="preserve"> </w:t>
      </w:r>
      <w:r w:rsidR="000C35B0">
        <w:t xml:space="preserve"> </w:t>
      </w:r>
      <w:r w:rsidR="00AD507D">
        <w:t xml:space="preserve">Accordingly, </w:t>
      </w:r>
      <w:r w:rsidR="00CA32B7">
        <w:t xml:space="preserve">a temporary waiver of the </w:t>
      </w:r>
      <w:r w:rsidR="000F1BF2">
        <w:t xml:space="preserve">VRS </w:t>
      </w:r>
      <w:r w:rsidR="000C35B0">
        <w:t>speed of answer rules</w:t>
      </w:r>
      <w:r w:rsidR="007B6AAB">
        <w:t xml:space="preserve"> </w:t>
      </w:r>
      <w:r w:rsidR="00767E36">
        <w:t xml:space="preserve">is </w:t>
      </w:r>
      <w:r w:rsidR="00240D4E">
        <w:t xml:space="preserve">necessary to </w:t>
      </w:r>
      <w:r w:rsidR="003A141A">
        <w:t xml:space="preserve">allow Sorenson </w:t>
      </w:r>
      <w:r w:rsidR="00BB7605">
        <w:t>a reasonable time to train and equip its CAs and determine the optimal configuration of this new service.</w:t>
      </w:r>
      <w:r w:rsidR="005C6D88">
        <w:t xml:space="preserve"> </w:t>
      </w:r>
    </w:p>
    <w:p w:rsidR="007C0B1B" w:rsidP="007C0B1B" w14:paraId="40C13848" w14:textId="77777777">
      <w:pPr>
        <w:pStyle w:val="ParaNum"/>
      </w:pPr>
      <w:r>
        <w:t xml:space="preserve">The waiver of the speed of answer requirement </w:t>
      </w:r>
      <w:r w:rsidR="00972A1C">
        <w:t xml:space="preserve">is applicable </w:t>
      </w:r>
      <w:r>
        <w:t xml:space="preserve">to </w:t>
      </w:r>
      <w:r w:rsidR="008D357A">
        <w:t xml:space="preserve">calls handled by </w:t>
      </w:r>
      <w:r>
        <w:t>a</w:t>
      </w:r>
      <w:r w:rsidR="00CD4E37">
        <w:t xml:space="preserve"> separate </w:t>
      </w:r>
      <w:r w:rsidR="008D768D">
        <w:t xml:space="preserve">Video-Text Service </w:t>
      </w:r>
      <w:r w:rsidR="00CD4E37">
        <w:t>queue</w:t>
      </w:r>
      <w:r w:rsidR="008D357A">
        <w:t>,</w:t>
      </w:r>
      <w:r w:rsidR="00CD4E37">
        <w:t xml:space="preserve"> if Sorenson determines to implement a separate queue </w:t>
      </w:r>
      <w:r w:rsidR="008D768D">
        <w:t>that service</w:t>
      </w:r>
      <w:r w:rsidR="00CD4E37">
        <w:t xml:space="preserve">.  </w:t>
      </w:r>
      <w:r w:rsidR="008D357A">
        <w:t xml:space="preserve">The </w:t>
      </w:r>
      <w:r w:rsidR="00840B5A">
        <w:t xml:space="preserve">VRS </w:t>
      </w:r>
      <w:r w:rsidR="001F293B">
        <w:t xml:space="preserve">speed of answer requirement shall continue to apply to </w:t>
      </w:r>
      <w:r w:rsidR="00016593">
        <w:t xml:space="preserve">calls to and from </w:t>
      </w:r>
      <w:r w:rsidR="0062436E">
        <w:t xml:space="preserve">Sorenson’s other </w:t>
      </w:r>
      <w:r w:rsidR="0029264C">
        <w:t xml:space="preserve">VRS </w:t>
      </w:r>
      <w:r w:rsidR="00504074">
        <w:t xml:space="preserve">users </w:t>
      </w:r>
      <w:r w:rsidR="0062436E">
        <w:t>who are not within the affected population</w:t>
      </w:r>
      <w:r w:rsidR="002A459D">
        <w:t xml:space="preserve"> of deafblind users</w:t>
      </w:r>
      <w:r w:rsidR="001F293B">
        <w:t>.</w:t>
      </w:r>
      <w:r>
        <w:rPr>
          <w:rStyle w:val="FootnoteReference"/>
        </w:rPr>
        <w:footnoteReference w:id="67"/>
      </w:r>
      <w:r w:rsidR="001F293B">
        <w:t xml:space="preserve">  </w:t>
      </w:r>
    </w:p>
    <w:p w:rsidR="006063C2" w:rsidRPr="0001288F" w:rsidP="004126CB" w14:paraId="6E56F39C" w14:textId="35CAD103">
      <w:pPr>
        <w:pStyle w:val="Heading1"/>
      </w:pPr>
      <w:r>
        <w:t>procedural matters</w:t>
      </w:r>
    </w:p>
    <w:p w:rsidR="00496173" w:rsidRPr="0001288F" w:rsidP="00496173" w14:paraId="70970F9A" w14:textId="77777777">
      <w:pPr>
        <w:pStyle w:val="ParaNum"/>
        <w:rPr>
          <w:snapToGrid/>
        </w:rPr>
      </w:pPr>
      <w:r w:rsidRPr="0001288F">
        <w:rPr>
          <w:i/>
          <w:iCs/>
          <w:snapToGrid/>
        </w:rPr>
        <w:t>People with Disabilities.</w:t>
      </w:r>
      <w:r w:rsidRPr="0001288F">
        <w:rPr>
          <w:snapToGrid/>
        </w:rPr>
        <w:t xml:space="preserve">  To request materials in accessible formats for people with disabilities (Braille, large print, electronic files, audio format), send an e-mail to fcc504@fcc.gov or call the Consumer &amp; Governmental Affairs Bureau at 202-418-0530.</w:t>
      </w:r>
    </w:p>
    <w:p w:rsidR="00496173" w:rsidRPr="0001288F" w:rsidP="00496173" w14:paraId="70970F9B" w14:textId="2A649447">
      <w:pPr>
        <w:pStyle w:val="ParaNum"/>
        <w:rPr>
          <w:snapToGrid/>
        </w:rPr>
      </w:pPr>
      <w:r w:rsidRPr="0001288F">
        <w:rPr>
          <w:i/>
          <w:iCs/>
          <w:snapToGrid/>
        </w:rPr>
        <w:t>Additional Information.</w:t>
      </w:r>
      <w:r w:rsidRPr="0001288F">
        <w:rPr>
          <w:snapToGrid/>
        </w:rPr>
        <w:t xml:space="preserve">  For further information regarding this item, please contact </w:t>
      </w:r>
      <w:r w:rsidR="00B26E63">
        <w:rPr>
          <w:snapToGrid/>
        </w:rPr>
        <w:t>Joshua Mendelsohn</w:t>
      </w:r>
      <w:r w:rsidRPr="66643290">
        <w:rPr>
          <w:snapToGrid/>
          <w:color w:val="000000"/>
          <w:kern w:val="0"/>
        </w:rPr>
        <w:t>, Disability Rights Office, Consumer and Governmental Affairs Bureau, at 202-</w:t>
      </w:r>
      <w:r w:rsidRPr="66643290" w:rsidR="00B26E63">
        <w:rPr>
          <w:snapToGrid/>
          <w:color w:val="000000"/>
          <w:kern w:val="0"/>
        </w:rPr>
        <w:t>559-7304</w:t>
      </w:r>
      <w:r w:rsidRPr="66643290">
        <w:rPr>
          <w:snapToGrid/>
          <w:color w:val="000000"/>
          <w:kern w:val="0"/>
        </w:rPr>
        <w:t xml:space="preserve"> </w:t>
      </w:r>
      <w:r w:rsidRPr="66643290" w:rsidR="002A1D55">
        <w:rPr>
          <w:snapToGrid/>
          <w:color w:val="000000"/>
          <w:kern w:val="0"/>
        </w:rPr>
        <w:t>(voice</w:t>
      </w:r>
      <w:r w:rsidRPr="66643290" w:rsidR="00B26E63">
        <w:rPr>
          <w:snapToGrid/>
          <w:color w:val="000000"/>
          <w:kern w:val="0"/>
        </w:rPr>
        <w:t xml:space="preserve"> or videophone</w:t>
      </w:r>
      <w:r w:rsidRPr="66643290" w:rsidR="002A1D55">
        <w:rPr>
          <w:snapToGrid/>
          <w:color w:val="000000"/>
          <w:kern w:val="0"/>
        </w:rPr>
        <w:t xml:space="preserve">) </w:t>
      </w:r>
      <w:r w:rsidRPr="66643290">
        <w:rPr>
          <w:snapToGrid/>
          <w:color w:val="000000"/>
          <w:kern w:val="0"/>
        </w:rPr>
        <w:t>or by email to</w:t>
      </w:r>
      <w:r w:rsidRPr="66643290" w:rsidR="00B26E63">
        <w:rPr>
          <w:snapToGrid/>
          <w:color w:val="000000"/>
          <w:kern w:val="0"/>
        </w:rPr>
        <w:t xml:space="preserve"> </w:t>
      </w:r>
      <w:hyperlink r:id="rId5" w:history="1">
        <w:r w:rsidRPr="66643290" w:rsidR="00B26E63">
          <w:rPr>
            <w:rStyle w:val="Hyperlink"/>
            <w:snapToGrid/>
            <w:kern w:val="0"/>
          </w:rPr>
          <w:t>Joshua.Mendelsohn@fcc.gov</w:t>
        </w:r>
      </w:hyperlink>
      <w:r w:rsidRPr="66643290" w:rsidR="00C43B62">
        <w:rPr>
          <w:snapToGrid/>
          <w:color w:val="000000"/>
          <w:kern w:val="0"/>
        </w:rPr>
        <w:t xml:space="preserve">. </w:t>
      </w:r>
    </w:p>
    <w:p w:rsidR="006F14E8" w:rsidP="002D166B" w14:paraId="2B61647B" w14:textId="450AD546">
      <w:pPr>
        <w:pStyle w:val="Heading1"/>
        <w:rPr>
          <w:snapToGrid/>
        </w:rPr>
      </w:pPr>
      <w:r>
        <w:rPr>
          <w:snapToGrid/>
        </w:rPr>
        <w:t>ordering clauses</w:t>
      </w:r>
    </w:p>
    <w:p w:rsidR="002516CA" w:rsidRPr="00C43AC7" w:rsidP="00496173" w14:paraId="73861862" w14:textId="21E490BC">
      <w:pPr>
        <w:pStyle w:val="ParaNum"/>
        <w:rPr>
          <w:snapToGrid/>
        </w:rPr>
      </w:pPr>
      <w:r w:rsidRPr="0001288F">
        <w:rPr>
          <w:snapToGrid/>
        </w:rPr>
        <w:t>Accordingly, IT IS ORDERED that, pursuant to sections 1, 2, 4(</w:t>
      </w:r>
      <w:r w:rsidRPr="0001288F">
        <w:rPr>
          <w:snapToGrid/>
        </w:rPr>
        <w:t>i</w:t>
      </w:r>
      <w:r w:rsidRPr="0001288F">
        <w:rPr>
          <w:snapToGrid/>
        </w:rPr>
        <w:t xml:space="preserve">), 4(j), and 225 of the </w:t>
      </w:r>
      <w:r w:rsidRPr="66643290">
        <w:rPr>
          <w:snapToGrid/>
          <w:color w:val="000000"/>
          <w:kern w:val="0"/>
        </w:rPr>
        <w:t>Communications Act of 1934, as amended, 47 U.S.C. §§ 151, 152, 154(</w:t>
      </w:r>
      <w:r w:rsidRPr="66643290">
        <w:rPr>
          <w:snapToGrid/>
          <w:color w:val="000000"/>
          <w:kern w:val="0"/>
        </w:rPr>
        <w:t>i</w:t>
      </w:r>
      <w:r w:rsidRPr="66643290">
        <w:rPr>
          <w:snapToGrid/>
          <w:color w:val="000000"/>
          <w:kern w:val="0"/>
        </w:rPr>
        <w:t xml:space="preserve">), 154(j), 225, and sections 0.141, 0.361, and 1.3 of the Commission’s rules, 47 CFR §§ 0.141, 0.361, and 1.3, </w:t>
      </w:r>
      <w:r w:rsidRPr="66643290">
        <w:rPr>
          <w:snapToGrid/>
          <w:color w:val="000000"/>
          <w:kern w:val="0"/>
        </w:rPr>
        <w:t>this Order IS ADOPTED.</w:t>
      </w:r>
    </w:p>
    <w:p w:rsidR="00CB2ACD" w:rsidRPr="00C43AC7" w:rsidP="005B7F5F" w14:paraId="450268BD" w14:textId="4E268797">
      <w:pPr>
        <w:pStyle w:val="ParaNum"/>
      </w:pPr>
      <w:r w:rsidRPr="007366D2">
        <w:t>IT IS FURTHER ORDERED that the petition</w:t>
      </w:r>
      <w:r>
        <w:t>s</w:t>
      </w:r>
      <w:r w:rsidRPr="007366D2">
        <w:t xml:space="preserve"> for </w:t>
      </w:r>
      <w:r w:rsidR="00B465DB">
        <w:t xml:space="preserve">limited </w:t>
      </w:r>
      <w:r w:rsidRPr="007366D2">
        <w:t>waiver of</w:t>
      </w:r>
      <w:r>
        <w:t xml:space="preserve"> Sorenson Communications</w:t>
      </w:r>
      <w:r w:rsidR="008F6467">
        <w:t>. LLC,</w:t>
      </w:r>
      <w:r>
        <w:t xml:space="preserve"> </w:t>
      </w:r>
      <w:r w:rsidRPr="007366D2">
        <w:t>filed Ju</w:t>
      </w:r>
      <w:r w:rsidR="00B465DB">
        <w:t>ly 24, 2023, and August 8, 2023,</w:t>
      </w:r>
      <w:r w:rsidRPr="007366D2">
        <w:t xml:space="preserve"> </w:t>
      </w:r>
      <w:r w:rsidR="00121CD2">
        <w:t>are</w:t>
      </w:r>
      <w:r w:rsidRPr="007366D2" w:rsidR="00121CD2">
        <w:t xml:space="preserve"> </w:t>
      </w:r>
      <w:r w:rsidRPr="007366D2">
        <w:t xml:space="preserve">GRANTED to the extent described </w:t>
      </w:r>
      <w:r w:rsidR="000D4A72">
        <w:t xml:space="preserve">and subject to the conditions stated </w:t>
      </w:r>
      <w:r w:rsidRPr="007366D2">
        <w:t xml:space="preserve">herein.  </w:t>
      </w:r>
    </w:p>
    <w:p w:rsidR="00496173" w:rsidRPr="0001288F" w:rsidP="00496173" w14:paraId="70970F9C" w14:textId="2B0D89BF">
      <w:pPr>
        <w:pStyle w:val="ParaNum"/>
        <w:rPr>
          <w:snapToGrid/>
        </w:rPr>
      </w:pPr>
      <w:r>
        <w:t xml:space="preserve">IT IS FURTHER ORDERED that </w:t>
      </w:r>
      <w:r w:rsidR="00D73DF4">
        <w:t>section</w:t>
      </w:r>
      <w:r w:rsidR="004D6E5F">
        <w:t>s</w:t>
      </w:r>
      <w:r w:rsidR="00D73DF4">
        <w:t xml:space="preserve"> </w:t>
      </w:r>
      <w:r w:rsidR="00B00265">
        <w:t xml:space="preserve">9.14(b)(2)(ii), 64.604(b)(2)(iii), </w:t>
      </w:r>
      <w:r w:rsidR="004D6E5F">
        <w:t>64.615(a)(6)(</w:t>
      </w:r>
      <w:r w:rsidR="004D6E5F">
        <w:t>i</w:t>
      </w:r>
      <w:r w:rsidR="004D6E5F">
        <w:t>)-(iv)</w:t>
      </w:r>
      <w:r w:rsidR="007E343F">
        <w:t>,</w:t>
      </w:r>
      <w:r w:rsidR="004D6E5F">
        <w:t xml:space="preserve"> and 64.631(f)(1)</w:t>
      </w:r>
      <w:r w:rsidR="00D73DF4">
        <w:t xml:space="preserve"> </w:t>
      </w:r>
      <w:r w:rsidRPr="66643290">
        <w:rPr>
          <w:snapToGrid/>
          <w:color w:val="000000"/>
          <w:kern w:val="0"/>
        </w:rPr>
        <w:t>of the Commission’s rules</w:t>
      </w:r>
      <w:r w:rsidRPr="66643290" w:rsidR="00A56C7F">
        <w:rPr>
          <w:snapToGrid/>
          <w:color w:val="000000"/>
          <w:kern w:val="0"/>
        </w:rPr>
        <w:t xml:space="preserve">, 47 CFR §§ </w:t>
      </w:r>
      <w:r w:rsidRPr="66643290" w:rsidR="00C3764A">
        <w:rPr>
          <w:snapToGrid/>
          <w:color w:val="000000"/>
          <w:kern w:val="0"/>
        </w:rPr>
        <w:t xml:space="preserve">9.14(b)(2)(ii), 64.604(b)(2)(iii), </w:t>
      </w:r>
      <w:r w:rsidRPr="66643290" w:rsidR="005835F2">
        <w:rPr>
          <w:snapToGrid/>
          <w:color w:val="000000"/>
          <w:kern w:val="0"/>
        </w:rPr>
        <w:t>64.615(a)(6)(</w:t>
      </w:r>
      <w:r w:rsidRPr="66643290" w:rsidR="005835F2">
        <w:rPr>
          <w:snapToGrid/>
          <w:color w:val="000000"/>
          <w:kern w:val="0"/>
        </w:rPr>
        <w:t>i</w:t>
      </w:r>
      <w:r w:rsidRPr="66643290" w:rsidR="005835F2">
        <w:rPr>
          <w:snapToGrid/>
          <w:color w:val="000000"/>
          <w:kern w:val="0"/>
        </w:rPr>
        <w:t>)-(iv)</w:t>
      </w:r>
      <w:r w:rsidRPr="66643290" w:rsidR="00E823D2">
        <w:rPr>
          <w:snapToGrid/>
          <w:color w:val="000000"/>
          <w:kern w:val="0"/>
        </w:rPr>
        <w:t>, 47 CFR § 64.631(f)(1),</w:t>
      </w:r>
      <w:r w:rsidRPr="66643290">
        <w:rPr>
          <w:snapToGrid/>
          <w:color w:val="000000"/>
          <w:kern w:val="0"/>
        </w:rPr>
        <w:t xml:space="preserve"> </w:t>
      </w:r>
      <w:r w:rsidRPr="66643290" w:rsidR="004D6E5F">
        <w:rPr>
          <w:snapToGrid/>
          <w:color w:val="000000"/>
          <w:kern w:val="0"/>
        </w:rPr>
        <w:t>are</w:t>
      </w:r>
      <w:r w:rsidRPr="66643290">
        <w:rPr>
          <w:snapToGrid/>
          <w:color w:val="000000"/>
          <w:kern w:val="0"/>
        </w:rPr>
        <w:t xml:space="preserve"> WAIVED to the extent described</w:t>
      </w:r>
      <w:r w:rsidRPr="66643290">
        <w:rPr>
          <w:color w:val="000000" w:themeColor="text1"/>
        </w:rPr>
        <w:t xml:space="preserve"> </w:t>
      </w:r>
      <w:r w:rsidRPr="66643290" w:rsidR="00705841">
        <w:rPr>
          <w:color w:val="000000" w:themeColor="text1"/>
        </w:rPr>
        <w:t>and subject to the conditions stated</w:t>
      </w:r>
      <w:r w:rsidRPr="66643290">
        <w:rPr>
          <w:snapToGrid/>
          <w:color w:val="000000"/>
          <w:kern w:val="0"/>
        </w:rPr>
        <w:t xml:space="preserve"> herein</w:t>
      </w:r>
      <w:r w:rsidRPr="66643290" w:rsidR="00A73542">
        <w:rPr>
          <w:snapToGrid/>
          <w:color w:val="000000"/>
          <w:kern w:val="0"/>
        </w:rPr>
        <w:t>.</w:t>
      </w:r>
    </w:p>
    <w:p w:rsidR="00496173" w:rsidRPr="0001288F" w:rsidP="00496173" w14:paraId="70970F9D" w14:textId="77777777">
      <w:pPr>
        <w:pStyle w:val="ParaNum"/>
        <w:rPr>
          <w:snapToGrid/>
        </w:rPr>
      </w:pPr>
      <w:r w:rsidRPr="0001288F">
        <w:rPr>
          <w:snapToGrid/>
        </w:rPr>
        <w:t xml:space="preserve">IT IS FURTHER ORDERED that, pursuant to section 1.102(b)(1) of the Commission rules, </w:t>
      </w:r>
      <w:r w:rsidRPr="66643290">
        <w:rPr>
          <w:snapToGrid/>
          <w:color w:val="000000"/>
          <w:kern w:val="0"/>
        </w:rPr>
        <w:t>47 CFR § 1.102(b)(1), this Order SHALL BE EFFECTIVE upon release.</w:t>
      </w:r>
    </w:p>
    <w:p w:rsidR="00496173" w:rsidRPr="0001288F" w:rsidP="00496173" w14:paraId="70970F9E" w14:textId="77777777">
      <w:pPr>
        <w:widowControl/>
        <w:autoSpaceDE w:val="0"/>
        <w:autoSpaceDN w:val="0"/>
        <w:adjustRightInd w:val="0"/>
        <w:ind w:left="4320"/>
        <w:rPr>
          <w:snapToGrid/>
          <w:color w:val="000000"/>
          <w:kern w:val="0"/>
          <w:szCs w:val="22"/>
        </w:rPr>
      </w:pPr>
      <w:r w:rsidRPr="0001288F">
        <w:rPr>
          <w:snapToGrid/>
          <w:color w:val="000000"/>
          <w:kern w:val="0"/>
          <w:szCs w:val="22"/>
        </w:rPr>
        <w:t>FEDERAL COMMUNICATIONS COMMISSION</w:t>
      </w:r>
    </w:p>
    <w:p w:rsidR="00496173" w:rsidRPr="0001288F" w:rsidP="00496173" w14:paraId="70970F9F" w14:textId="77777777">
      <w:pPr>
        <w:widowControl/>
        <w:autoSpaceDE w:val="0"/>
        <w:autoSpaceDN w:val="0"/>
        <w:adjustRightInd w:val="0"/>
        <w:rPr>
          <w:snapToGrid/>
          <w:color w:val="000000"/>
          <w:kern w:val="0"/>
          <w:szCs w:val="22"/>
        </w:rPr>
      </w:pPr>
    </w:p>
    <w:p w:rsidR="00496173" w:rsidRPr="0001288F" w:rsidP="00496173" w14:paraId="70970FA0" w14:textId="77777777">
      <w:pPr>
        <w:widowControl/>
        <w:autoSpaceDE w:val="0"/>
        <w:autoSpaceDN w:val="0"/>
        <w:adjustRightInd w:val="0"/>
        <w:rPr>
          <w:snapToGrid/>
          <w:color w:val="000000"/>
          <w:kern w:val="0"/>
          <w:szCs w:val="22"/>
        </w:rPr>
      </w:pPr>
    </w:p>
    <w:p w:rsidR="00496173" w:rsidRPr="0001288F" w:rsidP="00496173" w14:paraId="70970FA1" w14:textId="77777777">
      <w:pPr>
        <w:widowControl/>
        <w:autoSpaceDE w:val="0"/>
        <w:autoSpaceDN w:val="0"/>
        <w:adjustRightInd w:val="0"/>
        <w:rPr>
          <w:snapToGrid/>
          <w:color w:val="000000"/>
          <w:kern w:val="0"/>
          <w:szCs w:val="22"/>
        </w:rPr>
      </w:pPr>
    </w:p>
    <w:p w:rsidR="00496173" w:rsidRPr="0001288F" w:rsidP="00496173" w14:paraId="70970FA2" w14:textId="77777777">
      <w:pPr>
        <w:widowControl/>
        <w:autoSpaceDE w:val="0"/>
        <w:autoSpaceDN w:val="0"/>
        <w:adjustRightInd w:val="0"/>
        <w:ind w:left="3600" w:firstLine="720"/>
        <w:rPr>
          <w:snapToGrid/>
          <w:color w:val="000000"/>
          <w:kern w:val="0"/>
          <w:szCs w:val="22"/>
        </w:rPr>
      </w:pPr>
    </w:p>
    <w:p w:rsidR="00496173" w:rsidRPr="0001288F" w:rsidP="00496173" w14:paraId="70970FA3" w14:textId="09C003D2">
      <w:pPr>
        <w:widowControl/>
        <w:autoSpaceDE w:val="0"/>
        <w:autoSpaceDN w:val="0"/>
        <w:adjustRightInd w:val="0"/>
        <w:ind w:left="3600" w:firstLine="720"/>
        <w:rPr>
          <w:snapToGrid/>
          <w:color w:val="000000"/>
          <w:kern w:val="0"/>
          <w:szCs w:val="22"/>
        </w:rPr>
      </w:pPr>
      <w:r>
        <w:rPr>
          <w:snapToGrid/>
          <w:color w:val="000000"/>
          <w:kern w:val="0"/>
          <w:szCs w:val="22"/>
        </w:rPr>
        <w:t>Alejandro Roark</w:t>
      </w:r>
      <w:r w:rsidRPr="0001288F">
        <w:rPr>
          <w:snapToGrid/>
          <w:color w:val="000000"/>
          <w:kern w:val="0"/>
          <w:szCs w:val="22"/>
        </w:rPr>
        <w:t>, Chief</w:t>
      </w:r>
    </w:p>
    <w:p w:rsidR="00496173" w:rsidRPr="0001288F" w:rsidP="00496173" w14:paraId="70970FA4" w14:textId="77777777">
      <w:pPr>
        <w:pStyle w:val="ParaNum"/>
        <w:numPr>
          <w:ilvl w:val="0"/>
          <w:numId w:val="0"/>
        </w:numPr>
        <w:ind w:left="3600" w:firstLine="720"/>
        <w:rPr>
          <w:spacing w:val="-2"/>
        </w:rPr>
      </w:pPr>
      <w:r w:rsidRPr="0001288F">
        <w:rPr>
          <w:snapToGrid/>
          <w:color w:val="000000"/>
          <w:kern w:val="0"/>
          <w:szCs w:val="22"/>
        </w:rPr>
        <w:t>Consumer and Governmental Affairs Bureau</w:t>
      </w:r>
    </w:p>
    <w:p w:rsidR="00412FC5" w:rsidP="00496173" w14:paraId="70970FAB" w14:textId="77777777">
      <w:pPr>
        <w:pStyle w:val="Heading1"/>
        <w:numPr>
          <w:ilvl w:val="0"/>
          <w:numId w:val="0"/>
        </w:numPr>
      </w:pPr>
    </w:p>
    <w:sectPr w:rsidSect="0055614C">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rsidP="0055614C" w14:paraId="70970FB2" w14:textId="77777777">
    <w:pPr>
      <w:pStyle w:val="Footer"/>
      <w:framePr w:wrap="around" w:vAnchor="text" w:hAnchor="margin" w:xAlign="center" w:y="1"/>
    </w:pPr>
    <w:r>
      <w:fldChar w:fldCharType="begin"/>
    </w:r>
    <w:r>
      <w:instrText xml:space="preserve">PAGE  </w:instrText>
    </w:r>
    <w:r w:rsidR="008F72C9">
      <w:fldChar w:fldCharType="separate"/>
    </w:r>
    <w:r>
      <w:fldChar w:fldCharType="end"/>
    </w:r>
  </w:p>
  <w:p w:rsidR="003779E8" w14:paraId="70970F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14:paraId="70970FB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3779E8" w14:paraId="70970FB5"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14:paraId="70970FB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58A9" w14:paraId="196D93CE" w14:textId="77777777">
      <w:r>
        <w:separator/>
      </w:r>
    </w:p>
  </w:footnote>
  <w:footnote w:type="continuationSeparator" w:id="1">
    <w:p w:rsidR="000E58A9" w:rsidP="00C721AC" w14:paraId="7D2DAC74" w14:textId="77777777">
      <w:pPr>
        <w:spacing w:before="120"/>
        <w:rPr>
          <w:sz w:val="20"/>
        </w:rPr>
      </w:pPr>
      <w:r>
        <w:rPr>
          <w:sz w:val="20"/>
        </w:rPr>
        <w:t xml:space="preserve">(Continued from previous page)  </w:t>
      </w:r>
      <w:r>
        <w:rPr>
          <w:sz w:val="20"/>
        </w:rPr>
        <w:separator/>
      </w:r>
    </w:p>
  </w:footnote>
  <w:footnote w:type="continuationNotice" w:id="2">
    <w:p w:rsidR="000E58A9" w:rsidP="00C721AC" w14:paraId="4A87FEBC" w14:textId="77777777">
      <w:pPr>
        <w:jc w:val="right"/>
        <w:rPr>
          <w:sz w:val="20"/>
        </w:rPr>
      </w:pPr>
      <w:r>
        <w:rPr>
          <w:sz w:val="20"/>
        </w:rPr>
        <w:t>(continued….)</w:t>
      </w:r>
    </w:p>
  </w:footnote>
  <w:footnote w:id="3">
    <w:p w:rsidR="00A70B5B" w:rsidP="00A70B5B" w14:paraId="3F895FC3" w14:textId="56C79D74">
      <w:pPr>
        <w:pStyle w:val="FootnoteText"/>
      </w:pPr>
      <w:r>
        <w:rPr>
          <w:rStyle w:val="FootnoteReference"/>
        </w:rPr>
        <w:footnoteRef/>
      </w:r>
      <w:r>
        <w:t xml:space="preserve"> 47 CFR § 64.631(f)(1).  </w:t>
      </w:r>
      <w:r w:rsidR="000D7D93">
        <w:t>Th</w:t>
      </w:r>
      <w:r w:rsidR="00A2706D">
        <w:t>is</w:t>
      </w:r>
      <w:r w:rsidR="000D7D93">
        <w:t xml:space="preserve"> 30</w:t>
      </w:r>
      <w:r w:rsidR="00A2706D">
        <w:t>-</w:t>
      </w:r>
      <w:r w:rsidR="000D7D93">
        <w:t>day</w:t>
      </w:r>
      <w:r w:rsidR="00A2706D">
        <w:t>s advance</w:t>
      </w:r>
      <w:r w:rsidR="000D7D93">
        <w:t xml:space="preserve"> notice </w:t>
      </w:r>
      <w:r w:rsidR="00A2706D">
        <w:t xml:space="preserve">requirement </w:t>
      </w:r>
      <w:r w:rsidR="00AF09EC">
        <w:t xml:space="preserve">is part of </w:t>
      </w:r>
      <w:r w:rsidR="00A2706D">
        <w:t>a</w:t>
      </w:r>
      <w:r w:rsidR="00AF09EC">
        <w:t xml:space="preserve"> streamlined procedure </w:t>
      </w:r>
      <w:r w:rsidR="00A2706D">
        <w:t xml:space="preserve">whereby users may be ported to a </w:t>
      </w:r>
      <w:r w:rsidR="00031856">
        <w:t>new default VRS provider, pursuant to a sale or transfer</w:t>
      </w:r>
      <w:r w:rsidR="00F003E5">
        <w:t xml:space="preserve">, without obtaining each user’s authorization and verification.  </w:t>
      </w:r>
      <w:r w:rsidRPr="00F003E5" w:rsidR="00EC0738">
        <w:rPr>
          <w:i/>
          <w:iCs/>
        </w:rPr>
        <w:t xml:space="preserve">See </w:t>
      </w:r>
      <w:r w:rsidR="00E94989">
        <w:rPr>
          <w:i/>
          <w:iCs/>
        </w:rPr>
        <w:t>id.</w:t>
      </w:r>
      <w:r w:rsidRPr="00F003E5" w:rsidR="00F003E5">
        <w:t xml:space="preserve"> § 64.631(f)</w:t>
      </w:r>
      <w:r w:rsidR="00F003E5">
        <w:t>.</w:t>
      </w:r>
      <w:r w:rsidR="000D7D93">
        <w:t xml:space="preserve"> </w:t>
      </w:r>
    </w:p>
  </w:footnote>
  <w:footnote w:id="4">
    <w:p w:rsidR="008E0C85" w:rsidP="008E0C85" w14:paraId="0C838EEB" w14:textId="029E750A">
      <w:pPr>
        <w:pStyle w:val="FootnoteText"/>
      </w:pPr>
      <w:r>
        <w:rPr>
          <w:rStyle w:val="FootnoteReference"/>
        </w:rPr>
        <w:footnoteRef/>
      </w:r>
      <w:r>
        <w:t xml:space="preserve"> </w:t>
      </w:r>
      <w:r w:rsidR="0067189F">
        <w:rPr>
          <w:i/>
          <w:iCs/>
        </w:rPr>
        <w:t>Id.</w:t>
      </w:r>
      <w:r>
        <w:t xml:space="preserve"> §</w:t>
      </w:r>
      <w:r w:rsidRPr="000603DE" w:rsidR="000603DE">
        <w:t>§</w:t>
      </w:r>
      <w:r>
        <w:t xml:space="preserve"> </w:t>
      </w:r>
      <w:r w:rsidR="00205828">
        <w:t>64.611</w:t>
      </w:r>
      <w:r w:rsidR="00FA41F2">
        <w:t>(a)(4)</w:t>
      </w:r>
      <w:r w:rsidR="000603DE">
        <w:t>,</w:t>
      </w:r>
      <w:r w:rsidR="00FA41F2">
        <w:t xml:space="preserve"> </w:t>
      </w:r>
      <w:r>
        <w:t>64.615(a)(6)(</w:t>
      </w:r>
      <w:r>
        <w:t>i</w:t>
      </w:r>
      <w:r>
        <w:t xml:space="preserve">)-(vi).  </w:t>
      </w:r>
    </w:p>
  </w:footnote>
  <w:footnote w:id="5">
    <w:p w:rsidR="00AF6828" w:rsidRPr="00B4118B" w14:paraId="4E8E7451" w14:textId="665FC0D2">
      <w:pPr>
        <w:pStyle w:val="FootnoteText"/>
      </w:pPr>
      <w:r>
        <w:rPr>
          <w:rStyle w:val="FootnoteReference"/>
        </w:rPr>
        <w:footnoteRef/>
      </w:r>
      <w:r>
        <w:t xml:space="preserve"> </w:t>
      </w:r>
      <w:r w:rsidRPr="00BA38A6" w:rsidR="00BA38A6">
        <w:rPr>
          <w:i/>
          <w:iCs/>
        </w:rPr>
        <w:t xml:space="preserve">See </w:t>
      </w:r>
      <w:r w:rsidR="00805D86">
        <w:rPr>
          <w:i/>
          <w:iCs/>
        </w:rPr>
        <w:t>id.</w:t>
      </w:r>
      <w:r w:rsidRPr="00BA38A6" w:rsidR="00BA38A6">
        <w:t xml:space="preserve"> § 64.604(b)</w:t>
      </w:r>
      <w:r w:rsidR="00BA38A6">
        <w:t>(2)</w:t>
      </w:r>
      <w:r w:rsidR="00B4118B">
        <w:t xml:space="preserve">; </w:t>
      </w:r>
      <w:r w:rsidR="00B4118B">
        <w:rPr>
          <w:i/>
          <w:iCs/>
        </w:rPr>
        <w:t>see also</w:t>
      </w:r>
      <w:r w:rsidR="00E41C8B">
        <w:rPr>
          <w:i/>
          <w:iCs/>
        </w:rPr>
        <w:t xml:space="preserve"> </w:t>
      </w:r>
      <w:r w:rsidR="00C453C6">
        <w:rPr>
          <w:i/>
          <w:iCs/>
        </w:rPr>
        <w:t>FCC</w:t>
      </w:r>
      <w:r w:rsidRPr="00121CD2" w:rsidR="00E41C8B">
        <w:rPr>
          <w:i/>
          <w:iCs/>
        </w:rPr>
        <w:t xml:space="preserve"> Clarifies That </w:t>
      </w:r>
      <w:r w:rsidR="005D2E97">
        <w:rPr>
          <w:i/>
          <w:iCs/>
        </w:rPr>
        <w:t>Telecommunications Relay Services (TRS)</w:t>
      </w:r>
      <w:r w:rsidRPr="00121CD2" w:rsidR="00E41C8B">
        <w:rPr>
          <w:i/>
          <w:iCs/>
        </w:rPr>
        <w:t xml:space="preserve"> Marketing And Call Handling Practices Are Improper</w:t>
      </w:r>
      <w:r w:rsidR="00E41C8B">
        <w:t xml:space="preserve">, Public Notice, </w:t>
      </w:r>
      <w:r w:rsidR="003F2D78">
        <w:t xml:space="preserve">CC Docket No. 98-67, CG Docket No. 03-123, </w:t>
      </w:r>
      <w:r w:rsidR="00C453C6">
        <w:t xml:space="preserve">20 FCC </w:t>
      </w:r>
      <w:r w:rsidR="00C453C6">
        <w:t>Rcd</w:t>
      </w:r>
      <w:r w:rsidR="00C453C6">
        <w:t xml:space="preserve"> 1471, </w:t>
      </w:r>
      <w:r w:rsidR="003F2D78">
        <w:t xml:space="preserve">1473 </w:t>
      </w:r>
      <w:r w:rsidR="00F16C05">
        <w:t>(</w:t>
      </w:r>
      <w:r w:rsidR="00FE002E">
        <w:t xml:space="preserve">CGB </w:t>
      </w:r>
      <w:r w:rsidR="00F16C05">
        <w:t>2005)</w:t>
      </w:r>
      <w:r w:rsidR="008E406D">
        <w:t xml:space="preserve"> </w:t>
      </w:r>
      <w:r w:rsidR="00A925C2">
        <w:t>(</w:t>
      </w:r>
      <w:r w:rsidR="00A925C2">
        <w:rPr>
          <w:i/>
          <w:iCs/>
        </w:rPr>
        <w:t>2005 Call Handling PN</w:t>
      </w:r>
      <w:r w:rsidR="00A925C2">
        <w:t xml:space="preserve">) </w:t>
      </w:r>
      <w:r w:rsidR="005F7684">
        <w:t>(</w:t>
      </w:r>
      <w:r w:rsidR="00834233">
        <w:t>“</w:t>
      </w:r>
      <w:r w:rsidR="007C303B">
        <w:t>[</w:t>
      </w:r>
      <w:r w:rsidR="00A51216">
        <w:t>T</w:t>
      </w:r>
      <w:r w:rsidR="007C303B">
        <w:t xml:space="preserve">RS] </w:t>
      </w:r>
      <w:r w:rsidR="00A51216">
        <w:t xml:space="preserve">providers must </w:t>
      </w:r>
      <w:r w:rsidR="00C96C86">
        <w:t>handle incoming calls in the order that they are received.</w:t>
      </w:r>
      <w:r w:rsidR="005F7684">
        <w:t>”).</w:t>
      </w:r>
    </w:p>
  </w:footnote>
  <w:footnote w:id="6">
    <w:p w:rsidR="008E0C85" w:rsidP="008E0C85" w14:paraId="5F73B540" w14:textId="530C5576">
      <w:pPr>
        <w:pStyle w:val="FootnoteText"/>
      </w:pPr>
      <w:r>
        <w:rPr>
          <w:rStyle w:val="FootnoteReference"/>
        </w:rPr>
        <w:footnoteRef/>
      </w:r>
      <w:r>
        <w:t xml:space="preserve"> 47 CFR § 64.</w:t>
      </w:r>
      <w:r w:rsidR="00C65543">
        <w:t>604(b)(2)(iii).</w:t>
      </w:r>
    </w:p>
  </w:footnote>
  <w:footnote w:id="7">
    <w:p w:rsidR="00201294" w14:paraId="492F15CE" w14:textId="67F48169">
      <w:pPr>
        <w:pStyle w:val="FootnoteText"/>
      </w:pPr>
      <w:r>
        <w:rPr>
          <w:rStyle w:val="FootnoteReference"/>
        </w:rPr>
        <w:footnoteRef/>
      </w:r>
      <w:r>
        <w:t xml:space="preserve"> Sorenson Communications, LLC Petition for Expedited Waiver, CG Docket Nos. 03-123, 10-51 (filed July 24, 2023) (July Petition), </w:t>
      </w:r>
      <w:hyperlink r:id="rId1" w:history="1">
        <w:r w:rsidRPr="00FE46FF">
          <w:rPr>
            <w:rStyle w:val="Hyperlink"/>
          </w:rPr>
          <w:t>https://www.fcc.gov/ecfs/document/10724052107965/1</w:t>
        </w:r>
      </w:hyperlink>
      <w:r w:rsidR="009C65D6">
        <w:t>;</w:t>
      </w:r>
      <w:r w:rsidRPr="004975F6">
        <w:t xml:space="preserve"> Sorenson Communications, LLC Second Petition for Waiver, CG Docket Nos. 03-123, 10-51 (filed Aug. 8, 2023) (August Petition), </w:t>
      </w:r>
      <w:hyperlink r:id="rId2" w:history="1">
        <w:r w:rsidRPr="006B3C75">
          <w:rPr>
            <w:rStyle w:val="Hyperlink"/>
          </w:rPr>
          <w:t>https://www.fcc.gov/ecfs/document/108080022406561/1</w:t>
        </w:r>
      </w:hyperlink>
      <w:r>
        <w:t>.</w:t>
      </w:r>
      <w:r w:rsidR="007E22B2">
        <w:t xml:space="preserve">  </w:t>
      </w:r>
      <w:r w:rsidR="00BE011D">
        <w:t>Sorenson also provided</w:t>
      </w:r>
      <w:r w:rsidR="00F65820">
        <w:t xml:space="preserve"> additional information in response to questions from Commission staff</w:t>
      </w:r>
      <w:r w:rsidR="003532F0">
        <w:t xml:space="preserve">.  </w:t>
      </w:r>
      <w:r w:rsidR="000C764B">
        <w:t>Letter from John T. Nakahata</w:t>
      </w:r>
      <w:r w:rsidR="00DE1947">
        <w:t>, Counsel to Sorenson</w:t>
      </w:r>
      <w:r w:rsidR="007E22B2">
        <w:t xml:space="preserve"> </w:t>
      </w:r>
      <w:r w:rsidR="00DE1947">
        <w:t xml:space="preserve">Communications, LLC, </w:t>
      </w:r>
      <w:r w:rsidR="00056709">
        <w:t>to Marlene H. Dortch, Secretary, FCC, CG Docket Nos.</w:t>
      </w:r>
      <w:r w:rsidR="00FB4B32">
        <w:t xml:space="preserve"> 03-123, </w:t>
      </w:r>
      <w:r w:rsidR="00056709">
        <w:t>10-51</w:t>
      </w:r>
      <w:r w:rsidR="003532F0">
        <w:t xml:space="preserve"> (filed Sept. 19, 2023)</w:t>
      </w:r>
      <w:r w:rsidR="00337D68">
        <w:t xml:space="preserve"> (Sorenson </w:t>
      </w:r>
      <w:r w:rsidR="00337D68">
        <w:rPr>
          <w:i/>
          <w:iCs/>
        </w:rPr>
        <w:t>Ex Parte</w:t>
      </w:r>
      <w:r w:rsidR="00337D68">
        <w:t>)</w:t>
      </w:r>
      <w:r w:rsidR="008A37FA">
        <w:t xml:space="preserve">, </w:t>
      </w:r>
      <w:hyperlink r:id="rId3" w:history="1">
        <w:r w:rsidRPr="008154BD" w:rsidR="00223631">
          <w:rPr>
            <w:rStyle w:val="Hyperlink"/>
          </w:rPr>
          <w:t>https://www.fcc.gov/ecfs/search/search-filings/filing/1091926935548</w:t>
        </w:r>
      </w:hyperlink>
      <w:r w:rsidR="003532F0">
        <w:t>.</w:t>
      </w:r>
    </w:p>
  </w:footnote>
  <w:footnote w:id="8">
    <w:p w:rsidR="007B4208" w:rsidP="007B4208" w14:paraId="71301BCB" w14:textId="2EB45EF6">
      <w:pPr>
        <w:pStyle w:val="FootnoteText"/>
      </w:pPr>
      <w:r>
        <w:rPr>
          <w:rStyle w:val="FootnoteReference"/>
        </w:rPr>
        <w:footnoteRef/>
      </w:r>
      <w:r>
        <w:t xml:space="preserve"> </w:t>
      </w:r>
      <w:r w:rsidRPr="00393F63">
        <w:t xml:space="preserve">Section 225 of the Communications Act of 1934, as amended (the Act), requires the Commission to ensure the availability of TRS to persons who are deaf, hard of hearing, </w:t>
      </w:r>
      <w:r w:rsidR="00BB715F">
        <w:t xml:space="preserve">or </w:t>
      </w:r>
      <w:r w:rsidRPr="00393F63">
        <w:t>deafblind or have speech disabilities, “to the extent possible and in the most efficient manner.”</w:t>
      </w:r>
      <w:r w:rsidRPr="00122682">
        <w:rPr>
          <w:snapToGrid w:val="0"/>
          <w:kern w:val="28"/>
          <w:sz w:val="22"/>
        </w:rPr>
        <w:t xml:space="preserve"> </w:t>
      </w:r>
      <w:r>
        <w:rPr>
          <w:snapToGrid w:val="0"/>
          <w:kern w:val="28"/>
          <w:sz w:val="22"/>
        </w:rPr>
        <w:t xml:space="preserve"> </w:t>
      </w:r>
      <w:r w:rsidRPr="00122682">
        <w:t>47 U.S.C. § 225(b)(1).</w:t>
      </w:r>
      <w:r>
        <w:t xml:space="preserve">  </w:t>
      </w:r>
      <w:r w:rsidRPr="00CD36B3">
        <w:t>TRS are defined as “telephone transmission services” enabling such persons to communicate by wire or radio “in a manner that is functionally equivalent to the ability of a hearing individual who does not have a speech disability to communicate using voice communication services.”</w:t>
      </w:r>
      <w:r w:rsidRPr="001069E9">
        <w:rPr>
          <w:i/>
          <w:iCs/>
          <w:snapToGrid w:val="0"/>
          <w:kern w:val="28"/>
          <w:sz w:val="22"/>
        </w:rPr>
        <w:t xml:space="preserve"> </w:t>
      </w:r>
      <w:r>
        <w:rPr>
          <w:i/>
          <w:iCs/>
          <w:snapToGrid w:val="0"/>
          <w:kern w:val="28"/>
          <w:sz w:val="22"/>
        </w:rPr>
        <w:t xml:space="preserve"> </w:t>
      </w:r>
      <w:r w:rsidRPr="001069E9">
        <w:rPr>
          <w:i/>
          <w:iCs/>
        </w:rPr>
        <w:t>Id</w:t>
      </w:r>
      <w:r w:rsidRPr="001069E9">
        <w:t>. § 225(a)(3).</w:t>
      </w:r>
    </w:p>
  </w:footnote>
  <w:footnote w:id="9">
    <w:p w:rsidR="007B4208" w:rsidRPr="00984DF1" w:rsidP="007B4208" w14:paraId="5DA72BD0" w14:textId="77777777">
      <w:pPr>
        <w:pStyle w:val="FootnoteText"/>
      </w:pPr>
      <w:r>
        <w:rPr>
          <w:rStyle w:val="FootnoteReference"/>
        </w:rPr>
        <w:footnoteRef/>
      </w:r>
      <w:r>
        <w:t xml:space="preserve"> 47 CFR § 64.601(a)(51).  </w:t>
      </w:r>
    </w:p>
  </w:footnote>
  <w:footnote w:id="10">
    <w:p w:rsidR="007B4208" w:rsidRPr="00984DF1" w:rsidP="007B4208" w14:paraId="7148B3AF" w14:textId="77777777">
      <w:pPr>
        <w:pStyle w:val="FootnoteText"/>
      </w:pPr>
      <w:r>
        <w:rPr>
          <w:rStyle w:val="FootnoteReference"/>
        </w:rPr>
        <w:footnoteRef/>
      </w:r>
      <w:r>
        <w:t xml:space="preserve"> </w:t>
      </w:r>
      <w:r>
        <w:rPr>
          <w:i/>
          <w:iCs/>
        </w:rPr>
        <w:t>See Structure and Practices of the Video Relay Service Program</w:t>
      </w:r>
      <w:r>
        <w:t xml:space="preserve">, CG Docket No. 10-51, Report and Order and Further Notice of Proposed Rulemaking, 26 FCC </w:t>
      </w:r>
      <w:r>
        <w:t>Rcd</w:t>
      </w:r>
      <w:r>
        <w:t xml:space="preserve"> 5545, 5548-49, para. 2 (2011).</w:t>
      </w:r>
    </w:p>
  </w:footnote>
  <w:footnote w:id="11">
    <w:p w:rsidR="00364158" w14:paraId="492CBF8B" w14:textId="6786D73E">
      <w:pPr>
        <w:pStyle w:val="FootnoteText"/>
      </w:pPr>
      <w:r>
        <w:rPr>
          <w:rStyle w:val="FootnoteReference"/>
        </w:rPr>
        <w:footnoteRef/>
      </w:r>
      <w:r>
        <w:t xml:space="preserve"> </w:t>
      </w:r>
      <w:r w:rsidR="00382CCC">
        <w:t xml:space="preserve">Users of </w:t>
      </w:r>
      <w:r w:rsidR="00382CCC">
        <w:t>GlobalVRS’s</w:t>
      </w:r>
      <w:r w:rsidR="00382CCC">
        <w:t xml:space="preserve"> service </w:t>
      </w:r>
      <w:r w:rsidR="00EE7E72">
        <w:t xml:space="preserve">may use </w:t>
      </w:r>
      <w:r w:rsidRPr="00364158">
        <w:t>MyMMX-db</w:t>
      </w:r>
      <w:r w:rsidRPr="00364158">
        <w:t xml:space="preserve"> software</w:t>
      </w:r>
      <w:r w:rsidR="00EE7E72">
        <w:t>,</w:t>
      </w:r>
      <w:r w:rsidRPr="00364158">
        <w:t xml:space="preserve"> an application for smartphones developed by </w:t>
      </w:r>
      <w:r w:rsidRPr="00364158">
        <w:t>nWise</w:t>
      </w:r>
      <w:r w:rsidRPr="00364158">
        <w:t xml:space="preserve"> AB to allow users to read Real-Time Text (RTT) messages on Braille displays.  </w:t>
      </w:r>
      <w:r w:rsidRPr="00364158">
        <w:rPr>
          <w:i/>
          <w:iCs/>
        </w:rPr>
        <w:t>See</w:t>
      </w:r>
      <w:r w:rsidRPr="00364158">
        <w:t xml:space="preserve"> </w:t>
      </w:r>
      <w:r w:rsidRPr="00364158">
        <w:t>nWise</w:t>
      </w:r>
      <w:r w:rsidRPr="00364158">
        <w:t xml:space="preserve">, Our Products, </w:t>
      </w:r>
      <w:hyperlink r:id="rId4" w:history="1">
        <w:r w:rsidRPr="00364158">
          <w:rPr>
            <w:rStyle w:val="Hyperlink"/>
          </w:rPr>
          <w:t>https://mymmx.com/our-products/</w:t>
        </w:r>
      </w:hyperlink>
      <w:r w:rsidRPr="00364158">
        <w:t xml:space="preserve"> (last visited Aug. 1, 2023).</w:t>
      </w:r>
    </w:p>
  </w:footnote>
  <w:footnote w:id="12">
    <w:p w:rsidR="000A30FE" w:rsidP="000A30FE" w14:paraId="6BECEC1F" w14:textId="77777777">
      <w:pPr>
        <w:pStyle w:val="FootnoteText"/>
      </w:pPr>
      <w:r>
        <w:rPr>
          <w:rStyle w:val="FootnoteReference"/>
        </w:rPr>
        <w:footnoteRef/>
      </w:r>
      <w:r>
        <w:t xml:space="preserve"> Letter from Gabrielle Joseph, GlobalVRS, to Marlene H. Dortch, FCC, CG Docket Nos. 03-123 and 10-51 (filed Apr. 28, 2023) (</w:t>
      </w:r>
      <w:bookmarkStart w:id="0" w:name="_Hlk140833471"/>
      <w:r>
        <w:t>April 28 Termination Notice</w:t>
      </w:r>
      <w:bookmarkEnd w:id="0"/>
      <w:r>
        <w:t xml:space="preserve">). </w:t>
      </w:r>
    </w:p>
  </w:footnote>
  <w:footnote w:id="13">
    <w:p w:rsidR="00C6382D" w:rsidRPr="00C6382D" w14:paraId="706223F2" w14:textId="79310738">
      <w:pPr>
        <w:pStyle w:val="FootnoteText"/>
      </w:pPr>
      <w:r>
        <w:rPr>
          <w:rStyle w:val="FootnoteReference"/>
        </w:rPr>
        <w:footnoteRef/>
      </w:r>
      <w:r>
        <w:t xml:space="preserve"> </w:t>
      </w:r>
      <w:r>
        <w:rPr>
          <w:i/>
          <w:iCs/>
        </w:rPr>
        <w:t xml:space="preserve">See </w:t>
      </w:r>
      <w:r w:rsidR="0023382C">
        <w:t>July</w:t>
      </w:r>
      <w:r w:rsidR="007F1210">
        <w:t xml:space="preserve"> </w:t>
      </w:r>
      <w:r>
        <w:t>Petition, Att</w:t>
      </w:r>
      <w:r w:rsidR="00FD1BC2">
        <w:t>ach</w:t>
      </w:r>
      <w:r>
        <w:t>. A.</w:t>
      </w:r>
      <w:r w:rsidR="00DB5403">
        <w:t xml:space="preserve">  </w:t>
      </w:r>
    </w:p>
  </w:footnote>
  <w:footnote w:id="14">
    <w:p w:rsidR="00FF10AD" w:rsidRPr="00771B78" w14:paraId="5B607D40" w14:textId="58AFF4A6">
      <w:pPr>
        <w:pStyle w:val="FootnoteText"/>
      </w:pPr>
      <w:r>
        <w:rPr>
          <w:rStyle w:val="FootnoteReference"/>
        </w:rPr>
        <w:footnoteRef/>
      </w:r>
      <w:r>
        <w:t xml:space="preserve"> </w:t>
      </w:r>
      <w:r w:rsidR="009F0778">
        <w:rPr>
          <w:i/>
          <w:iCs/>
        </w:rPr>
        <w:t xml:space="preserve">See </w:t>
      </w:r>
      <w:r w:rsidR="00F81F1D">
        <w:rPr>
          <w:i/>
          <w:iCs/>
        </w:rPr>
        <w:t>i</w:t>
      </w:r>
      <w:r w:rsidRPr="008F28B0" w:rsidR="00C37DA5">
        <w:rPr>
          <w:i/>
          <w:iCs/>
        </w:rPr>
        <w:t>d.</w:t>
      </w:r>
      <w:r w:rsidR="009F0778">
        <w:t>, Att</w:t>
      </w:r>
      <w:r w:rsidR="00935FA7">
        <w:t>ach</w:t>
      </w:r>
      <w:r w:rsidR="009F0778">
        <w:t>, B</w:t>
      </w:r>
      <w:r w:rsidR="008B3008">
        <w:t xml:space="preserve">; </w:t>
      </w:r>
      <w:r w:rsidRPr="005512C3" w:rsidR="008B3008">
        <w:rPr>
          <w:i/>
          <w:iCs/>
        </w:rPr>
        <w:t>s</w:t>
      </w:r>
      <w:r w:rsidRPr="005512C3" w:rsidR="00BD7AE8">
        <w:rPr>
          <w:i/>
          <w:iCs/>
        </w:rPr>
        <w:t>ee also supra</w:t>
      </w:r>
      <w:r w:rsidR="00BD7AE8">
        <w:t xml:space="preserve"> note </w:t>
      </w:r>
      <w:r w:rsidR="009D5054">
        <w:t xml:space="preserve">9 </w:t>
      </w:r>
      <w:r w:rsidR="005512C3">
        <w:t xml:space="preserve">(describing </w:t>
      </w:r>
      <w:r w:rsidR="005512C3">
        <w:t>MyMMX</w:t>
      </w:r>
      <w:r w:rsidR="005512C3">
        <w:t xml:space="preserve"> software).</w:t>
      </w:r>
    </w:p>
  </w:footnote>
  <w:footnote w:id="15">
    <w:p w:rsidR="009F0778" w:rsidRPr="009F0778" w14:paraId="5331744C" w14:textId="5D24438D">
      <w:pPr>
        <w:pStyle w:val="FootnoteText"/>
      </w:pPr>
      <w:r>
        <w:rPr>
          <w:rStyle w:val="FootnoteReference"/>
        </w:rPr>
        <w:footnoteRef/>
      </w:r>
      <w:r>
        <w:t xml:space="preserve"> </w:t>
      </w:r>
      <w:r>
        <w:rPr>
          <w:i/>
          <w:iCs/>
        </w:rPr>
        <w:t>See</w:t>
      </w:r>
      <w:r>
        <w:t xml:space="preserve"> </w:t>
      </w:r>
      <w:r w:rsidR="0023382C">
        <w:t xml:space="preserve">July </w:t>
      </w:r>
      <w:r>
        <w:t>Petition, Att</w:t>
      </w:r>
      <w:r w:rsidR="0082366F">
        <w:t>ach</w:t>
      </w:r>
      <w:r>
        <w:t>. C.</w:t>
      </w:r>
    </w:p>
  </w:footnote>
  <w:footnote w:id="16">
    <w:p w:rsidR="006D4B44" w14:paraId="48611F86" w14:textId="3281FC68">
      <w:pPr>
        <w:pStyle w:val="FootnoteText"/>
      </w:pPr>
      <w:r>
        <w:rPr>
          <w:rStyle w:val="FootnoteReference"/>
        </w:rPr>
        <w:footnoteRef/>
      </w:r>
      <w:r>
        <w:t xml:space="preserve"> </w:t>
      </w:r>
      <w:r w:rsidR="00EC41AB">
        <w:t xml:space="preserve">Letter from Gabrielle Joseph, GlobalVRS, to Marlene H. Dortch, FCC, CG Docket Nos. 03-123 and 10-51 (filed Aug. 3, 2023), </w:t>
      </w:r>
      <w:hyperlink r:id="rId5" w:history="1">
        <w:r w:rsidRPr="008154BD" w:rsidR="00D95D17">
          <w:rPr>
            <w:rStyle w:val="Hyperlink"/>
          </w:rPr>
          <w:t>https://www.fcc.gov/ecfs/document/10803170679210/1</w:t>
        </w:r>
      </w:hyperlink>
      <w:r w:rsidR="00EC41AB">
        <w:t>.</w:t>
      </w:r>
    </w:p>
  </w:footnote>
  <w:footnote w:id="17">
    <w:p w:rsidR="00472FAF" w:rsidRPr="00033D8C" w14:paraId="12761AAF" w14:textId="4C641028">
      <w:pPr>
        <w:pStyle w:val="FootnoteText"/>
      </w:pPr>
      <w:r>
        <w:rPr>
          <w:rStyle w:val="FootnoteReference"/>
        </w:rPr>
        <w:footnoteRef/>
      </w:r>
      <w:r>
        <w:t xml:space="preserve"> </w:t>
      </w:r>
      <w:r w:rsidRPr="00033D8C" w:rsidR="000D5C7D">
        <w:rPr>
          <w:i/>
          <w:iCs/>
        </w:rPr>
        <w:t xml:space="preserve">Telecommunications Relay Services and Speech-to-Speech Services for Individuals with Hearing and Speech Disabilities; </w:t>
      </w:r>
      <w:r w:rsidRPr="00033D8C" w:rsidR="00033D8C">
        <w:rPr>
          <w:i/>
          <w:iCs/>
        </w:rPr>
        <w:t>Structure and Practices of the Video Relay Service Program</w:t>
      </w:r>
      <w:r w:rsidR="00033D8C">
        <w:t xml:space="preserve">, </w:t>
      </w:r>
      <w:r w:rsidRPr="00400FBF" w:rsidR="00400FBF">
        <w:t>CG Docket No</w:t>
      </w:r>
      <w:r w:rsidR="00400FBF">
        <w:t>s</w:t>
      </w:r>
      <w:r w:rsidRPr="00400FBF" w:rsidR="00400FBF">
        <w:t>. 03-123</w:t>
      </w:r>
      <w:r w:rsidR="00400FBF">
        <w:t xml:space="preserve"> and 10-51, Order, </w:t>
      </w:r>
      <w:r w:rsidR="00E57B48">
        <w:t>DA 23-718</w:t>
      </w:r>
      <w:r w:rsidR="00CE51B6">
        <w:t xml:space="preserve"> (CGB Aug. 17, 2023)</w:t>
      </w:r>
      <w:r w:rsidR="00A1139F">
        <w:t xml:space="preserve"> (</w:t>
      </w:r>
      <w:r w:rsidRPr="00B12D81" w:rsidR="00B12D81">
        <w:rPr>
          <w:i/>
          <w:iCs/>
        </w:rPr>
        <w:t>GlobalVRS Reimbursement Order</w:t>
      </w:r>
      <w:r w:rsidR="00B12D81">
        <w:t>)</w:t>
      </w:r>
      <w:r w:rsidR="00CE51B6">
        <w:t>.</w:t>
      </w:r>
    </w:p>
  </w:footnote>
  <w:footnote w:id="18">
    <w:p w:rsidR="00E91BEB" w:rsidRPr="00E91BEB" w14:paraId="54DEB760" w14:textId="56F8644A">
      <w:pPr>
        <w:pStyle w:val="FootnoteText"/>
      </w:pPr>
      <w:r>
        <w:rPr>
          <w:rStyle w:val="FootnoteReference"/>
        </w:rPr>
        <w:footnoteRef/>
      </w:r>
      <w:r>
        <w:t xml:space="preserve"> </w:t>
      </w:r>
      <w:r>
        <w:rPr>
          <w:i/>
          <w:iCs/>
        </w:rPr>
        <w:t>See</w:t>
      </w:r>
      <w:r>
        <w:t xml:space="preserve"> </w:t>
      </w:r>
      <w:r w:rsidR="0023382C">
        <w:t xml:space="preserve">July </w:t>
      </w:r>
      <w:r>
        <w:t>Petition at 4.</w:t>
      </w:r>
    </w:p>
  </w:footnote>
  <w:footnote w:id="19">
    <w:p w:rsidR="00A178B5" w:rsidRPr="00A178B5" w14:paraId="0DFAFD21" w14:textId="687243E5">
      <w:pPr>
        <w:pStyle w:val="FootnoteText"/>
      </w:pPr>
      <w:r>
        <w:rPr>
          <w:rStyle w:val="FootnoteReference"/>
        </w:rPr>
        <w:footnoteRef/>
      </w:r>
      <w:r>
        <w:t xml:space="preserve"> </w:t>
      </w:r>
      <w:r>
        <w:rPr>
          <w:i/>
          <w:iCs/>
        </w:rPr>
        <w:t>See</w:t>
      </w:r>
      <w:r>
        <w:t xml:space="preserve"> </w:t>
      </w:r>
      <w:r w:rsidR="00AB4349">
        <w:rPr>
          <w:i/>
          <w:iCs/>
        </w:rPr>
        <w:t>i</w:t>
      </w:r>
      <w:r w:rsidR="003E4920">
        <w:rPr>
          <w:i/>
          <w:iCs/>
        </w:rPr>
        <w:t>d.</w:t>
      </w:r>
      <w:r w:rsidR="003E4920">
        <w:t xml:space="preserve"> </w:t>
      </w:r>
      <w:r w:rsidR="00747BEA">
        <w:t>at 4</w:t>
      </w:r>
      <w:r w:rsidR="00541695">
        <w:t>;</w:t>
      </w:r>
      <w:r w:rsidR="00747BEA">
        <w:t xml:space="preserve"> August Petition at 2-3; Sorenson </w:t>
      </w:r>
      <w:r w:rsidR="00747BEA">
        <w:rPr>
          <w:i/>
          <w:iCs/>
        </w:rPr>
        <w:t xml:space="preserve">Ex Parte </w:t>
      </w:r>
      <w:r w:rsidR="00747BEA">
        <w:t>at 2.</w:t>
      </w:r>
    </w:p>
  </w:footnote>
  <w:footnote w:id="20">
    <w:p w:rsidR="006E7B42" w14:paraId="1BABC05E" w14:textId="0DB4C7A5">
      <w:pPr>
        <w:pStyle w:val="FootnoteText"/>
      </w:pPr>
      <w:r>
        <w:rPr>
          <w:rStyle w:val="FootnoteReference"/>
        </w:rPr>
        <w:footnoteRef/>
      </w:r>
      <w:r>
        <w:t xml:space="preserve"> </w:t>
      </w:r>
      <w:r w:rsidRPr="006E7B42">
        <w:rPr>
          <w:i/>
          <w:iCs/>
        </w:rPr>
        <w:t>See</w:t>
      </w:r>
      <w:r w:rsidRPr="006E7B42">
        <w:t xml:space="preserve"> </w:t>
      </w:r>
      <w:r w:rsidR="00747BEA">
        <w:t>August Petition at 4-5.</w:t>
      </w:r>
    </w:p>
  </w:footnote>
  <w:footnote w:id="21">
    <w:p w:rsidR="008A66FE" w14:paraId="0253E0E4" w14:textId="210F1FD6">
      <w:pPr>
        <w:pStyle w:val="FootnoteText"/>
      </w:pPr>
      <w:r>
        <w:rPr>
          <w:rStyle w:val="FootnoteReference"/>
        </w:rPr>
        <w:footnoteRef/>
      </w:r>
      <w:r>
        <w:t xml:space="preserve"> </w:t>
      </w:r>
      <w:r w:rsidR="0023382C">
        <w:t>July</w:t>
      </w:r>
      <w:r>
        <w:t xml:space="preserve"> Petition at 4-6</w:t>
      </w:r>
      <w:r w:rsidR="00DC4EF2">
        <w:t xml:space="preserve">; 47 CFR </w:t>
      </w:r>
      <w:r w:rsidR="0025578C">
        <w:t>§ 64.</w:t>
      </w:r>
      <w:r w:rsidR="00C4642D">
        <w:t>631(f)(1)</w:t>
      </w:r>
      <w:r>
        <w:t xml:space="preserve">.  </w:t>
      </w:r>
      <w:r w:rsidRPr="00B653B9" w:rsidR="00A86601">
        <w:t>Sorenson state</w:t>
      </w:r>
      <w:r w:rsidRPr="00B653B9" w:rsidR="009B1CF7">
        <w:t>s that</w:t>
      </w:r>
      <w:r w:rsidRPr="00B653B9" w:rsidR="00A86601">
        <w:t xml:space="preserve"> </w:t>
      </w:r>
      <w:r w:rsidR="00D017AC">
        <w:t xml:space="preserve">additional information required by the rule </w:t>
      </w:r>
      <w:r w:rsidRPr="00B653B9" w:rsidR="00A84E20">
        <w:t xml:space="preserve">could be </w:t>
      </w:r>
      <w:r w:rsidR="00D017AC">
        <w:t xml:space="preserve">provided </w:t>
      </w:r>
      <w:r w:rsidRPr="00B653B9" w:rsidR="00A84E20">
        <w:t xml:space="preserve">at a later time, either in response to a specific inquiry by a user or in a </w:t>
      </w:r>
      <w:r w:rsidR="00D017AC">
        <w:t xml:space="preserve">subsequent </w:t>
      </w:r>
      <w:r w:rsidRPr="00B653B9" w:rsidR="00A84E20">
        <w:t xml:space="preserve">notice to all the GlobalVRS </w:t>
      </w:r>
      <w:r w:rsidRPr="00B653B9" w:rsidR="00F4468B">
        <w:t xml:space="preserve">users </w:t>
      </w:r>
      <w:r w:rsidRPr="00B653B9" w:rsidR="00A84E20">
        <w:t>acquired by Sorenson</w:t>
      </w:r>
      <w:r w:rsidRPr="00B653B9" w:rsidR="00A86601">
        <w:t>.</w:t>
      </w:r>
      <w:r w:rsidRPr="00B653B9" w:rsidR="00A84E20">
        <w:t xml:space="preserve">  </w:t>
      </w:r>
      <w:r w:rsidRPr="00B653B9" w:rsidR="00D559F9">
        <w:t xml:space="preserve">July </w:t>
      </w:r>
      <w:r w:rsidRPr="00B653B9" w:rsidR="00A84E20">
        <w:t>Petition at 5</w:t>
      </w:r>
      <w:r w:rsidRPr="00B653B9" w:rsidR="00D559F9">
        <w:t xml:space="preserve">; Sorenson </w:t>
      </w:r>
      <w:r w:rsidRPr="00B653B9" w:rsidR="00D559F9">
        <w:rPr>
          <w:i/>
          <w:iCs/>
        </w:rPr>
        <w:t>Ex Parte</w:t>
      </w:r>
      <w:r w:rsidRPr="00B653B9" w:rsidR="00D559F9">
        <w:t xml:space="preserve"> at </w:t>
      </w:r>
      <w:r w:rsidRPr="00B653B9" w:rsidR="0008193F">
        <w:t>2</w:t>
      </w:r>
      <w:r w:rsidRPr="00B653B9" w:rsidR="00A84E20">
        <w:t>.</w:t>
      </w:r>
    </w:p>
  </w:footnote>
  <w:footnote w:id="22">
    <w:p w:rsidR="00CE3611" w:rsidP="00631F5F" w14:paraId="3188400D" w14:textId="755AD60F">
      <w:pPr>
        <w:pStyle w:val="FootnoteText"/>
      </w:pPr>
      <w:r>
        <w:rPr>
          <w:rStyle w:val="FootnoteReference"/>
        </w:rPr>
        <w:footnoteRef/>
      </w:r>
      <w:r>
        <w:t xml:space="preserve"> </w:t>
      </w:r>
      <w:r w:rsidR="0023382C">
        <w:t>July</w:t>
      </w:r>
      <w:r>
        <w:t xml:space="preserve"> Petition at 4-5.</w:t>
      </w:r>
    </w:p>
  </w:footnote>
  <w:footnote w:id="23">
    <w:p w:rsidR="00EB635E" w14:paraId="1EED4B2F" w14:textId="518CCC1D">
      <w:pPr>
        <w:pStyle w:val="FootnoteText"/>
      </w:pPr>
      <w:r>
        <w:rPr>
          <w:rStyle w:val="FootnoteReference"/>
        </w:rPr>
        <w:footnoteRef/>
      </w:r>
      <w:r>
        <w:t xml:space="preserve"> </w:t>
      </w:r>
      <w:r w:rsidRPr="00BC58C1" w:rsidR="003E4920">
        <w:rPr>
          <w:i/>
          <w:iCs/>
        </w:rPr>
        <w:t>I</w:t>
      </w:r>
      <w:r w:rsidRPr="00BC58C1" w:rsidR="001E0E02">
        <w:rPr>
          <w:i/>
          <w:iCs/>
        </w:rPr>
        <w:t>d</w:t>
      </w:r>
      <w:r w:rsidRPr="00BC58C1" w:rsidR="003E4920">
        <w:rPr>
          <w:i/>
          <w:iCs/>
        </w:rPr>
        <w:t>.</w:t>
      </w:r>
      <w:r w:rsidRPr="00BC58C1">
        <w:rPr>
          <w:i/>
          <w:iCs/>
        </w:rPr>
        <w:t xml:space="preserve"> </w:t>
      </w:r>
      <w:r>
        <w:t>at 7-8.</w:t>
      </w:r>
    </w:p>
  </w:footnote>
  <w:footnote w:id="24">
    <w:p w:rsidR="00955867" w14:paraId="098ED833" w14:textId="5D3FBFC5">
      <w:pPr>
        <w:pStyle w:val="FootnoteText"/>
      </w:pPr>
      <w:r>
        <w:rPr>
          <w:rStyle w:val="FootnoteReference"/>
        </w:rPr>
        <w:footnoteRef/>
      </w:r>
      <w:r>
        <w:t xml:space="preserve"> </w:t>
      </w:r>
      <w:r w:rsidRPr="008F28B0" w:rsidR="003E4920">
        <w:rPr>
          <w:i/>
          <w:iCs/>
        </w:rPr>
        <w:t>Id.</w:t>
      </w:r>
      <w:r w:rsidR="003E4920">
        <w:rPr>
          <w:i/>
          <w:iCs/>
        </w:rPr>
        <w:t xml:space="preserve"> </w:t>
      </w:r>
      <w:r>
        <w:t>at 8.</w:t>
      </w:r>
    </w:p>
  </w:footnote>
  <w:footnote w:id="25">
    <w:p w:rsidR="00955867" w14:paraId="14EC3249" w14:textId="316B2F59">
      <w:pPr>
        <w:pStyle w:val="FootnoteText"/>
      </w:pPr>
      <w:r>
        <w:rPr>
          <w:rStyle w:val="FootnoteReference"/>
        </w:rPr>
        <w:footnoteRef/>
      </w:r>
      <w:r>
        <w:t xml:space="preserve"> </w:t>
      </w:r>
      <w:r w:rsidRPr="008F28B0" w:rsidR="00A27CF2">
        <w:rPr>
          <w:i/>
          <w:iCs/>
        </w:rPr>
        <w:t>Id.</w:t>
      </w:r>
      <w:r>
        <w:t xml:space="preserve"> at 7.</w:t>
      </w:r>
    </w:p>
  </w:footnote>
  <w:footnote w:id="26">
    <w:p w:rsidR="00A556DD" w14:paraId="176B9BC9" w14:textId="4AD60316">
      <w:pPr>
        <w:pStyle w:val="FootnoteText"/>
      </w:pPr>
      <w:r>
        <w:rPr>
          <w:rStyle w:val="FootnoteReference"/>
        </w:rPr>
        <w:footnoteRef/>
      </w:r>
      <w:r>
        <w:t xml:space="preserve"> August Petition at 3</w:t>
      </w:r>
      <w:r w:rsidR="002C49B3">
        <w:t>-5</w:t>
      </w:r>
      <w:r w:rsidR="00C061B0">
        <w:t xml:space="preserve">; Sorenson </w:t>
      </w:r>
      <w:r w:rsidR="00C061B0">
        <w:rPr>
          <w:i/>
          <w:iCs/>
        </w:rPr>
        <w:t>Ex Parte</w:t>
      </w:r>
      <w:r w:rsidR="00C061B0">
        <w:t xml:space="preserve"> at 2-3</w:t>
      </w:r>
      <w:r w:rsidR="002C49B3">
        <w:t>.</w:t>
      </w:r>
    </w:p>
  </w:footnote>
  <w:footnote w:id="27">
    <w:p w:rsidR="001C5D9C" w14:paraId="46B70F6E" w14:textId="7FD03723">
      <w:pPr>
        <w:pStyle w:val="FootnoteText"/>
      </w:pPr>
      <w:r>
        <w:rPr>
          <w:rStyle w:val="FootnoteReference"/>
        </w:rPr>
        <w:footnoteRef/>
      </w:r>
      <w:r>
        <w:t xml:space="preserve"> August Petition at 4.</w:t>
      </w:r>
    </w:p>
  </w:footnote>
  <w:footnote w:id="28">
    <w:p w:rsidR="003F191C" w:rsidRPr="003F191C" w14:paraId="05848AD6" w14:textId="733DD0BE">
      <w:pPr>
        <w:pStyle w:val="FootnoteText"/>
      </w:pPr>
      <w:r>
        <w:rPr>
          <w:rStyle w:val="FootnoteReference"/>
        </w:rPr>
        <w:footnoteRef/>
      </w:r>
      <w:r>
        <w:t xml:space="preserve"> Sorenson </w:t>
      </w:r>
      <w:r>
        <w:rPr>
          <w:i/>
          <w:iCs/>
        </w:rPr>
        <w:t>Ex Parte</w:t>
      </w:r>
      <w:r>
        <w:t xml:space="preserve"> at 2.</w:t>
      </w:r>
    </w:p>
  </w:footnote>
  <w:footnote w:id="29">
    <w:p w:rsidR="008D32B0" w14:paraId="3A641B07" w14:textId="18FA34DB">
      <w:pPr>
        <w:pStyle w:val="FootnoteText"/>
      </w:pPr>
      <w:r>
        <w:rPr>
          <w:rStyle w:val="FootnoteReference"/>
        </w:rPr>
        <w:footnoteRef/>
      </w:r>
      <w:r>
        <w:t xml:space="preserve"> August Petition at 4</w:t>
      </w:r>
      <w:r w:rsidR="00E90CE7">
        <w:t xml:space="preserve">; Sorenson </w:t>
      </w:r>
      <w:r w:rsidR="00E90CE7">
        <w:rPr>
          <w:i/>
          <w:iCs/>
        </w:rPr>
        <w:t xml:space="preserve">Ex Parte </w:t>
      </w:r>
      <w:r w:rsidR="00E90CE7">
        <w:t>at 2</w:t>
      </w:r>
      <w:r>
        <w:t>.</w:t>
      </w:r>
    </w:p>
  </w:footnote>
  <w:footnote w:id="30">
    <w:p w:rsidR="00854B47" w14:paraId="1395B1EB" w14:textId="6503F4A2">
      <w:pPr>
        <w:pStyle w:val="FootnoteText"/>
      </w:pPr>
      <w:r>
        <w:rPr>
          <w:rStyle w:val="FootnoteReference"/>
        </w:rPr>
        <w:footnoteRef/>
      </w:r>
      <w:r>
        <w:t xml:space="preserve"> August Petition at 5-6</w:t>
      </w:r>
      <w:r w:rsidR="009A6BBE">
        <w:t xml:space="preserve">; Sorenson </w:t>
      </w:r>
      <w:r w:rsidR="009A6BBE">
        <w:rPr>
          <w:i/>
          <w:iCs/>
        </w:rPr>
        <w:t xml:space="preserve">Ex Parte </w:t>
      </w:r>
      <w:r w:rsidR="009A6BBE">
        <w:t>at 3</w:t>
      </w:r>
      <w:r>
        <w:t>.</w:t>
      </w:r>
    </w:p>
  </w:footnote>
  <w:footnote w:id="31">
    <w:p w:rsidR="008A33D1" w14:paraId="6B9D0D47" w14:textId="7A5A03CA">
      <w:pPr>
        <w:pStyle w:val="FootnoteText"/>
      </w:pPr>
      <w:r>
        <w:rPr>
          <w:rStyle w:val="FootnoteReference"/>
        </w:rPr>
        <w:footnoteRef/>
      </w:r>
      <w:r>
        <w:t xml:space="preserve"> </w:t>
      </w:r>
      <w:r w:rsidR="0047267D">
        <w:t xml:space="preserve">47 CFR § 64.604(b)(2)(iii); </w:t>
      </w:r>
      <w:r>
        <w:t>August Petition at 5.</w:t>
      </w:r>
    </w:p>
  </w:footnote>
  <w:footnote w:id="32">
    <w:p w:rsidR="008A33D1" w14:paraId="63D08034" w14:textId="7C589F90">
      <w:pPr>
        <w:pStyle w:val="FootnoteText"/>
      </w:pPr>
      <w:r>
        <w:rPr>
          <w:rStyle w:val="FootnoteReference"/>
        </w:rPr>
        <w:footnoteRef/>
      </w:r>
      <w:r>
        <w:t xml:space="preserve"> August Petition at 6</w:t>
      </w:r>
      <w:r w:rsidR="00CA31FE">
        <w:t xml:space="preserve">; </w:t>
      </w:r>
      <w:r w:rsidR="008B699E">
        <w:t xml:space="preserve">Sorenson </w:t>
      </w:r>
      <w:r w:rsidR="008B699E">
        <w:rPr>
          <w:i/>
          <w:iCs/>
        </w:rPr>
        <w:t xml:space="preserve">Ex Parte </w:t>
      </w:r>
      <w:r w:rsidR="008B699E">
        <w:t>at 3</w:t>
      </w:r>
      <w:r>
        <w:t>.</w:t>
      </w:r>
    </w:p>
  </w:footnote>
  <w:footnote w:id="33">
    <w:p w:rsidR="008A33D1" w14:paraId="5ADC3A67" w14:textId="61D60197">
      <w:pPr>
        <w:pStyle w:val="FootnoteText"/>
      </w:pPr>
      <w:r>
        <w:rPr>
          <w:rStyle w:val="FootnoteReference"/>
        </w:rPr>
        <w:footnoteRef/>
      </w:r>
      <w:r>
        <w:t xml:space="preserve"> August Petition at 6</w:t>
      </w:r>
      <w:r w:rsidR="008B699E">
        <w:t xml:space="preserve">; Sorenson </w:t>
      </w:r>
      <w:r w:rsidR="008B699E">
        <w:rPr>
          <w:i/>
          <w:iCs/>
        </w:rPr>
        <w:t xml:space="preserve">Ex Parte </w:t>
      </w:r>
      <w:r w:rsidR="008B699E">
        <w:t>at 3</w:t>
      </w:r>
      <w:r>
        <w:t>.</w:t>
      </w:r>
    </w:p>
  </w:footnote>
  <w:footnote w:id="34">
    <w:p w:rsidR="00056103" w:rsidP="00056103" w14:paraId="61DC4A19" w14:textId="77777777">
      <w:pPr>
        <w:pStyle w:val="FootnoteText"/>
      </w:pPr>
      <w:r>
        <w:rPr>
          <w:rStyle w:val="FootnoteReference"/>
        </w:rPr>
        <w:footnoteRef/>
      </w:r>
      <w:r>
        <w:t xml:space="preserve"> 47 CFR § 1.3.</w:t>
      </w:r>
    </w:p>
  </w:footnote>
  <w:footnote w:id="35">
    <w:p w:rsidR="00056103" w:rsidP="00056103" w14:paraId="5B13845C" w14:textId="77777777">
      <w:pPr>
        <w:pStyle w:val="FootnoteText"/>
      </w:pPr>
      <w:r>
        <w:rPr>
          <w:rStyle w:val="FootnoteReference"/>
        </w:rPr>
        <w:footnoteRef/>
      </w:r>
      <w:r>
        <w:t xml:space="preserve"> </w:t>
      </w:r>
      <w:r>
        <w:rPr>
          <w:i/>
        </w:rPr>
        <w:t>Northeast Cellular Tel. Co. v. FCC</w:t>
      </w:r>
      <w:r>
        <w:t>, 897 F.2d 1164, 1166 (D.C. Cir. 1990).</w:t>
      </w:r>
    </w:p>
  </w:footnote>
  <w:footnote w:id="36">
    <w:p w:rsidR="00056103" w:rsidP="00056103" w14:paraId="16C9B11D"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37">
    <w:p w:rsidR="00056103" w:rsidP="00E913FA" w14:paraId="529C6A65" w14:textId="67B75261">
      <w:pPr>
        <w:pStyle w:val="FootnoteText"/>
        <w:tabs>
          <w:tab w:val="left" w:pos="6417"/>
        </w:tabs>
      </w:pPr>
      <w:r>
        <w:rPr>
          <w:rStyle w:val="FootnoteReference"/>
        </w:rPr>
        <w:footnoteRef/>
      </w:r>
      <w:r>
        <w:t xml:space="preserve"> </w:t>
      </w:r>
      <w:r>
        <w:rPr>
          <w:i/>
        </w:rPr>
        <w:t xml:space="preserve">Northeast </w:t>
      </w:r>
      <w:r w:rsidRPr="00310851">
        <w:rPr>
          <w:i/>
        </w:rPr>
        <w:t>Cellular</w:t>
      </w:r>
      <w:r>
        <w:t>, 897 F.2d at 1166.</w:t>
      </w:r>
      <w:r w:rsidR="006F2F9C">
        <w:tab/>
      </w:r>
    </w:p>
  </w:footnote>
  <w:footnote w:id="38">
    <w:p w:rsidR="00F7185B" w:rsidRPr="00C5123E" w:rsidP="00F7185B" w14:paraId="6B134DC8" w14:textId="57BA0FC4">
      <w:pPr>
        <w:pStyle w:val="FootnoteText"/>
      </w:pPr>
      <w:r>
        <w:rPr>
          <w:rStyle w:val="FootnoteReference"/>
        </w:rPr>
        <w:footnoteRef/>
      </w:r>
      <w:r>
        <w:t xml:space="preserve"> Sorenson </w:t>
      </w:r>
      <w:r>
        <w:rPr>
          <w:i/>
          <w:iCs/>
        </w:rPr>
        <w:t>Ex Parte</w:t>
      </w:r>
      <w:r>
        <w:t xml:space="preserve"> at 1.  </w:t>
      </w:r>
      <w:r w:rsidR="005F2D4E">
        <w:t xml:space="preserve">As explained earlier, </w:t>
      </w:r>
      <w:r w:rsidR="00927DCC">
        <w:t xml:space="preserve">GlobalVRS is terminating its provision of VRS.  </w:t>
      </w:r>
      <w:r w:rsidR="00C97FC6">
        <w:t xml:space="preserve">Under an </w:t>
      </w:r>
      <w:r>
        <w:t xml:space="preserve">agreement </w:t>
      </w:r>
      <w:r w:rsidR="00C97FC6">
        <w:t xml:space="preserve">to </w:t>
      </w:r>
      <w:r>
        <w:t xml:space="preserve">transfer </w:t>
      </w:r>
      <w:r>
        <w:t>GlobalVRS’s</w:t>
      </w:r>
      <w:r>
        <w:t xml:space="preserve"> remaining </w:t>
      </w:r>
      <w:r w:rsidR="00C12F4D">
        <w:t xml:space="preserve">registered </w:t>
      </w:r>
      <w:r>
        <w:t>users to Sorenson</w:t>
      </w:r>
      <w:r w:rsidR="00EA14EC">
        <w:t xml:space="preserve">, Sorenson would become the “default” provider </w:t>
      </w:r>
      <w:r w:rsidR="00C12F4D">
        <w:t xml:space="preserve">to which </w:t>
      </w:r>
      <w:r w:rsidR="001A6144">
        <w:t xml:space="preserve">VRS </w:t>
      </w:r>
      <w:r w:rsidR="00C12F4D">
        <w:t xml:space="preserve">calls to and from such users are routed unless the user </w:t>
      </w:r>
      <w:r w:rsidR="001A6144">
        <w:t>affirmative chooses to use a different provider</w:t>
      </w:r>
      <w:r>
        <w:t>.</w:t>
      </w:r>
      <w:r w:rsidR="005F2D4E">
        <w:t xml:space="preserve">  </w:t>
      </w:r>
      <w:r w:rsidRPr="0074356C" w:rsidR="0074356C">
        <w:rPr>
          <w:i/>
          <w:iCs/>
        </w:rPr>
        <w:t xml:space="preserve">See </w:t>
      </w:r>
      <w:r w:rsidRPr="0074356C" w:rsidR="0074356C">
        <w:t>47 CFR § 64.6</w:t>
      </w:r>
      <w:r w:rsidR="0074356C">
        <w:t>1</w:t>
      </w:r>
      <w:r w:rsidRPr="0074356C" w:rsidR="0074356C">
        <w:t>1(</w:t>
      </w:r>
      <w:r w:rsidR="00E141E7">
        <w:t>a</w:t>
      </w:r>
      <w:r w:rsidRPr="0074356C" w:rsidR="0074356C">
        <w:t>)(1)</w:t>
      </w:r>
      <w:r w:rsidR="00E141E7">
        <w:t>, (2)</w:t>
      </w:r>
      <w:r w:rsidRPr="0074356C" w:rsidR="0074356C">
        <w:t>.</w:t>
      </w:r>
    </w:p>
  </w:footnote>
  <w:footnote w:id="39">
    <w:p w:rsidR="00E33E55" w14:paraId="73D05E71" w14:textId="365FDC90">
      <w:pPr>
        <w:pStyle w:val="FootnoteText"/>
      </w:pPr>
      <w:r>
        <w:rPr>
          <w:rStyle w:val="FootnoteReference"/>
        </w:rPr>
        <w:footnoteRef/>
      </w:r>
      <w:r>
        <w:t xml:space="preserve"> </w:t>
      </w:r>
      <w:r w:rsidRPr="00DA1D23">
        <w:rPr>
          <w:i/>
          <w:iCs/>
        </w:rPr>
        <w:t xml:space="preserve">See </w:t>
      </w:r>
      <w:r w:rsidRPr="00DA1D23">
        <w:t xml:space="preserve">July Petition, </w:t>
      </w:r>
      <w:r w:rsidRPr="00DA1D23">
        <w:t>Att</w:t>
      </w:r>
      <w:r>
        <w:t>achs</w:t>
      </w:r>
      <w:r>
        <w:t>.</w:t>
      </w:r>
      <w:r w:rsidRPr="00DA1D23">
        <w:t xml:space="preserve"> B</w:t>
      </w:r>
      <w:r>
        <w:t>, C.</w:t>
      </w:r>
    </w:p>
  </w:footnote>
  <w:footnote w:id="40">
    <w:p w:rsidR="00662406" w:rsidP="00662406" w14:paraId="056608EA" w14:textId="7038DE4E">
      <w:pPr>
        <w:pStyle w:val="FootnoteText"/>
      </w:pPr>
      <w:r>
        <w:rPr>
          <w:rStyle w:val="FootnoteReference"/>
        </w:rPr>
        <w:footnoteRef/>
      </w:r>
      <w:r>
        <w:t xml:space="preserve"> </w:t>
      </w:r>
      <w:r w:rsidRPr="00DC7232">
        <w:rPr>
          <w:i/>
          <w:iCs/>
        </w:rPr>
        <w:t xml:space="preserve">See </w:t>
      </w:r>
      <w:r w:rsidR="00B45C0E">
        <w:rPr>
          <w:i/>
          <w:iCs/>
        </w:rPr>
        <w:t>i</w:t>
      </w:r>
      <w:r w:rsidRPr="008F28B0" w:rsidR="00A27CF2">
        <w:rPr>
          <w:i/>
          <w:iCs/>
        </w:rPr>
        <w:t>d.</w:t>
      </w:r>
      <w:r w:rsidRPr="00DC7232">
        <w:t>, Att</w:t>
      </w:r>
      <w:r w:rsidR="00D35764">
        <w:t>ach.</w:t>
      </w:r>
      <w:r w:rsidRPr="00DC7232">
        <w:t xml:space="preserve"> </w:t>
      </w:r>
      <w:r>
        <w:t>C.</w:t>
      </w:r>
    </w:p>
  </w:footnote>
  <w:footnote w:id="41">
    <w:p w:rsidR="007B70CD" w14:paraId="2DAE67EC" w14:textId="43C926AA">
      <w:pPr>
        <w:pStyle w:val="FootnoteText"/>
      </w:pPr>
      <w:r>
        <w:rPr>
          <w:rStyle w:val="FootnoteReference"/>
        </w:rPr>
        <w:footnoteRef/>
      </w:r>
      <w:r>
        <w:t xml:space="preserve"> </w:t>
      </w:r>
      <w:r w:rsidRPr="008F28B0" w:rsidR="00A27CF2">
        <w:rPr>
          <w:i/>
          <w:iCs/>
        </w:rPr>
        <w:t>Id.</w:t>
      </w:r>
      <w:r w:rsidR="00A27CF2">
        <w:rPr>
          <w:i/>
          <w:iCs/>
        </w:rPr>
        <w:t xml:space="preserve"> </w:t>
      </w:r>
      <w:r w:rsidRPr="007B70CD">
        <w:t>at 4-6.</w:t>
      </w:r>
    </w:p>
  </w:footnote>
  <w:footnote w:id="42">
    <w:p w:rsidR="00E33E55" w:rsidP="00E33E55" w14:paraId="0CBC72DF" w14:textId="76D7D8DD">
      <w:pPr>
        <w:pStyle w:val="FootnoteText"/>
      </w:pPr>
      <w:r>
        <w:rPr>
          <w:rStyle w:val="FootnoteReference"/>
        </w:rPr>
        <w:footnoteRef/>
      </w:r>
      <w:r>
        <w:t xml:space="preserve"> </w:t>
      </w:r>
      <w:r w:rsidRPr="008F28B0" w:rsidR="00A27CF2">
        <w:rPr>
          <w:i/>
          <w:iCs/>
        </w:rPr>
        <w:t>Id.</w:t>
      </w:r>
      <w:r>
        <w:t xml:space="preserve"> at 4-6.  </w:t>
      </w:r>
    </w:p>
  </w:footnote>
  <w:footnote w:id="43">
    <w:p w:rsidR="00F43B2C" w14:paraId="7F1A1EDB" w14:textId="72B7AFDA">
      <w:pPr>
        <w:pStyle w:val="FootnoteText"/>
      </w:pPr>
      <w:r>
        <w:rPr>
          <w:rStyle w:val="FootnoteReference"/>
        </w:rPr>
        <w:footnoteRef/>
      </w:r>
      <w:r>
        <w:t xml:space="preserve"> </w:t>
      </w:r>
      <w:r w:rsidR="003E5E47">
        <w:t>47 CFR § 6</w:t>
      </w:r>
      <w:r w:rsidR="00BF6F30">
        <w:t>31(f)(1)(</w:t>
      </w:r>
      <w:r w:rsidR="00BF6F30">
        <w:t>i</w:t>
      </w:r>
      <w:r w:rsidR="00BF6F30">
        <w:t>)</w:t>
      </w:r>
      <w:r w:rsidR="00B11C59">
        <w:t>.</w:t>
      </w:r>
    </w:p>
  </w:footnote>
  <w:footnote w:id="44">
    <w:p w:rsidR="00B70865" w14:paraId="737B31AE" w14:textId="55BEFA16">
      <w:pPr>
        <w:pStyle w:val="FootnoteText"/>
      </w:pPr>
      <w:r>
        <w:rPr>
          <w:rStyle w:val="FootnoteReference"/>
        </w:rPr>
        <w:footnoteRef/>
      </w:r>
      <w:r>
        <w:t xml:space="preserve"> </w:t>
      </w:r>
      <w:r w:rsidRPr="008F28B0" w:rsidR="00817E34">
        <w:rPr>
          <w:i/>
          <w:iCs/>
        </w:rPr>
        <w:t>Id.</w:t>
      </w:r>
      <w:r w:rsidR="00817E34">
        <w:rPr>
          <w:i/>
          <w:iCs/>
        </w:rPr>
        <w:t xml:space="preserve"> </w:t>
      </w:r>
      <w:r w:rsidR="00BF6F30">
        <w:t>§ 631(f)(1)(i</w:t>
      </w:r>
      <w:r w:rsidR="001447BA">
        <w:t>ii</w:t>
      </w:r>
      <w:r w:rsidR="00BF6F30">
        <w:t>)</w:t>
      </w:r>
      <w:r w:rsidR="00B11C59">
        <w:t>.</w:t>
      </w:r>
    </w:p>
  </w:footnote>
  <w:footnote w:id="45">
    <w:p w:rsidR="00B70865" w14:paraId="52CFD665" w14:textId="3C83B208">
      <w:pPr>
        <w:pStyle w:val="FootnoteText"/>
      </w:pPr>
      <w:r>
        <w:rPr>
          <w:rStyle w:val="FootnoteReference"/>
        </w:rPr>
        <w:footnoteRef/>
      </w:r>
      <w:r>
        <w:t xml:space="preserve"> </w:t>
      </w:r>
      <w:r w:rsidRPr="008F28B0" w:rsidR="00817E34">
        <w:rPr>
          <w:i/>
          <w:iCs/>
        </w:rPr>
        <w:t>Id.</w:t>
      </w:r>
      <w:r w:rsidR="001447BA">
        <w:t xml:space="preserve"> § 631(f)(1)(iv)</w:t>
      </w:r>
      <w:r w:rsidR="00B11C59">
        <w:t>.</w:t>
      </w:r>
    </w:p>
  </w:footnote>
  <w:footnote w:id="46">
    <w:p w:rsidR="0023101F" w14:paraId="3CC3A77A" w14:textId="190E370C">
      <w:pPr>
        <w:pStyle w:val="FootnoteText"/>
      </w:pPr>
      <w:r>
        <w:rPr>
          <w:rStyle w:val="FootnoteReference"/>
        </w:rPr>
        <w:footnoteRef/>
      </w:r>
      <w:r>
        <w:t xml:space="preserve"> Sorenson </w:t>
      </w:r>
      <w:r>
        <w:rPr>
          <w:i/>
          <w:iCs/>
        </w:rPr>
        <w:t>Ex Parte</w:t>
      </w:r>
      <w:r>
        <w:t xml:space="preserve"> at 2.</w:t>
      </w:r>
    </w:p>
  </w:footnote>
  <w:footnote w:id="47">
    <w:p w:rsidR="00577082" w:rsidP="00577082" w14:paraId="6E0A612C" w14:textId="77777777">
      <w:pPr>
        <w:pStyle w:val="FootnoteText"/>
      </w:pPr>
      <w:r>
        <w:rPr>
          <w:rStyle w:val="FootnoteReference"/>
        </w:rPr>
        <w:footnoteRef/>
      </w:r>
      <w:r>
        <w:t xml:space="preserve"> 47 CFR § 64.631(f)(1)(</w:t>
      </w:r>
      <w:r>
        <w:t>i</w:t>
      </w:r>
      <w:r>
        <w:t>).</w:t>
      </w:r>
    </w:p>
  </w:footnote>
  <w:footnote w:id="48">
    <w:p w:rsidR="000F5FD2" w:rsidP="000F5FD2" w14:paraId="6BD8B47E" w14:textId="44D1EF8A">
      <w:pPr>
        <w:pStyle w:val="FootnoteText"/>
      </w:pPr>
      <w:r>
        <w:rPr>
          <w:rStyle w:val="FootnoteReference"/>
        </w:rPr>
        <w:footnoteRef/>
      </w:r>
      <w:r>
        <w:t xml:space="preserve"> </w:t>
      </w:r>
      <w:r w:rsidRPr="008F28B0" w:rsidR="00817E34">
        <w:rPr>
          <w:i/>
          <w:iCs/>
        </w:rPr>
        <w:t>Id.</w:t>
      </w:r>
      <w:r>
        <w:t xml:space="preserve"> </w:t>
      </w:r>
      <w:bookmarkStart w:id="3" w:name="_Hlk146798352"/>
      <w:r>
        <w:t>§</w:t>
      </w:r>
      <w:bookmarkEnd w:id="3"/>
      <w:r w:rsidRPr="00243619" w:rsidR="009D53C6">
        <w:t xml:space="preserve">§ </w:t>
      </w:r>
      <w:r w:rsidR="009D53C6">
        <w:t xml:space="preserve">64.611(a)(4), </w:t>
      </w:r>
      <w:r>
        <w:t>64.615(a)(6)(</w:t>
      </w:r>
      <w:r>
        <w:t>i</w:t>
      </w:r>
      <w:r>
        <w:t xml:space="preserve">)-(vi).  In 2022, the Commission adopted changes to this rule that </w:t>
      </w:r>
      <w:r w:rsidR="00437A71">
        <w:t xml:space="preserve">allow </w:t>
      </w:r>
      <w:r>
        <w:t xml:space="preserve">the user to </w:t>
      </w:r>
      <w:r w:rsidR="00437A71">
        <w:t xml:space="preserve">receive service for two weeks </w:t>
      </w:r>
      <w:r w:rsidR="006C546A">
        <w:t xml:space="preserve">while identity verification is completed.  The user must </w:t>
      </w:r>
      <w:r>
        <w:t xml:space="preserve">be ported back to the original VRS provider if verification is not completed within two weeks. This rule change </w:t>
      </w:r>
      <w:r w:rsidR="00574687">
        <w:t xml:space="preserve">is not effective until approved by </w:t>
      </w:r>
      <w:r>
        <w:t>the Office of Management and Budget</w:t>
      </w:r>
      <w:r w:rsidRPr="00574687" w:rsidR="00574687">
        <w:t xml:space="preserve"> </w:t>
      </w:r>
      <w:r w:rsidR="00574687">
        <w:t>under the Paperwork Reduction Act</w:t>
      </w:r>
      <w:r>
        <w:t xml:space="preserve">. </w:t>
      </w:r>
      <w:r w:rsidR="00352704">
        <w:t xml:space="preserve"> </w:t>
      </w:r>
      <w:r w:rsidRPr="00AD7F86">
        <w:rPr>
          <w:i/>
          <w:iCs/>
        </w:rPr>
        <w:t>Telecommunications Relay Services and Speech-to-Speech Services for Individuals with Hearing and Speech Disabilities; Structure and Practices of the Video Relay Services Program; Misuse of Internet Protocol (IP) Captioned Telephone Service; Petition for Rulemaking and Interim Waiver of Convo Communications, LLC</w:t>
      </w:r>
      <w:r>
        <w:t xml:space="preserve">, </w:t>
      </w:r>
      <w:r w:rsidR="00E37B02">
        <w:t>CG Docket Nos. 03-123, 1</w:t>
      </w:r>
      <w:r w:rsidR="00E3546F">
        <w:t>0-51, and 13-24</w:t>
      </w:r>
      <w:r w:rsidR="009958FB">
        <w:t>,</w:t>
      </w:r>
      <w:r w:rsidR="00E3546F">
        <w:t xml:space="preserve"> </w:t>
      </w:r>
      <w:r>
        <w:t xml:space="preserve">Report </w:t>
      </w:r>
      <w:r w:rsidR="00E3546F">
        <w:t>and</w:t>
      </w:r>
      <w:r>
        <w:t xml:space="preserve"> Order, Notice of Proposed Rulemaking, Order, and Declaratory Ruling, </w:t>
      </w:r>
      <w:r w:rsidR="003B0951">
        <w:t xml:space="preserve">37 </w:t>
      </w:r>
      <w:r>
        <w:t xml:space="preserve">FCC </w:t>
      </w:r>
      <w:r w:rsidR="003B0951">
        <w:t>Rcd</w:t>
      </w:r>
      <w:r w:rsidR="003B0951">
        <w:t xml:space="preserve"> 8107</w:t>
      </w:r>
      <w:r>
        <w:t xml:space="preserve"> (2022); Sorenson Communications, LLC, Petition for Partial Reconsideration, CG Docket Nos. 03-123, 10-51, &amp; 13-24 (filed Oct. 21, 2022).</w:t>
      </w:r>
    </w:p>
  </w:footnote>
  <w:footnote w:id="49">
    <w:p w:rsidR="002D7B1F" w:rsidRPr="002D7B1F" w14:paraId="5B4C3731" w14:textId="42686BEA">
      <w:pPr>
        <w:pStyle w:val="FootnoteText"/>
      </w:pPr>
      <w:r>
        <w:rPr>
          <w:rStyle w:val="FootnoteReference"/>
        </w:rPr>
        <w:footnoteRef/>
      </w:r>
      <w:r>
        <w:t xml:space="preserve"> </w:t>
      </w:r>
      <w:r>
        <w:rPr>
          <w:i/>
          <w:iCs/>
        </w:rPr>
        <w:t>See</w:t>
      </w:r>
      <w:r>
        <w:t xml:space="preserve"> July Petition at 7-8.</w:t>
      </w:r>
    </w:p>
  </w:footnote>
  <w:footnote w:id="50">
    <w:p w:rsidR="00D27434" w14:paraId="5F9565B7" w14:textId="3790D9A0">
      <w:pPr>
        <w:pStyle w:val="FootnoteText"/>
      </w:pPr>
      <w:r>
        <w:rPr>
          <w:rStyle w:val="FootnoteReference"/>
        </w:rPr>
        <w:footnoteRef/>
      </w:r>
      <w:r>
        <w:t xml:space="preserve"> </w:t>
      </w:r>
      <w:r w:rsidRPr="008F28B0" w:rsidR="00A27CF2">
        <w:rPr>
          <w:i/>
          <w:iCs/>
        </w:rPr>
        <w:t>Id.</w:t>
      </w:r>
      <w:r w:rsidR="00FA4E19">
        <w:t xml:space="preserve"> at 7.</w:t>
      </w:r>
    </w:p>
  </w:footnote>
  <w:footnote w:id="51">
    <w:p w:rsidR="00A73095" w14:paraId="757A6CD3" w14:textId="43A5B500">
      <w:pPr>
        <w:pStyle w:val="FootnoteText"/>
      </w:pPr>
      <w:r>
        <w:rPr>
          <w:rStyle w:val="FootnoteReference"/>
        </w:rPr>
        <w:footnoteRef/>
      </w:r>
      <w:r>
        <w:t xml:space="preserve"> </w:t>
      </w:r>
      <w:bookmarkStart w:id="4" w:name="_Hlk146812652"/>
      <w:r w:rsidRPr="008F28B0" w:rsidR="00A27CF2">
        <w:rPr>
          <w:i/>
          <w:iCs/>
        </w:rPr>
        <w:t>Id.</w:t>
      </w:r>
      <w:r w:rsidR="00D56D55">
        <w:rPr>
          <w:i/>
          <w:iCs/>
        </w:rPr>
        <w:t xml:space="preserve"> </w:t>
      </w:r>
      <w:r w:rsidRPr="00A73095">
        <w:t>at 7-8.</w:t>
      </w:r>
      <w:bookmarkEnd w:id="4"/>
    </w:p>
  </w:footnote>
  <w:footnote w:id="52">
    <w:p w:rsidR="00BB2294" w14:paraId="05645BF3" w14:textId="38883DAE">
      <w:pPr>
        <w:pStyle w:val="FootnoteText"/>
      </w:pPr>
      <w:r>
        <w:rPr>
          <w:rStyle w:val="FootnoteReference"/>
        </w:rPr>
        <w:footnoteRef/>
      </w:r>
      <w:r>
        <w:t xml:space="preserve"> </w:t>
      </w:r>
      <w:bookmarkStart w:id="5" w:name="_Hlk146812812"/>
      <w:r w:rsidRPr="008F28B0" w:rsidR="00A27CF2">
        <w:rPr>
          <w:i/>
          <w:iCs/>
        </w:rPr>
        <w:t>Id.</w:t>
      </w:r>
      <w:r w:rsidRPr="00BB2294">
        <w:t xml:space="preserve"> at 8.</w:t>
      </w:r>
      <w:bookmarkEnd w:id="5"/>
    </w:p>
  </w:footnote>
  <w:footnote w:id="53">
    <w:p w:rsidR="00555950" w14:paraId="62BDB989" w14:textId="77B1A738">
      <w:pPr>
        <w:pStyle w:val="FootnoteText"/>
      </w:pPr>
      <w:r>
        <w:rPr>
          <w:rStyle w:val="FootnoteReference"/>
        </w:rPr>
        <w:footnoteRef/>
      </w:r>
      <w:r>
        <w:t xml:space="preserve"> </w:t>
      </w:r>
      <w:r w:rsidRPr="008F28B0" w:rsidR="00A27CF2">
        <w:rPr>
          <w:i/>
          <w:iCs/>
        </w:rPr>
        <w:t>Id.</w:t>
      </w:r>
      <w:r w:rsidRPr="00555950">
        <w:t xml:space="preserve"> at 8.</w:t>
      </w:r>
    </w:p>
  </w:footnote>
  <w:footnote w:id="54">
    <w:p w:rsidR="000C3CB1" w14:paraId="23960C9C" w14:textId="35ED48FB">
      <w:pPr>
        <w:pStyle w:val="FootnoteText"/>
      </w:pPr>
      <w:r>
        <w:rPr>
          <w:rStyle w:val="FootnoteReference"/>
        </w:rPr>
        <w:footnoteRef/>
      </w:r>
      <w:r>
        <w:t xml:space="preserve"> </w:t>
      </w:r>
      <w:r w:rsidRPr="008F28B0" w:rsidR="00A27CF2">
        <w:rPr>
          <w:i/>
          <w:iCs/>
        </w:rPr>
        <w:t>Id.</w:t>
      </w:r>
      <w:r w:rsidRPr="003E34EF" w:rsidR="003E34EF">
        <w:t xml:space="preserve"> at </w:t>
      </w:r>
      <w:r w:rsidR="003E34EF">
        <w:t>6</w:t>
      </w:r>
      <w:r w:rsidRPr="003E34EF" w:rsidR="003E34EF">
        <w:t>.</w:t>
      </w:r>
    </w:p>
  </w:footnote>
  <w:footnote w:id="55">
    <w:p w:rsidR="00A1139F" w:rsidRPr="00817E56" w14:paraId="2A2E303A" w14:textId="4575F138">
      <w:pPr>
        <w:pStyle w:val="FootnoteText"/>
      </w:pPr>
      <w:r>
        <w:rPr>
          <w:rStyle w:val="FootnoteReference"/>
        </w:rPr>
        <w:footnoteRef/>
      </w:r>
      <w:r>
        <w:t xml:space="preserve"> </w:t>
      </w:r>
      <w:r w:rsidRPr="00817E56">
        <w:rPr>
          <w:i/>
          <w:iCs/>
        </w:rPr>
        <w:t>See</w:t>
      </w:r>
      <w:r>
        <w:t xml:space="preserve"> </w:t>
      </w:r>
      <w:bookmarkStart w:id="6" w:name="_Hlk146818122"/>
      <w:r w:rsidRPr="00817E56" w:rsidR="00817E56">
        <w:rPr>
          <w:i/>
          <w:iCs/>
        </w:rPr>
        <w:t>GlobalVRS Reimbursement Order</w:t>
      </w:r>
      <w:r w:rsidR="00817E56">
        <w:t>, para. 13.</w:t>
      </w:r>
      <w:r w:rsidR="00B32224">
        <w:t xml:space="preserve">  </w:t>
      </w:r>
      <w:bookmarkEnd w:id="6"/>
      <w:r w:rsidR="0037604B">
        <w:t xml:space="preserve">As noted earlier, </w:t>
      </w:r>
      <w:r w:rsidRPr="0037604B" w:rsidR="0037604B">
        <w:t>GlobalVRS’s</w:t>
      </w:r>
      <w:r w:rsidRPr="0037604B" w:rsidR="0037604B">
        <w:t xml:space="preserve"> customers have received three notices of the upcoming change in service and have had </w:t>
      </w:r>
      <w:r w:rsidR="006A691E">
        <w:t xml:space="preserve">five </w:t>
      </w:r>
      <w:r w:rsidRPr="0037604B" w:rsidR="0037604B">
        <w:t>months to select a new provider.</w:t>
      </w:r>
      <w:r w:rsidR="00B813BF">
        <w:t xml:space="preserve"> </w:t>
      </w:r>
      <w:r w:rsidR="006A691E">
        <w:t xml:space="preserve"> Thus, those who remain are </w:t>
      </w:r>
      <w:r w:rsidR="00506667">
        <w:t xml:space="preserve">likely Video-Text Service customers, for whom a service alternative has not yet been available. </w:t>
      </w:r>
    </w:p>
  </w:footnote>
  <w:footnote w:id="56">
    <w:p w:rsidR="0071061E" w14:paraId="1B377811" w14:textId="01BC2863">
      <w:pPr>
        <w:pStyle w:val="FootnoteText"/>
      </w:pPr>
      <w:r>
        <w:rPr>
          <w:rStyle w:val="FootnoteReference"/>
        </w:rPr>
        <w:footnoteRef/>
      </w:r>
      <w:r w:rsidR="00A80CDD">
        <w:t xml:space="preserve"> </w:t>
      </w:r>
      <w:r w:rsidR="000347D4">
        <w:rPr>
          <w:i/>
          <w:iCs/>
        </w:rPr>
        <w:t>See</w:t>
      </w:r>
      <w:r w:rsidR="000347D4">
        <w:t xml:space="preserve"> </w:t>
      </w:r>
      <w:r w:rsidR="00A80CDD">
        <w:t>July Petition at 8.</w:t>
      </w:r>
    </w:p>
  </w:footnote>
  <w:footnote w:id="57">
    <w:p w:rsidR="00485FD4" w:rsidRPr="00E848F5" w14:paraId="255EC544" w14:textId="5B370C3B">
      <w:pPr>
        <w:pStyle w:val="FootnoteText"/>
      </w:pPr>
      <w:r>
        <w:rPr>
          <w:rStyle w:val="FootnoteReference"/>
        </w:rPr>
        <w:footnoteRef/>
      </w:r>
      <w:r>
        <w:t xml:space="preserve"> </w:t>
      </w:r>
      <w:r w:rsidR="00E848F5">
        <w:rPr>
          <w:i/>
          <w:iCs/>
        </w:rPr>
        <w:t xml:space="preserve">See </w:t>
      </w:r>
      <w:r w:rsidR="009B1D53">
        <w:rPr>
          <w:i/>
          <w:iCs/>
        </w:rPr>
        <w:t>i</w:t>
      </w:r>
      <w:r w:rsidRPr="008F28B0" w:rsidR="00A27CF2">
        <w:rPr>
          <w:i/>
          <w:iCs/>
        </w:rPr>
        <w:t>d.</w:t>
      </w:r>
      <w:r w:rsidR="00E848F5">
        <w:t xml:space="preserve"> at 8.</w:t>
      </w:r>
    </w:p>
  </w:footnote>
  <w:footnote w:id="58">
    <w:p w:rsidR="00D2427E" w14:paraId="33B11476" w14:textId="03FECACE">
      <w:pPr>
        <w:pStyle w:val="FootnoteText"/>
      </w:pPr>
      <w:r>
        <w:rPr>
          <w:rStyle w:val="FootnoteReference"/>
        </w:rPr>
        <w:footnoteRef/>
      </w:r>
      <w:r>
        <w:t xml:space="preserve"> </w:t>
      </w:r>
      <w:r w:rsidRPr="00A92AFD" w:rsidR="00A92AFD">
        <w:rPr>
          <w:i/>
          <w:iCs/>
        </w:rPr>
        <w:t>2005 Call Handling PN</w:t>
      </w:r>
      <w:r w:rsidR="000D7B86">
        <w:rPr>
          <w:i/>
          <w:iCs/>
        </w:rPr>
        <w:t xml:space="preserve">, </w:t>
      </w:r>
      <w:r w:rsidR="000D7B86">
        <w:t xml:space="preserve">20 FCC </w:t>
      </w:r>
      <w:r w:rsidR="000D7B86">
        <w:t>Rcd</w:t>
      </w:r>
      <w:r w:rsidR="000D7B86">
        <w:t xml:space="preserve"> at </w:t>
      </w:r>
      <w:r w:rsidR="00BA40B9">
        <w:t>1473</w:t>
      </w:r>
      <w:r w:rsidRPr="00A92AFD" w:rsidR="00A92AFD">
        <w:t xml:space="preserve"> (stating that the practice of “selectively answer[</w:t>
      </w:r>
      <w:r w:rsidRPr="00A92AFD" w:rsidR="00A92AFD">
        <w:t>ing</w:t>
      </w:r>
      <w:r w:rsidRPr="00A92AFD" w:rsidR="00A92AFD">
        <w:t>] calls from preferred consumers or locations, rather than answer[</w:t>
      </w:r>
      <w:r w:rsidRPr="00A92AFD" w:rsidR="00A92AFD">
        <w:t>ing</w:t>
      </w:r>
      <w:r w:rsidRPr="00A92AFD" w:rsidR="00A92AFD">
        <w:t>] the calls in the order they are received . . . is inconsistent with the notion of functional equivalency”)</w:t>
      </w:r>
      <w:r w:rsidR="00C44ED5">
        <w:t xml:space="preserve">; </w:t>
      </w:r>
      <w:r w:rsidRPr="008A6B47" w:rsidR="00C44ED5">
        <w:rPr>
          <w:i/>
          <w:iCs/>
        </w:rPr>
        <w:t>see also</w:t>
      </w:r>
      <w:r w:rsidR="00C44ED5">
        <w:t xml:space="preserve"> </w:t>
      </w:r>
      <w:r w:rsidRPr="006B54CE" w:rsidR="006B54CE">
        <w:rPr>
          <w:i/>
          <w:iCs/>
        </w:rPr>
        <w:t>Structure and Practices of the Video Relay Service Program et al.</w:t>
      </w:r>
      <w:r w:rsidRPr="006B54CE" w:rsidR="006B54CE">
        <w:t xml:space="preserve">, Report &amp; Order and Further Notice of Proposed Rulemaking, 28 FCC </w:t>
      </w:r>
      <w:r w:rsidRPr="006B54CE" w:rsidR="006B54CE">
        <w:t>Rcd</w:t>
      </w:r>
      <w:r w:rsidRPr="006B54CE" w:rsidR="006B54CE">
        <w:t xml:space="preserve"> 8618, 8691</w:t>
      </w:r>
      <w:r w:rsidR="004D67A9">
        <w:t>,</w:t>
      </w:r>
      <w:r w:rsidRPr="006B54CE" w:rsidR="006B54CE">
        <w:t xml:space="preserve"> </w:t>
      </w:r>
      <w:r w:rsidR="004D67A9">
        <w:t xml:space="preserve">para. </w:t>
      </w:r>
      <w:r w:rsidRPr="006B54CE" w:rsidR="006B54CE">
        <w:t xml:space="preserve">180 n.470 (2013) </w:t>
      </w:r>
      <w:r w:rsidR="004D67A9">
        <w:t>(</w:t>
      </w:r>
      <w:r w:rsidR="000D0B02">
        <w:t>d</w:t>
      </w:r>
      <w:r w:rsidR="004D67A9">
        <w:t>eclining to authorize the routing of calls to interpreters with particular skills and “remind[</w:t>
      </w:r>
      <w:r w:rsidR="004D67A9">
        <w:t>ing</w:t>
      </w:r>
      <w:r w:rsidR="004D67A9">
        <w:t>]</w:t>
      </w:r>
      <w:r w:rsidR="008A6B47">
        <w:t xml:space="preserve"> providers that they must handle incoming calls in the order that they are received, with the exception of 911 calls”)</w:t>
      </w:r>
      <w:r w:rsidRPr="00A92AFD" w:rsidR="00A92AFD">
        <w:t>.</w:t>
      </w:r>
    </w:p>
  </w:footnote>
  <w:footnote w:id="59">
    <w:p w:rsidR="00AE68ED" w14:paraId="597014EB" w14:textId="24A8BD8D">
      <w:pPr>
        <w:pStyle w:val="FootnoteText"/>
      </w:pPr>
      <w:r>
        <w:rPr>
          <w:rStyle w:val="FootnoteReference"/>
        </w:rPr>
        <w:footnoteRef/>
      </w:r>
      <w:r>
        <w:t xml:space="preserve"> </w:t>
      </w:r>
      <w:r>
        <w:rPr>
          <w:i/>
          <w:iCs/>
        </w:rPr>
        <w:t>See</w:t>
      </w:r>
      <w:r>
        <w:t xml:space="preserve"> August Petition at 3-5</w:t>
      </w:r>
      <w:r w:rsidR="001D7FAE">
        <w:t xml:space="preserve">; Sorenson </w:t>
      </w:r>
      <w:r w:rsidR="001D7FAE">
        <w:rPr>
          <w:i/>
          <w:iCs/>
        </w:rPr>
        <w:t>Ex Parte</w:t>
      </w:r>
      <w:r w:rsidR="001D7FAE">
        <w:t xml:space="preserve"> at 2-3</w:t>
      </w:r>
      <w:r>
        <w:t>.</w:t>
      </w:r>
    </w:p>
  </w:footnote>
  <w:footnote w:id="60">
    <w:p w:rsidR="005B64C9" w:rsidP="005B64C9" w14:paraId="038E4EBB" w14:textId="710EA7FE">
      <w:pPr>
        <w:pStyle w:val="FootnoteText"/>
      </w:pPr>
      <w:r>
        <w:rPr>
          <w:rStyle w:val="FootnoteReference"/>
        </w:rPr>
        <w:footnoteRef/>
      </w:r>
      <w:r>
        <w:t xml:space="preserve"> </w:t>
      </w:r>
      <w:r w:rsidR="001B1EDF">
        <w:t xml:space="preserve">Emergency calls are not </w:t>
      </w:r>
      <w:r w:rsidR="00D774AA">
        <w:t>included</w:t>
      </w:r>
      <w:r w:rsidR="008C1B35">
        <w:t xml:space="preserve"> in such</w:t>
      </w:r>
      <w:r w:rsidR="001B1EDF">
        <w:t xml:space="preserve"> a requirement</w:t>
      </w:r>
      <w:r w:rsidR="008C1B35">
        <w:t xml:space="preserve"> and must be given priority over all other calls</w:t>
      </w:r>
      <w:r w:rsidR="001B1EDF">
        <w:t xml:space="preserve">. </w:t>
      </w:r>
      <w:r>
        <w:t xml:space="preserve"> </w:t>
      </w:r>
      <w:r w:rsidRPr="00F44033">
        <w:rPr>
          <w:i/>
          <w:iCs/>
        </w:rPr>
        <w:t>See</w:t>
      </w:r>
      <w:r>
        <w:t xml:space="preserve"> </w:t>
      </w:r>
      <w:r w:rsidRPr="00F44033">
        <w:t>47 CFR §§ 9.14(b)(2)(ii)</w:t>
      </w:r>
      <w:r>
        <w:t xml:space="preserve"> (requiring Internet-based TRS providers to “i</w:t>
      </w:r>
      <w:r w:rsidRPr="001C3FC6">
        <w:t>mplement a system that ensures that the provider answers an incoming emergency call before other non-emergency calls (</w:t>
      </w:r>
      <w:r w:rsidRPr="001C3FC6">
        <w:rPr>
          <w:i/>
          <w:iCs/>
        </w:rPr>
        <w:t>i.e.,</w:t>
      </w:r>
      <w:r w:rsidRPr="001C3FC6">
        <w:t xml:space="preserve"> prioritize emergency calls and move them to the top of the queue)</w:t>
      </w:r>
      <w:r>
        <w:t xml:space="preserve">”). </w:t>
      </w:r>
    </w:p>
  </w:footnote>
  <w:footnote w:id="61">
    <w:p w:rsidR="003D0D0E" w14:paraId="72ADE338" w14:textId="5CF25CDA">
      <w:pPr>
        <w:pStyle w:val="FootnoteText"/>
      </w:pPr>
      <w:r>
        <w:rPr>
          <w:rStyle w:val="FootnoteReference"/>
        </w:rPr>
        <w:footnoteRef/>
      </w:r>
      <w:r>
        <w:t xml:space="preserve"> </w:t>
      </w:r>
      <w:r w:rsidRPr="00332ED9" w:rsidR="00332ED9">
        <w:t xml:space="preserve">Sorenson </w:t>
      </w:r>
      <w:r w:rsidRPr="00332ED9" w:rsidR="00332ED9">
        <w:rPr>
          <w:i/>
          <w:iCs/>
        </w:rPr>
        <w:t xml:space="preserve">Ex Parte </w:t>
      </w:r>
      <w:r w:rsidRPr="00332ED9" w:rsidR="00332ED9">
        <w:t xml:space="preserve">at </w:t>
      </w:r>
      <w:r w:rsidR="00332ED9">
        <w:t>2.</w:t>
      </w:r>
    </w:p>
  </w:footnote>
  <w:footnote w:id="62">
    <w:p w:rsidR="00B50963" w:rsidP="00B50963" w14:paraId="2D06554F" w14:textId="77777777">
      <w:pPr>
        <w:pStyle w:val="FootnoteText"/>
      </w:pPr>
      <w:r>
        <w:rPr>
          <w:rStyle w:val="FootnoteReference"/>
        </w:rPr>
        <w:footnoteRef/>
      </w:r>
      <w:r>
        <w:t xml:space="preserve"> According to GlobalVRS, there are 112 active users of Video-Text Service.  </w:t>
      </w:r>
      <w:r w:rsidRPr="00BF2D3D">
        <w:rPr>
          <w:i/>
          <w:iCs/>
        </w:rPr>
        <w:t>GlobalVRS Reimbursement Order</w:t>
      </w:r>
      <w:r w:rsidRPr="00BF2D3D">
        <w:t xml:space="preserve">, para. </w:t>
      </w:r>
      <w:r>
        <w:t>9 n.26</w:t>
      </w:r>
      <w:r w:rsidRPr="00BF2D3D">
        <w:t xml:space="preserve">.  </w:t>
      </w:r>
    </w:p>
  </w:footnote>
  <w:footnote w:id="63">
    <w:p w:rsidR="00E46F8C" w:rsidRPr="00F44033" w14:paraId="15866A85" w14:textId="29F3CA83">
      <w:pPr>
        <w:pStyle w:val="FootnoteText"/>
      </w:pPr>
      <w:r>
        <w:rPr>
          <w:rStyle w:val="FootnoteReference"/>
        </w:rPr>
        <w:footnoteRef/>
      </w:r>
      <w:r>
        <w:t xml:space="preserve"> </w:t>
      </w:r>
      <w:r w:rsidRPr="00F44033">
        <w:rPr>
          <w:i/>
          <w:iCs/>
        </w:rPr>
        <w:t xml:space="preserve">See </w:t>
      </w:r>
      <w:r w:rsidRPr="00F44033">
        <w:t xml:space="preserve">Sorenson </w:t>
      </w:r>
      <w:r w:rsidRPr="00F44033">
        <w:rPr>
          <w:i/>
          <w:iCs/>
        </w:rPr>
        <w:t xml:space="preserve">Ex Parte </w:t>
      </w:r>
      <w:r w:rsidRPr="00F44033">
        <w:t>at 3 (stating that company will comply with the first-come, first-served rule within each service queue, except for 911 calls).</w:t>
      </w:r>
    </w:p>
  </w:footnote>
  <w:footnote w:id="64">
    <w:p w:rsidR="0071061E" w14:paraId="1660A4D9" w14:textId="698672B3">
      <w:pPr>
        <w:pStyle w:val="FootnoteText"/>
      </w:pPr>
      <w:r>
        <w:rPr>
          <w:rStyle w:val="FootnoteReference"/>
        </w:rPr>
        <w:footnoteRef/>
      </w:r>
      <w:r>
        <w:t xml:space="preserve"> Sorenson states it will coordinate the specific date of transfer with the Commission and GlobalVRS. </w:t>
      </w:r>
      <w:r w:rsidR="00B52E10">
        <w:t xml:space="preserve"> </w:t>
      </w:r>
      <w:r>
        <w:t>July Petition at 8.</w:t>
      </w:r>
    </w:p>
  </w:footnote>
  <w:footnote w:id="65">
    <w:p w:rsidR="00E0515C" w:rsidRPr="00E0515C" w14:paraId="720D0C29" w14:textId="10A6DD42">
      <w:pPr>
        <w:pStyle w:val="FootnoteText"/>
      </w:pPr>
      <w:r>
        <w:rPr>
          <w:rStyle w:val="FootnoteReference"/>
        </w:rPr>
        <w:footnoteRef/>
      </w:r>
      <w:r>
        <w:t xml:space="preserve"> </w:t>
      </w:r>
      <w:r w:rsidR="00733F79">
        <w:rPr>
          <w:i/>
          <w:iCs/>
        </w:rPr>
        <w:t xml:space="preserve">See </w:t>
      </w:r>
      <w:r>
        <w:t xml:space="preserve">Sorenson </w:t>
      </w:r>
      <w:r>
        <w:rPr>
          <w:i/>
          <w:iCs/>
        </w:rPr>
        <w:t>Ex Parte</w:t>
      </w:r>
      <w:r>
        <w:t xml:space="preserve"> at 3.</w:t>
      </w:r>
    </w:p>
  </w:footnote>
  <w:footnote w:id="66">
    <w:p w:rsidR="007C29E1" w:rsidP="007C29E1" w14:paraId="0ED8FCF2" w14:textId="6829018B">
      <w:pPr>
        <w:pStyle w:val="FootnoteText"/>
      </w:pPr>
      <w:r>
        <w:rPr>
          <w:rStyle w:val="FootnoteReference"/>
        </w:rPr>
        <w:footnoteRef/>
      </w:r>
      <w:r>
        <w:t xml:space="preserve"> </w:t>
      </w:r>
      <w:r>
        <w:rPr>
          <w:i/>
          <w:iCs/>
        </w:rPr>
        <w:t>See</w:t>
      </w:r>
      <w:r>
        <w:t xml:space="preserve"> August Petition at 5-6</w:t>
      </w:r>
      <w:r w:rsidR="00E91F9A">
        <w:t xml:space="preserve">; Sorenson </w:t>
      </w:r>
      <w:r w:rsidR="00E91F9A">
        <w:rPr>
          <w:i/>
          <w:iCs/>
        </w:rPr>
        <w:t>Ex Parte</w:t>
      </w:r>
      <w:r w:rsidR="00E91F9A">
        <w:t xml:space="preserve"> at 3</w:t>
      </w:r>
      <w:r>
        <w:t>.</w:t>
      </w:r>
    </w:p>
  </w:footnote>
  <w:footnote w:id="67">
    <w:p w:rsidR="009C08D7" w:rsidRPr="00792A7D" w14:paraId="1D7B8EE8" w14:textId="2E4171AF">
      <w:pPr>
        <w:pStyle w:val="FootnoteText"/>
      </w:pPr>
      <w:r>
        <w:rPr>
          <w:rStyle w:val="FootnoteReference"/>
        </w:rPr>
        <w:footnoteRef/>
      </w:r>
      <w:r>
        <w:t xml:space="preserve"> Sorenson emphasizes that it will continue to meet the </w:t>
      </w:r>
      <w:r w:rsidR="00C16E8D">
        <w:t xml:space="preserve">first-come, first-served and </w:t>
      </w:r>
      <w:r>
        <w:t>speed</w:t>
      </w:r>
      <w:r w:rsidR="00FA6CB1">
        <w:t>-of-</w:t>
      </w:r>
      <w:r>
        <w:t xml:space="preserve">answer </w:t>
      </w:r>
      <w:r w:rsidR="00FA6CB1">
        <w:t xml:space="preserve">requirements </w:t>
      </w:r>
      <w:r>
        <w:t xml:space="preserve">for </w:t>
      </w:r>
      <w:r w:rsidR="00792A7D">
        <w:t xml:space="preserve">users of its standard VRS offering.  </w:t>
      </w:r>
      <w:r w:rsidR="00733F79">
        <w:rPr>
          <w:i/>
          <w:iCs/>
        </w:rPr>
        <w:t xml:space="preserve">See </w:t>
      </w:r>
      <w:r w:rsidR="00792A7D">
        <w:t xml:space="preserve">Sorenson </w:t>
      </w:r>
      <w:r w:rsidR="00792A7D">
        <w:rPr>
          <w:i/>
          <w:iCs/>
        </w:rPr>
        <w:t xml:space="preserve">Ex Parte </w:t>
      </w:r>
      <w:r w:rsidR="00792A7D">
        <w:t>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027" w:rsidP="00765027" w14:paraId="25D9D6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rsidP="00765027" w14:paraId="70970FAF" w14:textId="0D9918DA">
    <w:pPr>
      <w:pStyle w:val="Header"/>
    </w:pPr>
    <w:r>
      <w:tab/>
      <w:t>Federal Communications Commission</w:t>
    </w:r>
    <w:r>
      <w:tab/>
    </w:r>
    <w:r w:rsidRPr="00765027" w:rsidR="00260772">
      <w:t xml:space="preserve">DA </w:t>
    </w:r>
    <w:r w:rsidRPr="00765027" w:rsidR="00F13B91">
      <w:t>23</w:t>
    </w:r>
    <w:r w:rsidRPr="00765027" w:rsidR="00765027">
      <w:t>-</w:t>
    </w:r>
    <w:r w:rsidR="00765027">
      <w:t>915</w:t>
    </w:r>
  </w:p>
  <w:p w:rsidR="003779E8" w14:paraId="70970FB0"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o:lock v:ext="edit" aspectratio="t"/>
              <w10:wrap anchorx="margin"/>
            </v:rect>
          </w:pict>
        </mc:Fallback>
      </mc:AlternateContent>
    </w:r>
  </w:p>
  <w:p w:rsidR="003779E8" w14:paraId="70970FB1" w14:textId="77777777">
    <w:pPr>
      <w:spacing w:after="389"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rsidP="00765027" w14:paraId="70970FB6" w14:textId="0AD6B48C">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o:lock v:ext="edit" aspectratio="t"/>
              <w10:wrap anchorx="margin"/>
            </v:rect>
          </w:pict>
        </mc:Fallback>
      </mc:AlternateContent>
    </w:r>
    <w:r>
      <w:tab/>
      <w:t>Federal Communications Commission</w:t>
    </w:r>
    <w:r>
      <w:tab/>
    </w:r>
    <w:r w:rsidR="00260772">
      <w:rPr>
        <w:spacing w:val="-2"/>
      </w:rPr>
      <w:t xml:space="preserve">DA </w:t>
    </w:r>
    <w:r w:rsidR="005B4852">
      <w:rPr>
        <w:spacing w:val="-2"/>
      </w:rPr>
      <w:t>23</w:t>
    </w:r>
    <w:r w:rsidR="00765027">
      <w:rPr>
        <w:spacing w:val="-2"/>
      </w:rPr>
      <w:t>-915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6C7AE0DC"/>
    <w:lvl w:ilvl="0">
      <w:start w:val="1"/>
      <w:numFmt w:val="decimal"/>
      <w:pStyle w:val="ParaNum"/>
      <w:lvlText w:val="%1."/>
      <w:lvlJc w:val="left"/>
      <w:pPr>
        <w:tabs>
          <w:tab w:val="num" w:pos="1080"/>
        </w:tabs>
        <w:ind w:left="0" w:firstLine="720"/>
      </w:pPr>
      <w:rPr>
        <w:i w:val="0"/>
        <w:iCs w:val="0"/>
        <w:sz w:val="22"/>
        <w:szCs w:val="22"/>
        <w:vertAlign w:val="baseline"/>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 w:numId="8">
    <w:abstractNumId w:val="5"/>
    <w:lvlOverride w:ilvl="0">
      <w:startOverride w:val="1"/>
    </w:lvlOverride>
  </w:num>
  <w:num w:numId="9">
    <w:abstractNumId w:val="5"/>
  </w:num>
  <w:num w:numId="10">
    <w:abstractNumId w:val="5"/>
  </w:num>
  <w:num w:numId="11">
    <w:abstractNumId w:val="5"/>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73"/>
    <w:rsid w:val="000017DB"/>
    <w:rsid w:val="000028E7"/>
    <w:rsid w:val="00002D31"/>
    <w:rsid w:val="000032EF"/>
    <w:rsid w:val="00005191"/>
    <w:rsid w:val="000054C5"/>
    <w:rsid w:val="000055BF"/>
    <w:rsid w:val="00006532"/>
    <w:rsid w:val="000076B0"/>
    <w:rsid w:val="00007C0A"/>
    <w:rsid w:val="000101BD"/>
    <w:rsid w:val="00010BEA"/>
    <w:rsid w:val="0001288F"/>
    <w:rsid w:val="00014AC8"/>
    <w:rsid w:val="00014F54"/>
    <w:rsid w:val="00016593"/>
    <w:rsid w:val="00020822"/>
    <w:rsid w:val="00020EA0"/>
    <w:rsid w:val="00021B88"/>
    <w:rsid w:val="00023E62"/>
    <w:rsid w:val="000250F1"/>
    <w:rsid w:val="000258BE"/>
    <w:rsid w:val="00026C20"/>
    <w:rsid w:val="00027022"/>
    <w:rsid w:val="00027282"/>
    <w:rsid w:val="00027825"/>
    <w:rsid w:val="00030295"/>
    <w:rsid w:val="0003162A"/>
    <w:rsid w:val="00031856"/>
    <w:rsid w:val="00031E37"/>
    <w:rsid w:val="00032214"/>
    <w:rsid w:val="00032725"/>
    <w:rsid w:val="00033CCC"/>
    <w:rsid w:val="00033D8C"/>
    <w:rsid w:val="00033EBB"/>
    <w:rsid w:val="000347D4"/>
    <w:rsid w:val="00035316"/>
    <w:rsid w:val="00036039"/>
    <w:rsid w:val="00037F90"/>
    <w:rsid w:val="0004110F"/>
    <w:rsid w:val="00043A41"/>
    <w:rsid w:val="00043BE3"/>
    <w:rsid w:val="0004450B"/>
    <w:rsid w:val="0004476B"/>
    <w:rsid w:val="00045581"/>
    <w:rsid w:val="00047899"/>
    <w:rsid w:val="00050B9F"/>
    <w:rsid w:val="00051D0B"/>
    <w:rsid w:val="000540D0"/>
    <w:rsid w:val="00056103"/>
    <w:rsid w:val="00056709"/>
    <w:rsid w:val="000603DE"/>
    <w:rsid w:val="000614EA"/>
    <w:rsid w:val="00061B5B"/>
    <w:rsid w:val="00061BAF"/>
    <w:rsid w:val="00063B93"/>
    <w:rsid w:val="00063D3C"/>
    <w:rsid w:val="0006443C"/>
    <w:rsid w:val="00065D72"/>
    <w:rsid w:val="000666C7"/>
    <w:rsid w:val="00072381"/>
    <w:rsid w:val="0007307D"/>
    <w:rsid w:val="0007379E"/>
    <w:rsid w:val="000759EA"/>
    <w:rsid w:val="0007670D"/>
    <w:rsid w:val="00076728"/>
    <w:rsid w:val="000774DA"/>
    <w:rsid w:val="000779FF"/>
    <w:rsid w:val="0008193F"/>
    <w:rsid w:val="0008214A"/>
    <w:rsid w:val="00082219"/>
    <w:rsid w:val="0008312E"/>
    <w:rsid w:val="00083A14"/>
    <w:rsid w:val="00083F8C"/>
    <w:rsid w:val="00086FE7"/>
    <w:rsid w:val="000875BF"/>
    <w:rsid w:val="000906CA"/>
    <w:rsid w:val="00090984"/>
    <w:rsid w:val="00091A09"/>
    <w:rsid w:val="000929B5"/>
    <w:rsid w:val="00096D8C"/>
    <w:rsid w:val="00097225"/>
    <w:rsid w:val="000A08FD"/>
    <w:rsid w:val="000A091E"/>
    <w:rsid w:val="000A30FE"/>
    <w:rsid w:val="000A3D08"/>
    <w:rsid w:val="000A40CA"/>
    <w:rsid w:val="000A422A"/>
    <w:rsid w:val="000A4A05"/>
    <w:rsid w:val="000A5471"/>
    <w:rsid w:val="000B0E21"/>
    <w:rsid w:val="000B23F8"/>
    <w:rsid w:val="000B270F"/>
    <w:rsid w:val="000B2AC9"/>
    <w:rsid w:val="000B5EDD"/>
    <w:rsid w:val="000B6542"/>
    <w:rsid w:val="000B6917"/>
    <w:rsid w:val="000B7A9A"/>
    <w:rsid w:val="000C0B65"/>
    <w:rsid w:val="000C1FF7"/>
    <w:rsid w:val="000C28C8"/>
    <w:rsid w:val="000C31CD"/>
    <w:rsid w:val="000C35B0"/>
    <w:rsid w:val="000C3B0F"/>
    <w:rsid w:val="000C3CB1"/>
    <w:rsid w:val="000C6F01"/>
    <w:rsid w:val="000C7359"/>
    <w:rsid w:val="000C764B"/>
    <w:rsid w:val="000D0409"/>
    <w:rsid w:val="000D0B02"/>
    <w:rsid w:val="000D16F2"/>
    <w:rsid w:val="000D1780"/>
    <w:rsid w:val="000D1CA8"/>
    <w:rsid w:val="000D3B83"/>
    <w:rsid w:val="000D4A72"/>
    <w:rsid w:val="000D4E32"/>
    <w:rsid w:val="000D5C21"/>
    <w:rsid w:val="000D5C6C"/>
    <w:rsid w:val="000D5C7D"/>
    <w:rsid w:val="000D7B86"/>
    <w:rsid w:val="000D7D93"/>
    <w:rsid w:val="000E05FE"/>
    <w:rsid w:val="000E1320"/>
    <w:rsid w:val="000E1C7F"/>
    <w:rsid w:val="000E3D42"/>
    <w:rsid w:val="000E54E4"/>
    <w:rsid w:val="000E58A9"/>
    <w:rsid w:val="000E5DA3"/>
    <w:rsid w:val="000E7221"/>
    <w:rsid w:val="000F1BF2"/>
    <w:rsid w:val="000F23CD"/>
    <w:rsid w:val="000F26EB"/>
    <w:rsid w:val="000F3BE3"/>
    <w:rsid w:val="000F5FD2"/>
    <w:rsid w:val="000F6B19"/>
    <w:rsid w:val="000F6E52"/>
    <w:rsid w:val="000F7CBE"/>
    <w:rsid w:val="00101294"/>
    <w:rsid w:val="001012C1"/>
    <w:rsid w:val="00102013"/>
    <w:rsid w:val="00105B6C"/>
    <w:rsid w:val="001069E9"/>
    <w:rsid w:val="00111D89"/>
    <w:rsid w:val="001123C0"/>
    <w:rsid w:val="00112BED"/>
    <w:rsid w:val="001138CD"/>
    <w:rsid w:val="00113D19"/>
    <w:rsid w:val="001143CF"/>
    <w:rsid w:val="001144E6"/>
    <w:rsid w:val="00116ACA"/>
    <w:rsid w:val="001175E9"/>
    <w:rsid w:val="00117A70"/>
    <w:rsid w:val="00117AA9"/>
    <w:rsid w:val="00117F81"/>
    <w:rsid w:val="00121611"/>
    <w:rsid w:val="00121CD2"/>
    <w:rsid w:val="00122682"/>
    <w:rsid w:val="00122AF2"/>
    <w:rsid w:val="00122BD5"/>
    <w:rsid w:val="001230EE"/>
    <w:rsid w:val="00125A10"/>
    <w:rsid w:val="0013259B"/>
    <w:rsid w:val="001328A7"/>
    <w:rsid w:val="00132D0F"/>
    <w:rsid w:val="00133098"/>
    <w:rsid w:val="00133514"/>
    <w:rsid w:val="00133DC4"/>
    <w:rsid w:val="00133F79"/>
    <w:rsid w:val="00134423"/>
    <w:rsid w:val="00136137"/>
    <w:rsid w:val="00136DD4"/>
    <w:rsid w:val="001400BC"/>
    <w:rsid w:val="0014239D"/>
    <w:rsid w:val="00142E44"/>
    <w:rsid w:val="00144091"/>
    <w:rsid w:val="001447BA"/>
    <w:rsid w:val="0014612D"/>
    <w:rsid w:val="001467E4"/>
    <w:rsid w:val="00147163"/>
    <w:rsid w:val="00147210"/>
    <w:rsid w:val="00150870"/>
    <w:rsid w:val="00150EC1"/>
    <w:rsid w:val="0015203A"/>
    <w:rsid w:val="00152AD1"/>
    <w:rsid w:val="001535EA"/>
    <w:rsid w:val="00156DF7"/>
    <w:rsid w:val="001652C5"/>
    <w:rsid w:val="00165C99"/>
    <w:rsid w:val="00166E2F"/>
    <w:rsid w:val="001705D1"/>
    <w:rsid w:val="00170950"/>
    <w:rsid w:val="00171267"/>
    <w:rsid w:val="00171FFB"/>
    <w:rsid w:val="00172126"/>
    <w:rsid w:val="001733D5"/>
    <w:rsid w:val="001749FF"/>
    <w:rsid w:val="00174BC3"/>
    <w:rsid w:val="00174CB5"/>
    <w:rsid w:val="00175B24"/>
    <w:rsid w:val="00176822"/>
    <w:rsid w:val="00177FEA"/>
    <w:rsid w:val="0018003E"/>
    <w:rsid w:val="0018228F"/>
    <w:rsid w:val="00182DDC"/>
    <w:rsid w:val="00184852"/>
    <w:rsid w:val="0018510B"/>
    <w:rsid w:val="00186E3C"/>
    <w:rsid w:val="00190C0B"/>
    <w:rsid w:val="00190FB6"/>
    <w:rsid w:val="001928EC"/>
    <w:rsid w:val="00192F4B"/>
    <w:rsid w:val="00194A66"/>
    <w:rsid w:val="00195B8A"/>
    <w:rsid w:val="0019663B"/>
    <w:rsid w:val="001966C1"/>
    <w:rsid w:val="00196C9D"/>
    <w:rsid w:val="001A03DB"/>
    <w:rsid w:val="001A0F51"/>
    <w:rsid w:val="001A2084"/>
    <w:rsid w:val="001A348C"/>
    <w:rsid w:val="001A450B"/>
    <w:rsid w:val="001A55B2"/>
    <w:rsid w:val="001A6144"/>
    <w:rsid w:val="001A677E"/>
    <w:rsid w:val="001A7FE5"/>
    <w:rsid w:val="001B1BA9"/>
    <w:rsid w:val="001B1EDF"/>
    <w:rsid w:val="001B259B"/>
    <w:rsid w:val="001B44FC"/>
    <w:rsid w:val="001B50AB"/>
    <w:rsid w:val="001C12D3"/>
    <w:rsid w:val="001C1FE5"/>
    <w:rsid w:val="001C2D94"/>
    <w:rsid w:val="001C36B1"/>
    <w:rsid w:val="001C3FC6"/>
    <w:rsid w:val="001C5D9C"/>
    <w:rsid w:val="001C64E2"/>
    <w:rsid w:val="001C6A02"/>
    <w:rsid w:val="001C7C26"/>
    <w:rsid w:val="001C7EA0"/>
    <w:rsid w:val="001D14D4"/>
    <w:rsid w:val="001D31BC"/>
    <w:rsid w:val="001D3D24"/>
    <w:rsid w:val="001D42C0"/>
    <w:rsid w:val="001D4C84"/>
    <w:rsid w:val="001D4EFA"/>
    <w:rsid w:val="001D4F05"/>
    <w:rsid w:val="001D557B"/>
    <w:rsid w:val="001D6904"/>
    <w:rsid w:val="001D6BCF"/>
    <w:rsid w:val="001D7FAE"/>
    <w:rsid w:val="001E01CA"/>
    <w:rsid w:val="001E0784"/>
    <w:rsid w:val="001E0E02"/>
    <w:rsid w:val="001E361B"/>
    <w:rsid w:val="001E5351"/>
    <w:rsid w:val="001E6FF9"/>
    <w:rsid w:val="001F245A"/>
    <w:rsid w:val="001F2592"/>
    <w:rsid w:val="001F293B"/>
    <w:rsid w:val="001F2A27"/>
    <w:rsid w:val="001F2FA4"/>
    <w:rsid w:val="001F360B"/>
    <w:rsid w:val="001F3F86"/>
    <w:rsid w:val="001F4312"/>
    <w:rsid w:val="001F64DE"/>
    <w:rsid w:val="001F6784"/>
    <w:rsid w:val="00201294"/>
    <w:rsid w:val="00201ADB"/>
    <w:rsid w:val="00202EA1"/>
    <w:rsid w:val="0020308B"/>
    <w:rsid w:val="00203B81"/>
    <w:rsid w:val="00205828"/>
    <w:rsid w:val="002079CD"/>
    <w:rsid w:val="00207F27"/>
    <w:rsid w:val="002115DA"/>
    <w:rsid w:val="002125A6"/>
    <w:rsid w:val="00212877"/>
    <w:rsid w:val="00212DD3"/>
    <w:rsid w:val="00216584"/>
    <w:rsid w:val="00217401"/>
    <w:rsid w:val="002176DE"/>
    <w:rsid w:val="002208C9"/>
    <w:rsid w:val="00220F31"/>
    <w:rsid w:val="002218E5"/>
    <w:rsid w:val="002232EF"/>
    <w:rsid w:val="00223631"/>
    <w:rsid w:val="00226B90"/>
    <w:rsid w:val="00226CCE"/>
    <w:rsid w:val="002300D7"/>
    <w:rsid w:val="0023101F"/>
    <w:rsid w:val="00232C94"/>
    <w:rsid w:val="0023382C"/>
    <w:rsid w:val="00234857"/>
    <w:rsid w:val="002351A0"/>
    <w:rsid w:val="002368DB"/>
    <w:rsid w:val="00240D4E"/>
    <w:rsid w:val="002415BC"/>
    <w:rsid w:val="002425C7"/>
    <w:rsid w:val="00243619"/>
    <w:rsid w:val="002447FD"/>
    <w:rsid w:val="0024609A"/>
    <w:rsid w:val="0024665C"/>
    <w:rsid w:val="00246AA4"/>
    <w:rsid w:val="00246D4E"/>
    <w:rsid w:val="0024705C"/>
    <w:rsid w:val="00247967"/>
    <w:rsid w:val="002502ED"/>
    <w:rsid w:val="00250EC6"/>
    <w:rsid w:val="0025104D"/>
    <w:rsid w:val="002516CA"/>
    <w:rsid w:val="0025251B"/>
    <w:rsid w:val="002526D6"/>
    <w:rsid w:val="00252AAF"/>
    <w:rsid w:val="00254284"/>
    <w:rsid w:val="0025578C"/>
    <w:rsid w:val="00256068"/>
    <w:rsid w:val="002563A0"/>
    <w:rsid w:val="002563FF"/>
    <w:rsid w:val="00260112"/>
    <w:rsid w:val="00260508"/>
    <w:rsid w:val="00260772"/>
    <w:rsid w:val="00260C6F"/>
    <w:rsid w:val="00263923"/>
    <w:rsid w:val="002642A4"/>
    <w:rsid w:val="00266A14"/>
    <w:rsid w:val="00266B50"/>
    <w:rsid w:val="002674D3"/>
    <w:rsid w:val="00272679"/>
    <w:rsid w:val="002732D4"/>
    <w:rsid w:val="002742CB"/>
    <w:rsid w:val="00274C15"/>
    <w:rsid w:val="00275CF5"/>
    <w:rsid w:val="00277CE6"/>
    <w:rsid w:val="0028035A"/>
    <w:rsid w:val="002809B9"/>
    <w:rsid w:val="0028268D"/>
    <w:rsid w:val="00282B97"/>
    <w:rsid w:val="0028301F"/>
    <w:rsid w:val="00283271"/>
    <w:rsid w:val="00285017"/>
    <w:rsid w:val="0028506A"/>
    <w:rsid w:val="00285366"/>
    <w:rsid w:val="00290841"/>
    <w:rsid w:val="0029109F"/>
    <w:rsid w:val="0029264C"/>
    <w:rsid w:val="00293750"/>
    <w:rsid w:val="00294127"/>
    <w:rsid w:val="00294DB1"/>
    <w:rsid w:val="0029514B"/>
    <w:rsid w:val="00295A9E"/>
    <w:rsid w:val="00295F1F"/>
    <w:rsid w:val="002969F1"/>
    <w:rsid w:val="0029702A"/>
    <w:rsid w:val="002A0E8E"/>
    <w:rsid w:val="002A0F40"/>
    <w:rsid w:val="002A1D55"/>
    <w:rsid w:val="002A2279"/>
    <w:rsid w:val="002A2AE3"/>
    <w:rsid w:val="002A2D2E"/>
    <w:rsid w:val="002A2E5D"/>
    <w:rsid w:val="002A3F45"/>
    <w:rsid w:val="002A4061"/>
    <w:rsid w:val="002A459D"/>
    <w:rsid w:val="002A66DE"/>
    <w:rsid w:val="002A711D"/>
    <w:rsid w:val="002A7302"/>
    <w:rsid w:val="002A7DD5"/>
    <w:rsid w:val="002A7FA6"/>
    <w:rsid w:val="002B09B1"/>
    <w:rsid w:val="002B1432"/>
    <w:rsid w:val="002B35D0"/>
    <w:rsid w:val="002B4702"/>
    <w:rsid w:val="002B5C92"/>
    <w:rsid w:val="002B790C"/>
    <w:rsid w:val="002B7A96"/>
    <w:rsid w:val="002C00E8"/>
    <w:rsid w:val="002C0371"/>
    <w:rsid w:val="002C0869"/>
    <w:rsid w:val="002C49B3"/>
    <w:rsid w:val="002C4A12"/>
    <w:rsid w:val="002C506C"/>
    <w:rsid w:val="002C5C0F"/>
    <w:rsid w:val="002C61AC"/>
    <w:rsid w:val="002C69F4"/>
    <w:rsid w:val="002C6F90"/>
    <w:rsid w:val="002C7789"/>
    <w:rsid w:val="002D02CE"/>
    <w:rsid w:val="002D0C40"/>
    <w:rsid w:val="002D166B"/>
    <w:rsid w:val="002D1CF7"/>
    <w:rsid w:val="002D374B"/>
    <w:rsid w:val="002D6310"/>
    <w:rsid w:val="002D7B1F"/>
    <w:rsid w:val="002E2C50"/>
    <w:rsid w:val="002E37F9"/>
    <w:rsid w:val="002F00D8"/>
    <w:rsid w:val="002F078C"/>
    <w:rsid w:val="002F0C54"/>
    <w:rsid w:val="002F2377"/>
    <w:rsid w:val="002F2967"/>
    <w:rsid w:val="002F2AA6"/>
    <w:rsid w:val="002F52CE"/>
    <w:rsid w:val="002F5322"/>
    <w:rsid w:val="002F59BE"/>
    <w:rsid w:val="002F59FF"/>
    <w:rsid w:val="002F6BE8"/>
    <w:rsid w:val="002F7A71"/>
    <w:rsid w:val="002F7E13"/>
    <w:rsid w:val="002F7E47"/>
    <w:rsid w:val="00300B26"/>
    <w:rsid w:val="003028DF"/>
    <w:rsid w:val="00310851"/>
    <w:rsid w:val="00310879"/>
    <w:rsid w:val="003124D7"/>
    <w:rsid w:val="0031339B"/>
    <w:rsid w:val="00314C07"/>
    <w:rsid w:val="00316149"/>
    <w:rsid w:val="00316A90"/>
    <w:rsid w:val="00317B33"/>
    <w:rsid w:val="00320D45"/>
    <w:rsid w:val="003214AA"/>
    <w:rsid w:val="00321C84"/>
    <w:rsid w:val="00323B34"/>
    <w:rsid w:val="00324738"/>
    <w:rsid w:val="00326EC2"/>
    <w:rsid w:val="00327A3D"/>
    <w:rsid w:val="003319E8"/>
    <w:rsid w:val="003329D4"/>
    <w:rsid w:val="00332DC6"/>
    <w:rsid w:val="00332ED9"/>
    <w:rsid w:val="003333C4"/>
    <w:rsid w:val="00334B8B"/>
    <w:rsid w:val="00335206"/>
    <w:rsid w:val="003356AE"/>
    <w:rsid w:val="00337193"/>
    <w:rsid w:val="00337B55"/>
    <w:rsid w:val="00337D68"/>
    <w:rsid w:val="00340471"/>
    <w:rsid w:val="00342052"/>
    <w:rsid w:val="00342591"/>
    <w:rsid w:val="0034263C"/>
    <w:rsid w:val="00343749"/>
    <w:rsid w:val="0034508B"/>
    <w:rsid w:val="00345AB0"/>
    <w:rsid w:val="00352704"/>
    <w:rsid w:val="0035284A"/>
    <w:rsid w:val="003532F0"/>
    <w:rsid w:val="00354370"/>
    <w:rsid w:val="00354F57"/>
    <w:rsid w:val="00356B9E"/>
    <w:rsid w:val="003603A4"/>
    <w:rsid w:val="0036195E"/>
    <w:rsid w:val="00362715"/>
    <w:rsid w:val="00364158"/>
    <w:rsid w:val="00364A46"/>
    <w:rsid w:val="00364E27"/>
    <w:rsid w:val="00364F87"/>
    <w:rsid w:val="003656E9"/>
    <w:rsid w:val="003660ED"/>
    <w:rsid w:val="00366B82"/>
    <w:rsid w:val="0036746D"/>
    <w:rsid w:val="00367FEE"/>
    <w:rsid w:val="00371EAE"/>
    <w:rsid w:val="00374667"/>
    <w:rsid w:val="00375466"/>
    <w:rsid w:val="0037569C"/>
    <w:rsid w:val="0037604B"/>
    <w:rsid w:val="00376BC3"/>
    <w:rsid w:val="003779E8"/>
    <w:rsid w:val="003819DA"/>
    <w:rsid w:val="00381B91"/>
    <w:rsid w:val="00382CCC"/>
    <w:rsid w:val="00382E1D"/>
    <w:rsid w:val="00382E91"/>
    <w:rsid w:val="00383CBF"/>
    <w:rsid w:val="00385029"/>
    <w:rsid w:val="0038522F"/>
    <w:rsid w:val="00385B51"/>
    <w:rsid w:val="00386122"/>
    <w:rsid w:val="00386BB5"/>
    <w:rsid w:val="00391AEC"/>
    <w:rsid w:val="00392E7C"/>
    <w:rsid w:val="00393F63"/>
    <w:rsid w:val="00394521"/>
    <w:rsid w:val="00394F61"/>
    <w:rsid w:val="003953AE"/>
    <w:rsid w:val="003A01B4"/>
    <w:rsid w:val="003A0ECD"/>
    <w:rsid w:val="003A141A"/>
    <w:rsid w:val="003A1BE9"/>
    <w:rsid w:val="003A25DC"/>
    <w:rsid w:val="003A4AF3"/>
    <w:rsid w:val="003A6BDE"/>
    <w:rsid w:val="003B034E"/>
    <w:rsid w:val="003B0550"/>
    <w:rsid w:val="003B0951"/>
    <w:rsid w:val="003B307F"/>
    <w:rsid w:val="003B549D"/>
    <w:rsid w:val="003B5E90"/>
    <w:rsid w:val="003B694F"/>
    <w:rsid w:val="003C2992"/>
    <w:rsid w:val="003C31EB"/>
    <w:rsid w:val="003C446F"/>
    <w:rsid w:val="003C49D7"/>
    <w:rsid w:val="003C6D86"/>
    <w:rsid w:val="003D0B00"/>
    <w:rsid w:val="003D0D0E"/>
    <w:rsid w:val="003D202B"/>
    <w:rsid w:val="003D2738"/>
    <w:rsid w:val="003D2DD8"/>
    <w:rsid w:val="003D5183"/>
    <w:rsid w:val="003D74D5"/>
    <w:rsid w:val="003D78A7"/>
    <w:rsid w:val="003D7CA0"/>
    <w:rsid w:val="003E3017"/>
    <w:rsid w:val="003E34EF"/>
    <w:rsid w:val="003E4159"/>
    <w:rsid w:val="003E4920"/>
    <w:rsid w:val="003E5E47"/>
    <w:rsid w:val="003E60FF"/>
    <w:rsid w:val="003E6FE8"/>
    <w:rsid w:val="003E7506"/>
    <w:rsid w:val="003E7CB3"/>
    <w:rsid w:val="003F0EA9"/>
    <w:rsid w:val="003F171C"/>
    <w:rsid w:val="003F191C"/>
    <w:rsid w:val="003F2679"/>
    <w:rsid w:val="003F2D78"/>
    <w:rsid w:val="003F3248"/>
    <w:rsid w:val="003F5437"/>
    <w:rsid w:val="003F5517"/>
    <w:rsid w:val="003F5CD5"/>
    <w:rsid w:val="003F7453"/>
    <w:rsid w:val="00400598"/>
    <w:rsid w:val="00400801"/>
    <w:rsid w:val="00400FBF"/>
    <w:rsid w:val="00401572"/>
    <w:rsid w:val="00403A64"/>
    <w:rsid w:val="0040528C"/>
    <w:rsid w:val="00411130"/>
    <w:rsid w:val="00411398"/>
    <w:rsid w:val="004126CB"/>
    <w:rsid w:val="00412FC5"/>
    <w:rsid w:val="00413DE8"/>
    <w:rsid w:val="00414FA8"/>
    <w:rsid w:val="0041659A"/>
    <w:rsid w:val="004165A0"/>
    <w:rsid w:val="004173E1"/>
    <w:rsid w:val="004209FD"/>
    <w:rsid w:val="00422276"/>
    <w:rsid w:val="004224E8"/>
    <w:rsid w:val="00423AAC"/>
    <w:rsid w:val="004242F1"/>
    <w:rsid w:val="004247C1"/>
    <w:rsid w:val="00425597"/>
    <w:rsid w:val="00426C0E"/>
    <w:rsid w:val="00433B08"/>
    <w:rsid w:val="00434BBB"/>
    <w:rsid w:val="00435BCC"/>
    <w:rsid w:val="00437A71"/>
    <w:rsid w:val="00441D26"/>
    <w:rsid w:val="0044466C"/>
    <w:rsid w:val="0044565F"/>
    <w:rsid w:val="00445A00"/>
    <w:rsid w:val="00447ADD"/>
    <w:rsid w:val="00447DFC"/>
    <w:rsid w:val="00451B0F"/>
    <w:rsid w:val="0045200D"/>
    <w:rsid w:val="00452D56"/>
    <w:rsid w:val="0045349F"/>
    <w:rsid w:val="004558D5"/>
    <w:rsid w:val="00455B79"/>
    <w:rsid w:val="00455CC9"/>
    <w:rsid w:val="00456F17"/>
    <w:rsid w:val="00457EE8"/>
    <w:rsid w:val="00460B18"/>
    <w:rsid w:val="00463470"/>
    <w:rsid w:val="00463BD3"/>
    <w:rsid w:val="00464518"/>
    <w:rsid w:val="00467E3D"/>
    <w:rsid w:val="004702BC"/>
    <w:rsid w:val="00470396"/>
    <w:rsid w:val="00470637"/>
    <w:rsid w:val="0047267D"/>
    <w:rsid w:val="00472770"/>
    <w:rsid w:val="00472FAF"/>
    <w:rsid w:val="004730C0"/>
    <w:rsid w:val="004736BF"/>
    <w:rsid w:val="00473722"/>
    <w:rsid w:val="00476526"/>
    <w:rsid w:val="00476D85"/>
    <w:rsid w:val="0047704F"/>
    <w:rsid w:val="004774CB"/>
    <w:rsid w:val="00477ACE"/>
    <w:rsid w:val="00482343"/>
    <w:rsid w:val="004835A1"/>
    <w:rsid w:val="00485536"/>
    <w:rsid w:val="00485FD4"/>
    <w:rsid w:val="0048675A"/>
    <w:rsid w:val="00487FA0"/>
    <w:rsid w:val="00490A87"/>
    <w:rsid w:val="0049216F"/>
    <w:rsid w:val="00492E61"/>
    <w:rsid w:val="00494BE2"/>
    <w:rsid w:val="00496054"/>
    <w:rsid w:val="00496173"/>
    <w:rsid w:val="00496D8B"/>
    <w:rsid w:val="004975F6"/>
    <w:rsid w:val="004A31C3"/>
    <w:rsid w:val="004A3EC3"/>
    <w:rsid w:val="004A4364"/>
    <w:rsid w:val="004B0E3B"/>
    <w:rsid w:val="004B5A25"/>
    <w:rsid w:val="004B631B"/>
    <w:rsid w:val="004B6A0A"/>
    <w:rsid w:val="004C1578"/>
    <w:rsid w:val="004C2BC7"/>
    <w:rsid w:val="004C2EE3"/>
    <w:rsid w:val="004C3944"/>
    <w:rsid w:val="004C4B69"/>
    <w:rsid w:val="004C4E6C"/>
    <w:rsid w:val="004C59AA"/>
    <w:rsid w:val="004C6479"/>
    <w:rsid w:val="004C6CAB"/>
    <w:rsid w:val="004C7A9F"/>
    <w:rsid w:val="004D0535"/>
    <w:rsid w:val="004D297F"/>
    <w:rsid w:val="004D33EA"/>
    <w:rsid w:val="004D3D5E"/>
    <w:rsid w:val="004D40B1"/>
    <w:rsid w:val="004D4A71"/>
    <w:rsid w:val="004D4C30"/>
    <w:rsid w:val="004D5B96"/>
    <w:rsid w:val="004D6078"/>
    <w:rsid w:val="004D6436"/>
    <w:rsid w:val="004D67A9"/>
    <w:rsid w:val="004D6E5F"/>
    <w:rsid w:val="004D736B"/>
    <w:rsid w:val="004D796C"/>
    <w:rsid w:val="004E3A93"/>
    <w:rsid w:val="004E3E40"/>
    <w:rsid w:val="004E4A22"/>
    <w:rsid w:val="004E4CFB"/>
    <w:rsid w:val="004E4F99"/>
    <w:rsid w:val="004E5D03"/>
    <w:rsid w:val="004E6D06"/>
    <w:rsid w:val="004E7AB4"/>
    <w:rsid w:val="004F149C"/>
    <w:rsid w:val="004F1716"/>
    <w:rsid w:val="004F2655"/>
    <w:rsid w:val="004F3082"/>
    <w:rsid w:val="004F3CCE"/>
    <w:rsid w:val="004F484E"/>
    <w:rsid w:val="004F5198"/>
    <w:rsid w:val="004F58AC"/>
    <w:rsid w:val="004F79E2"/>
    <w:rsid w:val="00501C4D"/>
    <w:rsid w:val="0050344E"/>
    <w:rsid w:val="00504074"/>
    <w:rsid w:val="005062E4"/>
    <w:rsid w:val="00506667"/>
    <w:rsid w:val="00506700"/>
    <w:rsid w:val="005072E8"/>
    <w:rsid w:val="00511968"/>
    <w:rsid w:val="00511DB8"/>
    <w:rsid w:val="00513077"/>
    <w:rsid w:val="0051410F"/>
    <w:rsid w:val="005169FA"/>
    <w:rsid w:val="00516DC9"/>
    <w:rsid w:val="005223CB"/>
    <w:rsid w:val="00522A0F"/>
    <w:rsid w:val="00524DB4"/>
    <w:rsid w:val="005253B7"/>
    <w:rsid w:val="0053002A"/>
    <w:rsid w:val="005304DD"/>
    <w:rsid w:val="0053364C"/>
    <w:rsid w:val="00535F09"/>
    <w:rsid w:val="00536105"/>
    <w:rsid w:val="005361DE"/>
    <w:rsid w:val="005364D1"/>
    <w:rsid w:val="00541695"/>
    <w:rsid w:val="005419D2"/>
    <w:rsid w:val="00550184"/>
    <w:rsid w:val="005512C3"/>
    <w:rsid w:val="00553C07"/>
    <w:rsid w:val="00553CE5"/>
    <w:rsid w:val="00554DBA"/>
    <w:rsid w:val="00555950"/>
    <w:rsid w:val="0055614C"/>
    <w:rsid w:val="00556EBD"/>
    <w:rsid w:val="005575FD"/>
    <w:rsid w:val="00557AC6"/>
    <w:rsid w:val="00560D98"/>
    <w:rsid w:val="00562702"/>
    <w:rsid w:val="00564B89"/>
    <w:rsid w:val="00564F67"/>
    <w:rsid w:val="005653F6"/>
    <w:rsid w:val="00566244"/>
    <w:rsid w:val="00566813"/>
    <w:rsid w:val="00566D06"/>
    <w:rsid w:val="005701B3"/>
    <w:rsid w:val="0057179D"/>
    <w:rsid w:val="005720E8"/>
    <w:rsid w:val="00573838"/>
    <w:rsid w:val="00574687"/>
    <w:rsid w:val="00574C3D"/>
    <w:rsid w:val="00575798"/>
    <w:rsid w:val="00577082"/>
    <w:rsid w:val="00577603"/>
    <w:rsid w:val="005777ED"/>
    <w:rsid w:val="00577DF0"/>
    <w:rsid w:val="005835F2"/>
    <w:rsid w:val="00583C8C"/>
    <w:rsid w:val="0058467D"/>
    <w:rsid w:val="005859C2"/>
    <w:rsid w:val="005905B6"/>
    <w:rsid w:val="00591D40"/>
    <w:rsid w:val="00592088"/>
    <w:rsid w:val="00592A70"/>
    <w:rsid w:val="00592F0B"/>
    <w:rsid w:val="005958BB"/>
    <w:rsid w:val="005A17F1"/>
    <w:rsid w:val="005A32D6"/>
    <w:rsid w:val="005A4089"/>
    <w:rsid w:val="005A4620"/>
    <w:rsid w:val="005A5590"/>
    <w:rsid w:val="005A6898"/>
    <w:rsid w:val="005B142F"/>
    <w:rsid w:val="005B3EB6"/>
    <w:rsid w:val="005B4852"/>
    <w:rsid w:val="005B4EE8"/>
    <w:rsid w:val="005B4FCA"/>
    <w:rsid w:val="005B55ED"/>
    <w:rsid w:val="005B64C9"/>
    <w:rsid w:val="005B65EC"/>
    <w:rsid w:val="005B7F5F"/>
    <w:rsid w:val="005C009D"/>
    <w:rsid w:val="005C1AC7"/>
    <w:rsid w:val="005C341C"/>
    <w:rsid w:val="005C3B0D"/>
    <w:rsid w:val="005C435C"/>
    <w:rsid w:val="005C619B"/>
    <w:rsid w:val="005C6305"/>
    <w:rsid w:val="005C6D88"/>
    <w:rsid w:val="005C7013"/>
    <w:rsid w:val="005D065C"/>
    <w:rsid w:val="005D2391"/>
    <w:rsid w:val="005D2E97"/>
    <w:rsid w:val="005D3023"/>
    <w:rsid w:val="005D6F11"/>
    <w:rsid w:val="005D7758"/>
    <w:rsid w:val="005D7796"/>
    <w:rsid w:val="005E01A4"/>
    <w:rsid w:val="005E0DFC"/>
    <w:rsid w:val="005E135D"/>
    <w:rsid w:val="005E14C2"/>
    <w:rsid w:val="005E2C3E"/>
    <w:rsid w:val="005E7FD1"/>
    <w:rsid w:val="005F0F07"/>
    <w:rsid w:val="005F1875"/>
    <w:rsid w:val="005F2D4E"/>
    <w:rsid w:val="005F2F9A"/>
    <w:rsid w:val="005F2FAD"/>
    <w:rsid w:val="005F3DCC"/>
    <w:rsid w:val="005F43E9"/>
    <w:rsid w:val="005F486F"/>
    <w:rsid w:val="005F5B74"/>
    <w:rsid w:val="005F6A21"/>
    <w:rsid w:val="005F7684"/>
    <w:rsid w:val="006000D8"/>
    <w:rsid w:val="00600CD6"/>
    <w:rsid w:val="00603ED7"/>
    <w:rsid w:val="006063C2"/>
    <w:rsid w:val="00606817"/>
    <w:rsid w:val="006076AD"/>
    <w:rsid w:val="00607BA5"/>
    <w:rsid w:val="00607E81"/>
    <w:rsid w:val="00610D2C"/>
    <w:rsid w:val="006115D9"/>
    <w:rsid w:val="0061180A"/>
    <w:rsid w:val="0061188B"/>
    <w:rsid w:val="0061232A"/>
    <w:rsid w:val="00613B02"/>
    <w:rsid w:val="006142A0"/>
    <w:rsid w:val="00615953"/>
    <w:rsid w:val="00616276"/>
    <w:rsid w:val="00616574"/>
    <w:rsid w:val="00617775"/>
    <w:rsid w:val="00620217"/>
    <w:rsid w:val="0062067B"/>
    <w:rsid w:val="00620B75"/>
    <w:rsid w:val="006210B3"/>
    <w:rsid w:val="006217E2"/>
    <w:rsid w:val="00621B49"/>
    <w:rsid w:val="00621C71"/>
    <w:rsid w:val="00622A35"/>
    <w:rsid w:val="0062378A"/>
    <w:rsid w:val="0062436E"/>
    <w:rsid w:val="00624DBE"/>
    <w:rsid w:val="00626EB6"/>
    <w:rsid w:val="006300A0"/>
    <w:rsid w:val="0063027E"/>
    <w:rsid w:val="00631F5F"/>
    <w:rsid w:val="00633B69"/>
    <w:rsid w:val="00633C5C"/>
    <w:rsid w:val="00633F0F"/>
    <w:rsid w:val="00634D93"/>
    <w:rsid w:val="0063613C"/>
    <w:rsid w:val="006371E9"/>
    <w:rsid w:val="00640576"/>
    <w:rsid w:val="006410A1"/>
    <w:rsid w:val="0064259B"/>
    <w:rsid w:val="00642B9F"/>
    <w:rsid w:val="006432FC"/>
    <w:rsid w:val="00643504"/>
    <w:rsid w:val="00646DE2"/>
    <w:rsid w:val="00650FDE"/>
    <w:rsid w:val="00655D03"/>
    <w:rsid w:val="006568E4"/>
    <w:rsid w:val="006574E6"/>
    <w:rsid w:val="00657BD5"/>
    <w:rsid w:val="00660316"/>
    <w:rsid w:val="00660481"/>
    <w:rsid w:val="00660659"/>
    <w:rsid w:val="00661610"/>
    <w:rsid w:val="00662406"/>
    <w:rsid w:val="00662D6D"/>
    <w:rsid w:val="006639CC"/>
    <w:rsid w:val="006646E1"/>
    <w:rsid w:val="00664D4D"/>
    <w:rsid w:val="00665635"/>
    <w:rsid w:val="00665C8C"/>
    <w:rsid w:val="00670306"/>
    <w:rsid w:val="0067189F"/>
    <w:rsid w:val="00673622"/>
    <w:rsid w:val="00674FE6"/>
    <w:rsid w:val="00675EC4"/>
    <w:rsid w:val="006767C5"/>
    <w:rsid w:val="006776D6"/>
    <w:rsid w:val="00677EE3"/>
    <w:rsid w:val="006801D2"/>
    <w:rsid w:val="006823F1"/>
    <w:rsid w:val="0068271F"/>
    <w:rsid w:val="00683388"/>
    <w:rsid w:val="0068368F"/>
    <w:rsid w:val="0068388E"/>
    <w:rsid w:val="00683F84"/>
    <w:rsid w:val="00684E90"/>
    <w:rsid w:val="006854F7"/>
    <w:rsid w:val="0068582B"/>
    <w:rsid w:val="006877A3"/>
    <w:rsid w:val="0069031B"/>
    <w:rsid w:val="0069253B"/>
    <w:rsid w:val="00692D3C"/>
    <w:rsid w:val="006939A4"/>
    <w:rsid w:val="00693D24"/>
    <w:rsid w:val="00693DE0"/>
    <w:rsid w:val="00694B20"/>
    <w:rsid w:val="00696E14"/>
    <w:rsid w:val="006973EB"/>
    <w:rsid w:val="006A0035"/>
    <w:rsid w:val="006A037D"/>
    <w:rsid w:val="006A1A2D"/>
    <w:rsid w:val="006A423B"/>
    <w:rsid w:val="006A6622"/>
    <w:rsid w:val="006A691E"/>
    <w:rsid w:val="006A6A81"/>
    <w:rsid w:val="006A7C3B"/>
    <w:rsid w:val="006B06E6"/>
    <w:rsid w:val="006B191C"/>
    <w:rsid w:val="006B303E"/>
    <w:rsid w:val="006B3C75"/>
    <w:rsid w:val="006B458B"/>
    <w:rsid w:val="006B54CE"/>
    <w:rsid w:val="006B6873"/>
    <w:rsid w:val="006C0109"/>
    <w:rsid w:val="006C2774"/>
    <w:rsid w:val="006C44ED"/>
    <w:rsid w:val="006C4804"/>
    <w:rsid w:val="006C488B"/>
    <w:rsid w:val="006C546A"/>
    <w:rsid w:val="006C7908"/>
    <w:rsid w:val="006D0029"/>
    <w:rsid w:val="006D0750"/>
    <w:rsid w:val="006D4830"/>
    <w:rsid w:val="006D4B44"/>
    <w:rsid w:val="006D67A4"/>
    <w:rsid w:val="006D75B5"/>
    <w:rsid w:val="006D7C5F"/>
    <w:rsid w:val="006E103B"/>
    <w:rsid w:val="006E1A3F"/>
    <w:rsid w:val="006E311C"/>
    <w:rsid w:val="006E41DA"/>
    <w:rsid w:val="006E4AE5"/>
    <w:rsid w:val="006E6435"/>
    <w:rsid w:val="006E7B42"/>
    <w:rsid w:val="006F03B4"/>
    <w:rsid w:val="006F12A6"/>
    <w:rsid w:val="006F14E8"/>
    <w:rsid w:val="006F1A14"/>
    <w:rsid w:val="006F1B48"/>
    <w:rsid w:val="006F2F9C"/>
    <w:rsid w:val="006F397B"/>
    <w:rsid w:val="006F39CC"/>
    <w:rsid w:val="006F5E02"/>
    <w:rsid w:val="006F67FF"/>
    <w:rsid w:val="006F6995"/>
    <w:rsid w:val="006F7393"/>
    <w:rsid w:val="00700E6A"/>
    <w:rsid w:val="0070224F"/>
    <w:rsid w:val="00703589"/>
    <w:rsid w:val="007048BD"/>
    <w:rsid w:val="0070528A"/>
    <w:rsid w:val="00705841"/>
    <w:rsid w:val="00706764"/>
    <w:rsid w:val="007068DB"/>
    <w:rsid w:val="00707090"/>
    <w:rsid w:val="00707C32"/>
    <w:rsid w:val="00707FF2"/>
    <w:rsid w:val="0071061E"/>
    <w:rsid w:val="007110F4"/>
    <w:rsid w:val="007115F7"/>
    <w:rsid w:val="00712290"/>
    <w:rsid w:val="00713099"/>
    <w:rsid w:val="007137F2"/>
    <w:rsid w:val="00714C73"/>
    <w:rsid w:val="007155CB"/>
    <w:rsid w:val="0071613A"/>
    <w:rsid w:val="0072248C"/>
    <w:rsid w:val="007265DA"/>
    <w:rsid w:val="00730B83"/>
    <w:rsid w:val="00730D1D"/>
    <w:rsid w:val="007328D4"/>
    <w:rsid w:val="0073320F"/>
    <w:rsid w:val="0073367E"/>
    <w:rsid w:val="00733F79"/>
    <w:rsid w:val="00733FDB"/>
    <w:rsid w:val="00735DE0"/>
    <w:rsid w:val="00735E9E"/>
    <w:rsid w:val="007366D2"/>
    <w:rsid w:val="00737040"/>
    <w:rsid w:val="0074006D"/>
    <w:rsid w:val="007404DD"/>
    <w:rsid w:val="00740B11"/>
    <w:rsid w:val="007414D3"/>
    <w:rsid w:val="00742ED4"/>
    <w:rsid w:val="007434F6"/>
    <w:rsid w:val="0074356C"/>
    <w:rsid w:val="0074374E"/>
    <w:rsid w:val="00743833"/>
    <w:rsid w:val="00745984"/>
    <w:rsid w:val="00745EAC"/>
    <w:rsid w:val="007466BB"/>
    <w:rsid w:val="007466D8"/>
    <w:rsid w:val="00747BEA"/>
    <w:rsid w:val="007503EB"/>
    <w:rsid w:val="00750B7C"/>
    <w:rsid w:val="00751C5A"/>
    <w:rsid w:val="00752278"/>
    <w:rsid w:val="0075384D"/>
    <w:rsid w:val="00754DF9"/>
    <w:rsid w:val="007571C1"/>
    <w:rsid w:val="00757292"/>
    <w:rsid w:val="007579A7"/>
    <w:rsid w:val="00762E26"/>
    <w:rsid w:val="00763D1C"/>
    <w:rsid w:val="00763F77"/>
    <w:rsid w:val="00764821"/>
    <w:rsid w:val="00765027"/>
    <w:rsid w:val="00765107"/>
    <w:rsid w:val="0076657C"/>
    <w:rsid w:val="007679D9"/>
    <w:rsid w:val="00767E36"/>
    <w:rsid w:val="00770A12"/>
    <w:rsid w:val="00771B78"/>
    <w:rsid w:val="00772041"/>
    <w:rsid w:val="00772E5F"/>
    <w:rsid w:val="0077517B"/>
    <w:rsid w:val="0077632E"/>
    <w:rsid w:val="0077662C"/>
    <w:rsid w:val="0077677F"/>
    <w:rsid w:val="00776863"/>
    <w:rsid w:val="00782EEB"/>
    <w:rsid w:val="00783F1A"/>
    <w:rsid w:val="00784F08"/>
    <w:rsid w:val="00785689"/>
    <w:rsid w:val="0078705F"/>
    <w:rsid w:val="0078790B"/>
    <w:rsid w:val="00787A55"/>
    <w:rsid w:val="00790A98"/>
    <w:rsid w:val="00792A7D"/>
    <w:rsid w:val="00792C51"/>
    <w:rsid w:val="007944B0"/>
    <w:rsid w:val="00794920"/>
    <w:rsid w:val="00795755"/>
    <w:rsid w:val="00795D97"/>
    <w:rsid w:val="00796241"/>
    <w:rsid w:val="0079754B"/>
    <w:rsid w:val="00797FB5"/>
    <w:rsid w:val="007A026A"/>
    <w:rsid w:val="007A0A68"/>
    <w:rsid w:val="007A12A3"/>
    <w:rsid w:val="007A183A"/>
    <w:rsid w:val="007A1E6D"/>
    <w:rsid w:val="007A2595"/>
    <w:rsid w:val="007A29EE"/>
    <w:rsid w:val="007A4862"/>
    <w:rsid w:val="007A58D6"/>
    <w:rsid w:val="007A6458"/>
    <w:rsid w:val="007A7588"/>
    <w:rsid w:val="007B0C8B"/>
    <w:rsid w:val="007B0EB2"/>
    <w:rsid w:val="007B3FBC"/>
    <w:rsid w:val="007B4208"/>
    <w:rsid w:val="007B6AAB"/>
    <w:rsid w:val="007B70CD"/>
    <w:rsid w:val="007B7EAB"/>
    <w:rsid w:val="007B7EF1"/>
    <w:rsid w:val="007C0B1B"/>
    <w:rsid w:val="007C10B9"/>
    <w:rsid w:val="007C1759"/>
    <w:rsid w:val="007C29E1"/>
    <w:rsid w:val="007C303B"/>
    <w:rsid w:val="007C3E90"/>
    <w:rsid w:val="007C4078"/>
    <w:rsid w:val="007C43A4"/>
    <w:rsid w:val="007C4DF2"/>
    <w:rsid w:val="007C5280"/>
    <w:rsid w:val="007D0A88"/>
    <w:rsid w:val="007D1B7E"/>
    <w:rsid w:val="007D1D86"/>
    <w:rsid w:val="007D207E"/>
    <w:rsid w:val="007D2B68"/>
    <w:rsid w:val="007D47E9"/>
    <w:rsid w:val="007D5BB1"/>
    <w:rsid w:val="007D701D"/>
    <w:rsid w:val="007D7732"/>
    <w:rsid w:val="007E090D"/>
    <w:rsid w:val="007E0A38"/>
    <w:rsid w:val="007E1119"/>
    <w:rsid w:val="007E1278"/>
    <w:rsid w:val="007E22B2"/>
    <w:rsid w:val="007E23A6"/>
    <w:rsid w:val="007E2A26"/>
    <w:rsid w:val="007E343F"/>
    <w:rsid w:val="007E3988"/>
    <w:rsid w:val="007E4F42"/>
    <w:rsid w:val="007E545E"/>
    <w:rsid w:val="007E622E"/>
    <w:rsid w:val="007E6C69"/>
    <w:rsid w:val="007E7B43"/>
    <w:rsid w:val="007F1210"/>
    <w:rsid w:val="007F12EE"/>
    <w:rsid w:val="007F1675"/>
    <w:rsid w:val="007F2FC9"/>
    <w:rsid w:val="007F7D51"/>
    <w:rsid w:val="00800110"/>
    <w:rsid w:val="008014AA"/>
    <w:rsid w:val="00801BD6"/>
    <w:rsid w:val="00802B51"/>
    <w:rsid w:val="00803A8D"/>
    <w:rsid w:val="00804531"/>
    <w:rsid w:val="008048F8"/>
    <w:rsid w:val="00805D86"/>
    <w:rsid w:val="0080602F"/>
    <w:rsid w:val="00806397"/>
    <w:rsid w:val="00810B6F"/>
    <w:rsid w:val="00812292"/>
    <w:rsid w:val="008154BD"/>
    <w:rsid w:val="00816809"/>
    <w:rsid w:val="0081707D"/>
    <w:rsid w:val="00817E34"/>
    <w:rsid w:val="00817E56"/>
    <w:rsid w:val="00821836"/>
    <w:rsid w:val="00821A35"/>
    <w:rsid w:val="00822CE0"/>
    <w:rsid w:val="00822D17"/>
    <w:rsid w:val="0082366F"/>
    <w:rsid w:val="0082434A"/>
    <w:rsid w:val="00825A13"/>
    <w:rsid w:val="00826925"/>
    <w:rsid w:val="00832CEC"/>
    <w:rsid w:val="00832F42"/>
    <w:rsid w:val="00833148"/>
    <w:rsid w:val="00833DA0"/>
    <w:rsid w:val="00834233"/>
    <w:rsid w:val="0083469D"/>
    <w:rsid w:val="008351B0"/>
    <w:rsid w:val="00840B5A"/>
    <w:rsid w:val="00841AB1"/>
    <w:rsid w:val="00841CF8"/>
    <w:rsid w:val="00842B2B"/>
    <w:rsid w:val="008431F1"/>
    <w:rsid w:val="00845A59"/>
    <w:rsid w:val="00846B14"/>
    <w:rsid w:val="00846FAB"/>
    <w:rsid w:val="008471EE"/>
    <w:rsid w:val="00850DBB"/>
    <w:rsid w:val="00851D02"/>
    <w:rsid w:val="00851D89"/>
    <w:rsid w:val="00854B47"/>
    <w:rsid w:val="00855CD9"/>
    <w:rsid w:val="00857B8E"/>
    <w:rsid w:val="00861F28"/>
    <w:rsid w:val="008620E8"/>
    <w:rsid w:val="008622C8"/>
    <w:rsid w:val="0086377E"/>
    <w:rsid w:val="00863D04"/>
    <w:rsid w:val="00865BFC"/>
    <w:rsid w:val="00866BBF"/>
    <w:rsid w:val="00867677"/>
    <w:rsid w:val="0087033E"/>
    <w:rsid w:val="0087167C"/>
    <w:rsid w:val="00873B95"/>
    <w:rsid w:val="00873DE0"/>
    <w:rsid w:val="0087586A"/>
    <w:rsid w:val="00875D28"/>
    <w:rsid w:val="0088031B"/>
    <w:rsid w:val="0088204B"/>
    <w:rsid w:val="0088269B"/>
    <w:rsid w:val="00883BCA"/>
    <w:rsid w:val="00884E5B"/>
    <w:rsid w:val="0088559F"/>
    <w:rsid w:val="008874C7"/>
    <w:rsid w:val="008913FC"/>
    <w:rsid w:val="00891FCE"/>
    <w:rsid w:val="00892B12"/>
    <w:rsid w:val="00893076"/>
    <w:rsid w:val="00893727"/>
    <w:rsid w:val="00894C3A"/>
    <w:rsid w:val="00894E55"/>
    <w:rsid w:val="00895248"/>
    <w:rsid w:val="008A0019"/>
    <w:rsid w:val="008A0996"/>
    <w:rsid w:val="008A3017"/>
    <w:rsid w:val="008A33D1"/>
    <w:rsid w:val="008A37FA"/>
    <w:rsid w:val="008A4102"/>
    <w:rsid w:val="008A5828"/>
    <w:rsid w:val="008A66FE"/>
    <w:rsid w:val="008A6B47"/>
    <w:rsid w:val="008A6F34"/>
    <w:rsid w:val="008A79A8"/>
    <w:rsid w:val="008B3008"/>
    <w:rsid w:val="008B33C0"/>
    <w:rsid w:val="008B378C"/>
    <w:rsid w:val="008B5876"/>
    <w:rsid w:val="008B6325"/>
    <w:rsid w:val="008B6754"/>
    <w:rsid w:val="008B699E"/>
    <w:rsid w:val="008B7484"/>
    <w:rsid w:val="008B749B"/>
    <w:rsid w:val="008C0AC9"/>
    <w:rsid w:val="008C0EAC"/>
    <w:rsid w:val="008C1B35"/>
    <w:rsid w:val="008C2164"/>
    <w:rsid w:val="008C2560"/>
    <w:rsid w:val="008C266A"/>
    <w:rsid w:val="008C2B9B"/>
    <w:rsid w:val="008C3EB6"/>
    <w:rsid w:val="008C3F12"/>
    <w:rsid w:val="008C3FBD"/>
    <w:rsid w:val="008C52B4"/>
    <w:rsid w:val="008C5665"/>
    <w:rsid w:val="008C5AC1"/>
    <w:rsid w:val="008C68F1"/>
    <w:rsid w:val="008D2ACC"/>
    <w:rsid w:val="008D32B0"/>
    <w:rsid w:val="008D357A"/>
    <w:rsid w:val="008D4004"/>
    <w:rsid w:val="008D7516"/>
    <w:rsid w:val="008D768D"/>
    <w:rsid w:val="008E0A5E"/>
    <w:rsid w:val="008E0C85"/>
    <w:rsid w:val="008E3CE2"/>
    <w:rsid w:val="008E3EB5"/>
    <w:rsid w:val="008E406D"/>
    <w:rsid w:val="008E6C02"/>
    <w:rsid w:val="008E6FCD"/>
    <w:rsid w:val="008F04FD"/>
    <w:rsid w:val="008F0E8A"/>
    <w:rsid w:val="008F0EC1"/>
    <w:rsid w:val="008F1454"/>
    <w:rsid w:val="008F17B0"/>
    <w:rsid w:val="008F28B0"/>
    <w:rsid w:val="008F438D"/>
    <w:rsid w:val="008F5976"/>
    <w:rsid w:val="008F608B"/>
    <w:rsid w:val="008F6467"/>
    <w:rsid w:val="00900B2E"/>
    <w:rsid w:val="00901F59"/>
    <w:rsid w:val="00902F18"/>
    <w:rsid w:val="00905405"/>
    <w:rsid w:val="00905AD7"/>
    <w:rsid w:val="00905C22"/>
    <w:rsid w:val="009074A2"/>
    <w:rsid w:val="0091015E"/>
    <w:rsid w:val="0091058A"/>
    <w:rsid w:val="00910E6A"/>
    <w:rsid w:val="009110C6"/>
    <w:rsid w:val="00914A1E"/>
    <w:rsid w:val="009151AB"/>
    <w:rsid w:val="0091566E"/>
    <w:rsid w:val="00916929"/>
    <w:rsid w:val="009212F4"/>
    <w:rsid w:val="00921803"/>
    <w:rsid w:val="00922409"/>
    <w:rsid w:val="00922F12"/>
    <w:rsid w:val="00923958"/>
    <w:rsid w:val="00923C53"/>
    <w:rsid w:val="00923E65"/>
    <w:rsid w:val="00925A31"/>
    <w:rsid w:val="00926503"/>
    <w:rsid w:val="009278D9"/>
    <w:rsid w:val="00927DCC"/>
    <w:rsid w:val="00930A2A"/>
    <w:rsid w:val="00930B28"/>
    <w:rsid w:val="00932735"/>
    <w:rsid w:val="00933A45"/>
    <w:rsid w:val="00933B84"/>
    <w:rsid w:val="00933BAF"/>
    <w:rsid w:val="00933C11"/>
    <w:rsid w:val="00935BD2"/>
    <w:rsid w:val="00935FA7"/>
    <w:rsid w:val="00936C21"/>
    <w:rsid w:val="00936F30"/>
    <w:rsid w:val="0093797D"/>
    <w:rsid w:val="00937FCC"/>
    <w:rsid w:val="009412D3"/>
    <w:rsid w:val="009415BA"/>
    <w:rsid w:val="009428F4"/>
    <w:rsid w:val="009438C8"/>
    <w:rsid w:val="00943B6E"/>
    <w:rsid w:val="009461A6"/>
    <w:rsid w:val="00947149"/>
    <w:rsid w:val="0095283C"/>
    <w:rsid w:val="00952C5A"/>
    <w:rsid w:val="0095406A"/>
    <w:rsid w:val="00955867"/>
    <w:rsid w:val="00957829"/>
    <w:rsid w:val="0096246B"/>
    <w:rsid w:val="009656BF"/>
    <w:rsid w:val="00970658"/>
    <w:rsid w:val="00970E9C"/>
    <w:rsid w:val="009726D8"/>
    <w:rsid w:val="00972A1C"/>
    <w:rsid w:val="009737A7"/>
    <w:rsid w:val="00974D0D"/>
    <w:rsid w:val="00975DA6"/>
    <w:rsid w:val="0097652B"/>
    <w:rsid w:val="009772D8"/>
    <w:rsid w:val="00977637"/>
    <w:rsid w:val="00980CFC"/>
    <w:rsid w:val="00980D02"/>
    <w:rsid w:val="009816F8"/>
    <w:rsid w:val="00981B17"/>
    <w:rsid w:val="00984DF1"/>
    <w:rsid w:val="0098615C"/>
    <w:rsid w:val="00987BAE"/>
    <w:rsid w:val="00987D91"/>
    <w:rsid w:val="0099007B"/>
    <w:rsid w:val="009908D1"/>
    <w:rsid w:val="009910F0"/>
    <w:rsid w:val="009921DC"/>
    <w:rsid w:val="009933B9"/>
    <w:rsid w:val="0099364E"/>
    <w:rsid w:val="00993B72"/>
    <w:rsid w:val="009954C6"/>
    <w:rsid w:val="009958FB"/>
    <w:rsid w:val="00996C52"/>
    <w:rsid w:val="009A001E"/>
    <w:rsid w:val="009A0E04"/>
    <w:rsid w:val="009A127B"/>
    <w:rsid w:val="009A186A"/>
    <w:rsid w:val="009A3F6B"/>
    <w:rsid w:val="009A6BBE"/>
    <w:rsid w:val="009B1CF7"/>
    <w:rsid w:val="009B1D53"/>
    <w:rsid w:val="009B2096"/>
    <w:rsid w:val="009B3F22"/>
    <w:rsid w:val="009B50FB"/>
    <w:rsid w:val="009B7DDD"/>
    <w:rsid w:val="009C0623"/>
    <w:rsid w:val="009C070D"/>
    <w:rsid w:val="009C08D7"/>
    <w:rsid w:val="009C0A45"/>
    <w:rsid w:val="009C25FD"/>
    <w:rsid w:val="009C32AE"/>
    <w:rsid w:val="009C40B5"/>
    <w:rsid w:val="009C65D6"/>
    <w:rsid w:val="009C6E8F"/>
    <w:rsid w:val="009C70FD"/>
    <w:rsid w:val="009C7DE8"/>
    <w:rsid w:val="009D181F"/>
    <w:rsid w:val="009D1CE2"/>
    <w:rsid w:val="009D1DFC"/>
    <w:rsid w:val="009D27C5"/>
    <w:rsid w:val="009D31AC"/>
    <w:rsid w:val="009D3790"/>
    <w:rsid w:val="009D4533"/>
    <w:rsid w:val="009D5054"/>
    <w:rsid w:val="009D53C6"/>
    <w:rsid w:val="009D70B4"/>
    <w:rsid w:val="009D7308"/>
    <w:rsid w:val="009E25CB"/>
    <w:rsid w:val="009E26D4"/>
    <w:rsid w:val="009E43C3"/>
    <w:rsid w:val="009F0778"/>
    <w:rsid w:val="009F20F8"/>
    <w:rsid w:val="009F22CA"/>
    <w:rsid w:val="009F2877"/>
    <w:rsid w:val="009F3671"/>
    <w:rsid w:val="009F418F"/>
    <w:rsid w:val="009F422A"/>
    <w:rsid w:val="009F6F1A"/>
    <w:rsid w:val="009F76DB"/>
    <w:rsid w:val="009F7D20"/>
    <w:rsid w:val="00A01697"/>
    <w:rsid w:val="00A026D5"/>
    <w:rsid w:val="00A03E0E"/>
    <w:rsid w:val="00A03EE3"/>
    <w:rsid w:val="00A044B2"/>
    <w:rsid w:val="00A05555"/>
    <w:rsid w:val="00A0563B"/>
    <w:rsid w:val="00A0589C"/>
    <w:rsid w:val="00A05C01"/>
    <w:rsid w:val="00A05DC9"/>
    <w:rsid w:val="00A070DF"/>
    <w:rsid w:val="00A10002"/>
    <w:rsid w:val="00A1139F"/>
    <w:rsid w:val="00A116B0"/>
    <w:rsid w:val="00A1252B"/>
    <w:rsid w:val="00A12A6E"/>
    <w:rsid w:val="00A14945"/>
    <w:rsid w:val="00A1512D"/>
    <w:rsid w:val="00A16A5B"/>
    <w:rsid w:val="00A16B4C"/>
    <w:rsid w:val="00A177A5"/>
    <w:rsid w:val="00A178B5"/>
    <w:rsid w:val="00A20DD8"/>
    <w:rsid w:val="00A22077"/>
    <w:rsid w:val="00A22569"/>
    <w:rsid w:val="00A2299F"/>
    <w:rsid w:val="00A2312A"/>
    <w:rsid w:val="00A236A5"/>
    <w:rsid w:val="00A23A6F"/>
    <w:rsid w:val="00A24DE4"/>
    <w:rsid w:val="00A250AC"/>
    <w:rsid w:val="00A26495"/>
    <w:rsid w:val="00A2706D"/>
    <w:rsid w:val="00A27085"/>
    <w:rsid w:val="00A27951"/>
    <w:rsid w:val="00A27CF2"/>
    <w:rsid w:val="00A324B9"/>
    <w:rsid w:val="00A32537"/>
    <w:rsid w:val="00A32C3B"/>
    <w:rsid w:val="00A3396A"/>
    <w:rsid w:val="00A36BC7"/>
    <w:rsid w:val="00A36FEE"/>
    <w:rsid w:val="00A37486"/>
    <w:rsid w:val="00A37A1B"/>
    <w:rsid w:val="00A40C79"/>
    <w:rsid w:val="00A423F5"/>
    <w:rsid w:val="00A42F62"/>
    <w:rsid w:val="00A4553C"/>
    <w:rsid w:val="00A45F4F"/>
    <w:rsid w:val="00A47EDB"/>
    <w:rsid w:val="00A51216"/>
    <w:rsid w:val="00A52C90"/>
    <w:rsid w:val="00A5318A"/>
    <w:rsid w:val="00A53DBB"/>
    <w:rsid w:val="00A556DD"/>
    <w:rsid w:val="00A55870"/>
    <w:rsid w:val="00A56C7F"/>
    <w:rsid w:val="00A5706A"/>
    <w:rsid w:val="00A575BE"/>
    <w:rsid w:val="00A57812"/>
    <w:rsid w:val="00A578BE"/>
    <w:rsid w:val="00A600A9"/>
    <w:rsid w:val="00A608ED"/>
    <w:rsid w:val="00A61C73"/>
    <w:rsid w:val="00A61E55"/>
    <w:rsid w:val="00A62195"/>
    <w:rsid w:val="00A62425"/>
    <w:rsid w:val="00A62AE0"/>
    <w:rsid w:val="00A63CA5"/>
    <w:rsid w:val="00A63E6D"/>
    <w:rsid w:val="00A64A92"/>
    <w:rsid w:val="00A657B3"/>
    <w:rsid w:val="00A65B77"/>
    <w:rsid w:val="00A66D96"/>
    <w:rsid w:val="00A67C52"/>
    <w:rsid w:val="00A70B5B"/>
    <w:rsid w:val="00A72B5C"/>
    <w:rsid w:val="00A73095"/>
    <w:rsid w:val="00A733DE"/>
    <w:rsid w:val="00A73542"/>
    <w:rsid w:val="00A7513E"/>
    <w:rsid w:val="00A7593A"/>
    <w:rsid w:val="00A776EA"/>
    <w:rsid w:val="00A77F0A"/>
    <w:rsid w:val="00A80CDD"/>
    <w:rsid w:val="00A81F9D"/>
    <w:rsid w:val="00A82439"/>
    <w:rsid w:val="00A82891"/>
    <w:rsid w:val="00A83138"/>
    <w:rsid w:val="00A84166"/>
    <w:rsid w:val="00A84A67"/>
    <w:rsid w:val="00A84DEA"/>
    <w:rsid w:val="00A84E20"/>
    <w:rsid w:val="00A8574B"/>
    <w:rsid w:val="00A85751"/>
    <w:rsid w:val="00A86601"/>
    <w:rsid w:val="00A90B39"/>
    <w:rsid w:val="00A91DF9"/>
    <w:rsid w:val="00A921AD"/>
    <w:rsid w:val="00A925C2"/>
    <w:rsid w:val="00A92A7B"/>
    <w:rsid w:val="00A92AFD"/>
    <w:rsid w:val="00A958AE"/>
    <w:rsid w:val="00A97724"/>
    <w:rsid w:val="00A97D53"/>
    <w:rsid w:val="00AA0EB3"/>
    <w:rsid w:val="00AA2EE3"/>
    <w:rsid w:val="00AA55B7"/>
    <w:rsid w:val="00AA56D6"/>
    <w:rsid w:val="00AA5AD5"/>
    <w:rsid w:val="00AA5B9E"/>
    <w:rsid w:val="00AA643A"/>
    <w:rsid w:val="00AA691F"/>
    <w:rsid w:val="00AA79BE"/>
    <w:rsid w:val="00AB040C"/>
    <w:rsid w:val="00AB0CE0"/>
    <w:rsid w:val="00AB0E1E"/>
    <w:rsid w:val="00AB1C9A"/>
    <w:rsid w:val="00AB2407"/>
    <w:rsid w:val="00AB28F6"/>
    <w:rsid w:val="00AB312C"/>
    <w:rsid w:val="00AB3DF5"/>
    <w:rsid w:val="00AB403D"/>
    <w:rsid w:val="00AB424B"/>
    <w:rsid w:val="00AB4349"/>
    <w:rsid w:val="00AB491A"/>
    <w:rsid w:val="00AB53DF"/>
    <w:rsid w:val="00AB5690"/>
    <w:rsid w:val="00AB56FD"/>
    <w:rsid w:val="00AB691F"/>
    <w:rsid w:val="00AC0432"/>
    <w:rsid w:val="00AC14A3"/>
    <w:rsid w:val="00AC179E"/>
    <w:rsid w:val="00AC25FA"/>
    <w:rsid w:val="00AC2AAD"/>
    <w:rsid w:val="00AC35AB"/>
    <w:rsid w:val="00AC4623"/>
    <w:rsid w:val="00AC5099"/>
    <w:rsid w:val="00AC5C06"/>
    <w:rsid w:val="00AC783C"/>
    <w:rsid w:val="00AD1D5A"/>
    <w:rsid w:val="00AD3E55"/>
    <w:rsid w:val="00AD4F21"/>
    <w:rsid w:val="00AD507D"/>
    <w:rsid w:val="00AD5631"/>
    <w:rsid w:val="00AD65D4"/>
    <w:rsid w:val="00AD665C"/>
    <w:rsid w:val="00AD6BED"/>
    <w:rsid w:val="00AD7528"/>
    <w:rsid w:val="00AD7D1E"/>
    <w:rsid w:val="00AD7F86"/>
    <w:rsid w:val="00AE0BD9"/>
    <w:rsid w:val="00AE1A11"/>
    <w:rsid w:val="00AE20D3"/>
    <w:rsid w:val="00AE2F5F"/>
    <w:rsid w:val="00AE3DAE"/>
    <w:rsid w:val="00AE548C"/>
    <w:rsid w:val="00AE68ED"/>
    <w:rsid w:val="00AE7FCE"/>
    <w:rsid w:val="00AF09EC"/>
    <w:rsid w:val="00AF2479"/>
    <w:rsid w:val="00AF3F0C"/>
    <w:rsid w:val="00AF4583"/>
    <w:rsid w:val="00AF4E99"/>
    <w:rsid w:val="00AF51D8"/>
    <w:rsid w:val="00AF6828"/>
    <w:rsid w:val="00B001F9"/>
    <w:rsid w:val="00B00265"/>
    <w:rsid w:val="00B01D0E"/>
    <w:rsid w:val="00B0211D"/>
    <w:rsid w:val="00B026E8"/>
    <w:rsid w:val="00B02B9A"/>
    <w:rsid w:val="00B03B8E"/>
    <w:rsid w:val="00B04793"/>
    <w:rsid w:val="00B05F4A"/>
    <w:rsid w:val="00B0657C"/>
    <w:rsid w:val="00B07E5C"/>
    <w:rsid w:val="00B10781"/>
    <w:rsid w:val="00B110DE"/>
    <w:rsid w:val="00B11469"/>
    <w:rsid w:val="00B11C59"/>
    <w:rsid w:val="00B11F6D"/>
    <w:rsid w:val="00B12D81"/>
    <w:rsid w:val="00B12FCF"/>
    <w:rsid w:val="00B14AF6"/>
    <w:rsid w:val="00B1514E"/>
    <w:rsid w:val="00B15B42"/>
    <w:rsid w:val="00B16B88"/>
    <w:rsid w:val="00B17964"/>
    <w:rsid w:val="00B17E88"/>
    <w:rsid w:val="00B20AEC"/>
    <w:rsid w:val="00B22ABB"/>
    <w:rsid w:val="00B23092"/>
    <w:rsid w:val="00B256BC"/>
    <w:rsid w:val="00B2612A"/>
    <w:rsid w:val="00B2641E"/>
    <w:rsid w:val="00B26AE9"/>
    <w:rsid w:val="00B26E63"/>
    <w:rsid w:val="00B27110"/>
    <w:rsid w:val="00B276BB"/>
    <w:rsid w:val="00B31598"/>
    <w:rsid w:val="00B3160F"/>
    <w:rsid w:val="00B32224"/>
    <w:rsid w:val="00B3229F"/>
    <w:rsid w:val="00B33628"/>
    <w:rsid w:val="00B36789"/>
    <w:rsid w:val="00B36F9E"/>
    <w:rsid w:val="00B376B7"/>
    <w:rsid w:val="00B40C6F"/>
    <w:rsid w:val="00B40D7D"/>
    <w:rsid w:val="00B4118B"/>
    <w:rsid w:val="00B42C27"/>
    <w:rsid w:val="00B438D7"/>
    <w:rsid w:val="00B45C0E"/>
    <w:rsid w:val="00B45EF4"/>
    <w:rsid w:val="00B465DB"/>
    <w:rsid w:val="00B47813"/>
    <w:rsid w:val="00B5021E"/>
    <w:rsid w:val="00B50963"/>
    <w:rsid w:val="00B516DB"/>
    <w:rsid w:val="00B52E10"/>
    <w:rsid w:val="00B539AA"/>
    <w:rsid w:val="00B53DC4"/>
    <w:rsid w:val="00B548F5"/>
    <w:rsid w:val="00B558F0"/>
    <w:rsid w:val="00B56A37"/>
    <w:rsid w:val="00B56CAC"/>
    <w:rsid w:val="00B57267"/>
    <w:rsid w:val="00B57E74"/>
    <w:rsid w:val="00B61812"/>
    <w:rsid w:val="00B64D2F"/>
    <w:rsid w:val="00B653B9"/>
    <w:rsid w:val="00B667EE"/>
    <w:rsid w:val="00B66D34"/>
    <w:rsid w:val="00B70865"/>
    <w:rsid w:val="00B71D85"/>
    <w:rsid w:val="00B72371"/>
    <w:rsid w:val="00B735CF"/>
    <w:rsid w:val="00B76479"/>
    <w:rsid w:val="00B77445"/>
    <w:rsid w:val="00B77CA9"/>
    <w:rsid w:val="00B80010"/>
    <w:rsid w:val="00B80DCA"/>
    <w:rsid w:val="00B811EE"/>
    <w:rsid w:val="00B811F7"/>
    <w:rsid w:val="00B813BF"/>
    <w:rsid w:val="00B813DE"/>
    <w:rsid w:val="00B81EDA"/>
    <w:rsid w:val="00B82436"/>
    <w:rsid w:val="00B837AD"/>
    <w:rsid w:val="00B86BE6"/>
    <w:rsid w:val="00B8720B"/>
    <w:rsid w:val="00B87AEC"/>
    <w:rsid w:val="00B939DF"/>
    <w:rsid w:val="00B93C15"/>
    <w:rsid w:val="00B96412"/>
    <w:rsid w:val="00BA0664"/>
    <w:rsid w:val="00BA3334"/>
    <w:rsid w:val="00BA38A6"/>
    <w:rsid w:val="00BA40B9"/>
    <w:rsid w:val="00BA5DC6"/>
    <w:rsid w:val="00BA6196"/>
    <w:rsid w:val="00BB0D2A"/>
    <w:rsid w:val="00BB1E2A"/>
    <w:rsid w:val="00BB2294"/>
    <w:rsid w:val="00BB35B6"/>
    <w:rsid w:val="00BB3D2E"/>
    <w:rsid w:val="00BB49CE"/>
    <w:rsid w:val="00BB53C7"/>
    <w:rsid w:val="00BB715F"/>
    <w:rsid w:val="00BB7605"/>
    <w:rsid w:val="00BC3248"/>
    <w:rsid w:val="00BC4AF7"/>
    <w:rsid w:val="00BC50D4"/>
    <w:rsid w:val="00BC58C1"/>
    <w:rsid w:val="00BC5FAC"/>
    <w:rsid w:val="00BC6D8C"/>
    <w:rsid w:val="00BD054F"/>
    <w:rsid w:val="00BD0743"/>
    <w:rsid w:val="00BD0814"/>
    <w:rsid w:val="00BD1B85"/>
    <w:rsid w:val="00BD20F7"/>
    <w:rsid w:val="00BD41DA"/>
    <w:rsid w:val="00BD4BDC"/>
    <w:rsid w:val="00BD5C1E"/>
    <w:rsid w:val="00BD663B"/>
    <w:rsid w:val="00BD77EE"/>
    <w:rsid w:val="00BD7AE8"/>
    <w:rsid w:val="00BE0053"/>
    <w:rsid w:val="00BE011D"/>
    <w:rsid w:val="00BE0E8F"/>
    <w:rsid w:val="00BE0FFC"/>
    <w:rsid w:val="00BE10DF"/>
    <w:rsid w:val="00BE53F8"/>
    <w:rsid w:val="00BE660B"/>
    <w:rsid w:val="00BF0395"/>
    <w:rsid w:val="00BF24F7"/>
    <w:rsid w:val="00BF2765"/>
    <w:rsid w:val="00BF2975"/>
    <w:rsid w:val="00BF29A7"/>
    <w:rsid w:val="00BF2D3D"/>
    <w:rsid w:val="00BF3D16"/>
    <w:rsid w:val="00BF5AA6"/>
    <w:rsid w:val="00BF5D40"/>
    <w:rsid w:val="00BF6144"/>
    <w:rsid w:val="00BF648F"/>
    <w:rsid w:val="00BF6F30"/>
    <w:rsid w:val="00C00478"/>
    <w:rsid w:val="00C01097"/>
    <w:rsid w:val="00C04B95"/>
    <w:rsid w:val="00C061B0"/>
    <w:rsid w:val="00C06FF3"/>
    <w:rsid w:val="00C10E88"/>
    <w:rsid w:val="00C1134B"/>
    <w:rsid w:val="00C1229F"/>
    <w:rsid w:val="00C12F4D"/>
    <w:rsid w:val="00C14161"/>
    <w:rsid w:val="00C1582E"/>
    <w:rsid w:val="00C16E8D"/>
    <w:rsid w:val="00C16F30"/>
    <w:rsid w:val="00C21DEF"/>
    <w:rsid w:val="00C244C1"/>
    <w:rsid w:val="00C2530B"/>
    <w:rsid w:val="00C2583F"/>
    <w:rsid w:val="00C26529"/>
    <w:rsid w:val="00C273AB"/>
    <w:rsid w:val="00C30B30"/>
    <w:rsid w:val="00C34006"/>
    <w:rsid w:val="00C35573"/>
    <w:rsid w:val="00C36B4C"/>
    <w:rsid w:val="00C3764A"/>
    <w:rsid w:val="00C37DA5"/>
    <w:rsid w:val="00C4053D"/>
    <w:rsid w:val="00C410AF"/>
    <w:rsid w:val="00C41F0A"/>
    <w:rsid w:val="00C426B1"/>
    <w:rsid w:val="00C43AC7"/>
    <w:rsid w:val="00C43B62"/>
    <w:rsid w:val="00C445B9"/>
    <w:rsid w:val="00C44ED5"/>
    <w:rsid w:val="00C44F7D"/>
    <w:rsid w:val="00C453C6"/>
    <w:rsid w:val="00C456E2"/>
    <w:rsid w:val="00C45BE3"/>
    <w:rsid w:val="00C4642D"/>
    <w:rsid w:val="00C47EC0"/>
    <w:rsid w:val="00C5103E"/>
    <w:rsid w:val="00C5123E"/>
    <w:rsid w:val="00C513E9"/>
    <w:rsid w:val="00C51603"/>
    <w:rsid w:val="00C51B2F"/>
    <w:rsid w:val="00C51ED6"/>
    <w:rsid w:val="00C53F41"/>
    <w:rsid w:val="00C5637E"/>
    <w:rsid w:val="00C56B48"/>
    <w:rsid w:val="00C56C2A"/>
    <w:rsid w:val="00C57074"/>
    <w:rsid w:val="00C572FB"/>
    <w:rsid w:val="00C57B32"/>
    <w:rsid w:val="00C57E57"/>
    <w:rsid w:val="00C6025C"/>
    <w:rsid w:val="00C61D47"/>
    <w:rsid w:val="00C62336"/>
    <w:rsid w:val="00C6382D"/>
    <w:rsid w:val="00C639BE"/>
    <w:rsid w:val="00C64536"/>
    <w:rsid w:val="00C64DFC"/>
    <w:rsid w:val="00C65543"/>
    <w:rsid w:val="00C66160"/>
    <w:rsid w:val="00C66A5C"/>
    <w:rsid w:val="00C67028"/>
    <w:rsid w:val="00C70350"/>
    <w:rsid w:val="00C70835"/>
    <w:rsid w:val="00C70D1A"/>
    <w:rsid w:val="00C70DC2"/>
    <w:rsid w:val="00C71602"/>
    <w:rsid w:val="00C7167F"/>
    <w:rsid w:val="00C721AC"/>
    <w:rsid w:val="00C72A06"/>
    <w:rsid w:val="00C74013"/>
    <w:rsid w:val="00C74159"/>
    <w:rsid w:val="00C755A0"/>
    <w:rsid w:val="00C80D09"/>
    <w:rsid w:val="00C8218B"/>
    <w:rsid w:val="00C822BA"/>
    <w:rsid w:val="00C8240B"/>
    <w:rsid w:val="00C82A86"/>
    <w:rsid w:val="00C83981"/>
    <w:rsid w:val="00C83C15"/>
    <w:rsid w:val="00C8458A"/>
    <w:rsid w:val="00C85AFA"/>
    <w:rsid w:val="00C874BA"/>
    <w:rsid w:val="00C90124"/>
    <w:rsid w:val="00C90D6A"/>
    <w:rsid w:val="00C92E72"/>
    <w:rsid w:val="00C939E0"/>
    <w:rsid w:val="00C94A2A"/>
    <w:rsid w:val="00C96C86"/>
    <w:rsid w:val="00C96EAB"/>
    <w:rsid w:val="00C97598"/>
    <w:rsid w:val="00C97FC6"/>
    <w:rsid w:val="00CA137D"/>
    <w:rsid w:val="00CA1A4C"/>
    <w:rsid w:val="00CA1F31"/>
    <w:rsid w:val="00CA247E"/>
    <w:rsid w:val="00CA28B5"/>
    <w:rsid w:val="00CA31FE"/>
    <w:rsid w:val="00CA32B7"/>
    <w:rsid w:val="00CA3F1E"/>
    <w:rsid w:val="00CA6D21"/>
    <w:rsid w:val="00CA707D"/>
    <w:rsid w:val="00CA7389"/>
    <w:rsid w:val="00CB1DD0"/>
    <w:rsid w:val="00CB2ACD"/>
    <w:rsid w:val="00CB3A13"/>
    <w:rsid w:val="00CB4EE8"/>
    <w:rsid w:val="00CB4FE3"/>
    <w:rsid w:val="00CB5615"/>
    <w:rsid w:val="00CB600A"/>
    <w:rsid w:val="00CB6C82"/>
    <w:rsid w:val="00CB735E"/>
    <w:rsid w:val="00CC06E6"/>
    <w:rsid w:val="00CC1605"/>
    <w:rsid w:val="00CC27D6"/>
    <w:rsid w:val="00CC38B0"/>
    <w:rsid w:val="00CC4498"/>
    <w:rsid w:val="00CC464B"/>
    <w:rsid w:val="00CC4E78"/>
    <w:rsid w:val="00CC598C"/>
    <w:rsid w:val="00CC72B6"/>
    <w:rsid w:val="00CD009D"/>
    <w:rsid w:val="00CD0DA4"/>
    <w:rsid w:val="00CD23C3"/>
    <w:rsid w:val="00CD36B3"/>
    <w:rsid w:val="00CD4BEC"/>
    <w:rsid w:val="00CD4E37"/>
    <w:rsid w:val="00CD51E6"/>
    <w:rsid w:val="00CE2693"/>
    <w:rsid w:val="00CE2A66"/>
    <w:rsid w:val="00CE3611"/>
    <w:rsid w:val="00CE3D0E"/>
    <w:rsid w:val="00CE3DE6"/>
    <w:rsid w:val="00CE51B6"/>
    <w:rsid w:val="00CE550D"/>
    <w:rsid w:val="00CE5FF5"/>
    <w:rsid w:val="00CE6D61"/>
    <w:rsid w:val="00CE7BE7"/>
    <w:rsid w:val="00CE7C74"/>
    <w:rsid w:val="00CF4295"/>
    <w:rsid w:val="00CF4C67"/>
    <w:rsid w:val="00CF577C"/>
    <w:rsid w:val="00CF597B"/>
    <w:rsid w:val="00D011D3"/>
    <w:rsid w:val="00D017AC"/>
    <w:rsid w:val="00D0218D"/>
    <w:rsid w:val="00D02467"/>
    <w:rsid w:val="00D03F39"/>
    <w:rsid w:val="00D07AA3"/>
    <w:rsid w:val="00D10427"/>
    <w:rsid w:val="00D11029"/>
    <w:rsid w:val="00D11759"/>
    <w:rsid w:val="00D12501"/>
    <w:rsid w:val="00D1265F"/>
    <w:rsid w:val="00D1276F"/>
    <w:rsid w:val="00D12AE2"/>
    <w:rsid w:val="00D131AF"/>
    <w:rsid w:val="00D1422E"/>
    <w:rsid w:val="00D159A6"/>
    <w:rsid w:val="00D15CD1"/>
    <w:rsid w:val="00D1673E"/>
    <w:rsid w:val="00D16BE9"/>
    <w:rsid w:val="00D17730"/>
    <w:rsid w:val="00D17E56"/>
    <w:rsid w:val="00D2103A"/>
    <w:rsid w:val="00D216DD"/>
    <w:rsid w:val="00D21FED"/>
    <w:rsid w:val="00D22C40"/>
    <w:rsid w:val="00D2427E"/>
    <w:rsid w:val="00D25FB5"/>
    <w:rsid w:val="00D26031"/>
    <w:rsid w:val="00D262F1"/>
    <w:rsid w:val="00D27434"/>
    <w:rsid w:val="00D30441"/>
    <w:rsid w:val="00D30AD2"/>
    <w:rsid w:val="00D31267"/>
    <w:rsid w:val="00D31C35"/>
    <w:rsid w:val="00D3213B"/>
    <w:rsid w:val="00D33B87"/>
    <w:rsid w:val="00D33F4A"/>
    <w:rsid w:val="00D35764"/>
    <w:rsid w:val="00D41C28"/>
    <w:rsid w:val="00D42606"/>
    <w:rsid w:val="00D44223"/>
    <w:rsid w:val="00D46DD4"/>
    <w:rsid w:val="00D503D1"/>
    <w:rsid w:val="00D515ED"/>
    <w:rsid w:val="00D5176F"/>
    <w:rsid w:val="00D51B51"/>
    <w:rsid w:val="00D52511"/>
    <w:rsid w:val="00D559F9"/>
    <w:rsid w:val="00D55A3A"/>
    <w:rsid w:val="00D56175"/>
    <w:rsid w:val="00D56D55"/>
    <w:rsid w:val="00D57F67"/>
    <w:rsid w:val="00D6098D"/>
    <w:rsid w:val="00D60A36"/>
    <w:rsid w:val="00D61A07"/>
    <w:rsid w:val="00D63AB0"/>
    <w:rsid w:val="00D63DEA"/>
    <w:rsid w:val="00D6450B"/>
    <w:rsid w:val="00D65D63"/>
    <w:rsid w:val="00D663B4"/>
    <w:rsid w:val="00D70990"/>
    <w:rsid w:val="00D71034"/>
    <w:rsid w:val="00D72348"/>
    <w:rsid w:val="00D73DF4"/>
    <w:rsid w:val="00D73FF8"/>
    <w:rsid w:val="00D7401C"/>
    <w:rsid w:val="00D74099"/>
    <w:rsid w:val="00D755E9"/>
    <w:rsid w:val="00D768F7"/>
    <w:rsid w:val="00D7734A"/>
    <w:rsid w:val="00D774AA"/>
    <w:rsid w:val="00D77CEA"/>
    <w:rsid w:val="00D810DC"/>
    <w:rsid w:val="00D82881"/>
    <w:rsid w:val="00D84292"/>
    <w:rsid w:val="00D85EBB"/>
    <w:rsid w:val="00D86712"/>
    <w:rsid w:val="00D87F94"/>
    <w:rsid w:val="00D90217"/>
    <w:rsid w:val="00D90BA9"/>
    <w:rsid w:val="00D917F0"/>
    <w:rsid w:val="00D94B42"/>
    <w:rsid w:val="00D95D17"/>
    <w:rsid w:val="00D96F54"/>
    <w:rsid w:val="00DA0188"/>
    <w:rsid w:val="00DA1503"/>
    <w:rsid w:val="00DA1D23"/>
    <w:rsid w:val="00DA2529"/>
    <w:rsid w:val="00DA6149"/>
    <w:rsid w:val="00DA7969"/>
    <w:rsid w:val="00DA7C21"/>
    <w:rsid w:val="00DB088E"/>
    <w:rsid w:val="00DB126F"/>
    <w:rsid w:val="00DB130A"/>
    <w:rsid w:val="00DB1943"/>
    <w:rsid w:val="00DB1CF8"/>
    <w:rsid w:val="00DB2C8B"/>
    <w:rsid w:val="00DB2EBB"/>
    <w:rsid w:val="00DB2F00"/>
    <w:rsid w:val="00DB2FF6"/>
    <w:rsid w:val="00DB3DAF"/>
    <w:rsid w:val="00DB43D1"/>
    <w:rsid w:val="00DB4E23"/>
    <w:rsid w:val="00DB5403"/>
    <w:rsid w:val="00DB5762"/>
    <w:rsid w:val="00DB72B6"/>
    <w:rsid w:val="00DC10A1"/>
    <w:rsid w:val="00DC2DD0"/>
    <w:rsid w:val="00DC331B"/>
    <w:rsid w:val="00DC4EF2"/>
    <w:rsid w:val="00DC655F"/>
    <w:rsid w:val="00DC7232"/>
    <w:rsid w:val="00DC7739"/>
    <w:rsid w:val="00DD0B59"/>
    <w:rsid w:val="00DD3908"/>
    <w:rsid w:val="00DD431D"/>
    <w:rsid w:val="00DD4CBC"/>
    <w:rsid w:val="00DD5EB2"/>
    <w:rsid w:val="00DD642F"/>
    <w:rsid w:val="00DD7EBD"/>
    <w:rsid w:val="00DE1017"/>
    <w:rsid w:val="00DE1947"/>
    <w:rsid w:val="00DE27A8"/>
    <w:rsid w:val="00DE2A28"/>
    <w:rsid w:val="00DE2DE9"/>
    <w:rsid w:val="00DE49CB"/>
    <w:rsid w:val="00DE5466"/>
    <w:rsid w:val="00DF332D"/>
    <w:rsid w:val="00DF35D7"/>
    <w:rsid w:val="00DF460B"/>
    <w:rsid w:val="00DF58D5"/>
    <w:rsid w:val="00DF62B6"/>
    <w:rsid w:val="00DF731F"/>
    <w:rsid w:val="00DF7CD6"/>
    <w:rsid w:val="00E0025F"/>
    <w:rsid w:val="00E00E57"/>
    <w:rsid w:val="00E01F89"/>
    <w:rsid w:val="00E0483E"/>
    <w:rsid w:val="00E0515C"/>
    <w:rsid w:val="00E05170"/>
    <w:rsid w:val="00E05AD7"/>
    <w:rsid w:val="00E05DCD"/>
    <w:rsid w:val="00E07225"/>
    <w:rsid w:val="00E07A23"/>
    <w:rsid w:val="00E07F7B"/>
    <w:rsid w:val="00E107F9"/>
    <w:rsid w:val="00E1181C"/>
    <w:rsid w:val="00E118D0"/>
    <w:rsid w:val="00E11B4A"/>
    <w:rsid w:val="00E11F30"/>
    <w:rsid w:val="00E13D34"/>
    <w:rsid w:val="00E141E7"/>
    <w:rsid w:val="00E17340"/>
    <w:rsid w:val="00E21608"/>
    <w:rsid w:val="00E23BFA"/>
    <w:rsid w:val="00E246FA"/>
    <w:rsid w:val="00E2473B"/>
    <w:rsid w:val="00E25D63"/>
    <w:rsid w:val="00E26EF8"/>
    <w:rsid w:val="00E272A9"/>
    <w:rsid w:val="00E27476"/>
    <w:rsid w:val="00E30AED"/>
    <w:rsid w:val="00E33E55"/>
    <w:rsid w:val="00E35266"/>
    <w:rsid w:val="00E3546F"/>
    <w:rsid w:val="00E35BC3"/>
    <w:rsid w:val="00E37A6B"/>
    <w:rsid w:val="00E37B02"/>
    <w:rsid w:val="00E41C8B"/>
    <w:rsid w:val="00E41FBF"/>
    <w:rsid w:val="00E44258"/>
    <w:rsid w:val="00E466C4"/>
    <w:rsid w:val="00E46F8C"/>
    <w:rsid w:val="00E47296"/>
    <w:rsid w:val="00E47972"/>
    <w:rsid w:val="00E47B31"/>
    <w:rsid w:val="00E500CA"/>
    <w:rsid w:val="00E50EF0"/>
    <w:rsid w:val="00E5259C"/>
    <w:rsid w:val="00E534B4"/>
    <w:rsid w:val="00E5409F"/>
    <w:rsid w:val="00E57B48"/>
    <w:rsid w:val="00E607AD"/>
    <w:rsid w:val="00E60F21"/>
    <w:rsid w:val="00E61409"/>
    <w:rsid w:val="00E61428"/>
    <w:rsid w:val="00E619D3"/>
    <w:rsid w:val="00E64C45"/>
    <w:rsid w:val="00E653C1"/>
    <w:rsid w:val="00E65A97"/>
    <w:rsid w:val="00E67ABD"/>
    <w:rsid w:val="00E70C31"/>
    <w:rsid w:val="00E73408"/>
    <w:rsid w:val="00E73BC9"/>
    <w:rsid w:val="00E76AD0"/>
    <w:rsid w:val="00E77DF2"/>
    <w:rsid w:val="00E80250"/>
    <w:rsid w:val="00E8185E"/>
    <w:rsid w:val="00E81FF9"/>
    <w:rsid w:val="00E823D2"/>
    <w:rsid w:val="00E8310F"/>
    <w:rsid w:val="00E832C5"/>
    <w:rsid w:val="00E83CC2"/>
    <w:rsid w:val="00E84025"/>
    <w:rsid w:val="00E848F5"/>
    <w:rsid w:val="00E8735C"/>
    <w:rsid w:val="00E90CE7"/>
    <w:rsid w:val="00E913FA"/>
    <w:rsid w:val="00E91503"/>
    <w:rsid w:val="00E91BEB"/>
    <w:rsid w:val="00E91F9A"/>
    <w:rsid w:val="00E92599"/>
    <w:rsid w:val="00E938E2"/>
    <w:rsid w:val="00E93D17"/>
    <w:rsid w:val="00E94198"/>
    <w:rsid w:val="00E94989"/>
    <w:rsid w:val="00E950E8"/>
    <w:rsid w:val="00E95CBF"/>
    <w:rsid w:val="00E9787E"/>
    <w:rsid w:val="00EA04E6"/>
    <w:rsid w:val="00EA14EC"/>
    <w:rsid w:val="00EA1DA7"/>
    <w:rsid w:val="00EA4334"/>
    <w:rsid w:val="00EA4B03"/>
    <w:rsid w:val="00EA7DA6"/>
    <w:rsid w:val="00EB04D3"/>
    <w:rsid w:val="00EB0581"/>
    <w:rsid w:val="00EB13D8"/>
    <w:rsid w:val="00EB1C72"/>
    <w:rsid w:val="00EB1CF6"/>
    <w:rsid w:val="00EB3D95"/>
    <w:rsid w:val="00EB4BB6"/>
    <w:rsid w:val="00EB54B6"/>
    <w:rsid w:val="00EB635E"/>
    <w:rsid w:val="00EC0738"/>
    <w:rsid w:val="00EC0989"/>
    <w:rsid w:val="00EC41AB"/>
    <w:rsid w:val="00EC4383"/>
    <w:rsid w:val="00EC5AB5"/>
    <w:rsid w:val="00EC67CC"/>
    <w:rsid w:val="00EC6DCC"/>
    <w:rsid w:val="00EC7C92"/>
    <w:rsid w:val="00ED07C6"/>
    <w:rsid w:val="00ED2B9D"/>
    <w:rsid w:val="00ED3712"/>
    <w:rsid w:val="00ED39AC"/>
    <w:rsid w:val="00ED6201"/>
    <w:rsid w:val="00ED66B1"/>
    <w:rsid w:val="00ED6EE6"/>
    <w:rsid w:val="00ED75A6"/>
    <w:rsid w:val="00EE062C"/>
    <w:rsid w:val="00EE0A6C"/>
    <w:rsid w:val="00EE4B7F"/>
    <w:rsid w:val="00EE5F02"/>
    <w:rsid w:val="00EE6488"/>
    <w:rsid w:val="00EE7DDA"/>
    <w:rsid w:val="00EE7E72"/>
    <w:rsid w:val="00EF00EB"/>
    <w:rsid w:val="00EF3B0B"/>
    <w:rsid w:val="00EF4C8C"/>
    <w:rsid w:val="00EF5439"/>
    <w:rsid w:val="00EF6760"/>
    <w:rsid w:val="00EF71B3"/>
    <w:rsid w:val="00EF729A"/>
    <w:rsid w:val="00EF7DD5"/>
    <w:rsid w:val="00F003E5"/>
    <w:rsid w:val="00F00D49"/>
    <w:rsid w:val="00F0109E"/>
    <w:rsid w:val="00F01BE5"/>
    <w:rsid w:val="00F021FA"/>
    <w:rsid w:val="00F02D0D"/>
    <w:rsid w:val="00F03885"/>
    <w:rsid w:val="00F03B2D"/>
    <w:rsid w:val="00F03B68"/>
    <w:rsid w:val="00F0455C"/>
    <w:rsid w:val="00F0594C"/>
    <w:rsid w:val="00F05D28"/>
    <w:rsid w:val="00F062F6"/>
    <w:rsid w:val="00F06F11"/>
    <w:rsid w:val="00F07321"/>
    <w:rsid w:val="00F10CC3"/>
    <w:rsid w:val="00F11E90"/>
    <w:rsid w:val="00F12C7B"/>
    <w:rsid w:val="00F12DB6"/>
    <w:rsid w:val="00F13847"/>
    <w:rsid w:val="00F13B91"/>
    <w:rsid w:val="00F140E8"/>
    <w:rsid w:val="00F1413D"/>
    <w:rsid w:val="00F14A5B"/>
    <w:rsid w:val="00F14E85"/>
    <w:rsid w:val="00F156C0"/>
    <w:rsid w:val="00F167C5"/>
    <w:rsid w:val="00F16C05"/>
    <w:rsid w:val="00F16CE5"/>
    <w:rsid w:val="00F22534"/>
    <w:rsid w:val="00F23835"/>
    <w:rsid w:val="00F252A6"/>
    <w:rsid w:val="00F25EA4"/>
    <w:rsid w:val="00F2733F"/>
    <w:rsid w:val="00F27392"/>
    <w:rsid w:val="00F27B84"/>
    <w:rsid w:val="00F27FC6"/>
    <w:rsid w:val="00F301CE"/>
    <w:rsid w:val="00F30A75"/>
    <w:rsid w:val="00F30FDE"/>
    <w:rsid w:val="00F317F9"/>
    <w:rsid w:val="00F3629D"/>
    <w:rsid w:val="00F42FBA"/>
    <w:rsid w:val="00F43B2C"/>
    <w:rsid w:val="00F44033"/>
    <w:rsid w:val="00F4468B"/>
    <w:rsid w:val="00F45E56"/>
    <w:rsid w:val="00F4638A"/>
    <w:rsid w:val="00F4692C"/>
    <w:rsid w:val="00F47F45"/>
    <w:rsid w:val="00F51EF9"/>
    <w:rsid w:val="00F5220C"/>
    <w:rsid w:val="00F5272A"/>
    <w:rsid w:val="00F53064"/>
    <w:rsid w:val="00F537CA"/>
    <w:rsid w:val="00F53D99"/>
    <w:rsid w:val="00F54831"/>
    <w:rsid w:val="00F56BED"/>
    <w:rsid w:val="00F57F73"/>
    <w:rsid w:val="00F60A37"/>
    <w:rsid w:val="00F6265B"/>
    <w:rsid w:val="00F62E97"/>
    <w:rsid w:val="00F638D7"/>
    <w:rsid w:val="00F64209"/>
    <w:rsid w:val="00F64238"/>
    <w:rsid w:val="00F64DC9"/>
    <w:rsid w:val="00F65820"/>
    <w:rsid w:val="00F664C7"/>
    <w:rsid w:val="00F665D9"/>
    <w:rsid w:val="00F7185B"/>
    <w:rsid w:val="00F73AE7"/>
    <w:rsid w:val="00F74458"/>
    <w:rsid w:val="00F754E7"/>
    <w:rsid w:val="00F76FAF"/>
    <w:rsid w:val="00F77B30"/>
    <w:rsid w:val="00F806CB"/>
    <w:rsid w:val="00F81C76"/>
    <w:rsid w:val="00F81F1D"/>
    <w:rsid w:val="00F82E47"/>
    <w:rsid w:val="00F83F92"/>
    <w:rsid w:val="00F85917"/>
    <w:rsid w:val="00F85F6F"/>
    <w:rsid w:val="00F86FEB"/>
    <w:rsid w:val="00F8730A"/>
    <w:rsid w:val="00F87BC4"/>
    <w:rsid w:val="00F93BF5"/>
    <w:rsid w:val="00F96447"/>
    <w:rsid w:val="00F977E5"/>
    <w:rsid w:val="00FA060D"/>
    <w:rsid w:val="00FA1ACC"/>
    <w:rsid w:val="00FA2FB5"/>
    <w:rsid w:val="00FA330C"/>
    <w:rsid w:val="00FA41F2"/>
    <w:rsid w:val="00FA4E19"/>
    <w:rsid w:val="00FA6CB1"/>
    <w:rsid w:val="00FA6D43"/>
    <w:rsid w:val="00FA6D61"/>
    <w:rsid w:val="00FA7681"/>
    <w:rsid w:val="00FA7D90"/>
    <w:rsid w:val="00FB0678"/>
    <w:rsid w:val="00FB249A"/>
    <w:rsid w:val="00FB2F9C"/>
    <w:rsid w:val="00FB4B32"/>
    <w:rsid w:val="00FB6386"/>
    <w:rsid w:val="00FB6C00"/>
    <w:rsid w:val="00FB6C2E"/>
    <w:rsid w:val="00FC143D"/>
    <w:rsid w:val="00FC1D2F"/>
    <w:rsid w:val="00FC2CE2"/>
    <w:rsid w:val="00FC41AB"/>
    <w:rsid w:val="00FC46B0"/>
    <w:rsid w:val="00FC55E4"/>
    <w:rsid w:val="00FC57C7"/>
    <w:rsid w:val="00FC64EF"/>
    <w:rsid w:val="00FC672E"/>
    <w:rsid w:val="00FC7E8A"/>
    <w:rsid w:val="00FD0334"/>
    <w:rsid w:val="00FD1096"/>
    <w:rsid w:val="00FD1BC2"/>
    <w:rsid w:val="00FD2E98"/>
    <w:rsid w:val="00FD2EED"/>
    <w:rsid w:val="00FD4065"/>
    <w:rsid w:val="00FD4824"/>
    <w:rsid w:val="00FD5474"/>
    <w:rsid w:val="00FD5CF5"/>
    <w:rsid w:val="00FD7395"/>
    <w:rsid w:val="00FD7486"/>
    <w:rsid w:val="00FE002E"/>
    <w:rsid w:val="00FE0A7C"/>
    <w:rsid w:val="00FE0F0D"/>
    <w:rsid w:val="00FE16DE"/>
    <w:rsid w:val="00FE23E6"/>
    <w:rsid w:val="00FE2602"/>
    <w:rsid w:val="00FE3798"/>
    <w:rsid w:val="00FE46FF"/>
    <w:rsid w:val="00FE73D1"/>
    <w:rsid w:val="00FE782B"/>
    <w:rsid w:val="00FF0F11"/>
    <w:rsid w:val="00FF10AD"/>
    <w:rsid w:val="00FF2D66"/>
    <w:rsid w:val="00FF4262"/>
    <w:rsid w:val="00FF5AC9"/>
    <w:rsid w:val="00FF5BF4"/>
    <w:rsid w:val="4EFFE365"/>
    <w:rsid w:val="5182E16F"/>
    <w:rsid w:val="5ACA97BD"/>
    <w:rsid w:val="5D4721DD"/>
    <w:rsid w:val="66643290"/>
    <w:rsid w:val="6B1AB31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70970F70"/>
  <w15:chartTrackingRefBased/>
  <w15:docId w15:val="{EDAF79FD-97A3-426F-AD98-425F643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73"/>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7B4208"/>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 Char1,Footnote Text Char Char Char1 Char Char,Footnote Text Char1,Footnote Text Char1 Char,Footnote Text Char1 Char Char1 Char,Footnote Text Char1 Char Char1 Char Char2 Char,Footnote Text Char2,f,fn"/>
    <w:link w:val="FootnoteTextChar"/>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765027"/>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styleId="CommentReference">
    <w:name w:val="annotation reference"/>
    <w:rsid w:val="00496173"/>
    <w:rPr>
      <w:sz w:val="16"/>
      <w:szCs w:val="16"/>
    </w:rPr>
  </w:style>
  <w:style w:type="paragraph" w:styleId="CommentText">
    <w:name w:val="annotation text"/>
    <w:basedOn w:val="Normal"/>
    <w:link w:val="CommentTextChar"/>
    <w:rsid w:val="00496173"/>
    <w:rPr>
      <w:sz w:val="20"/>
    </w:rPr>
  </w:style>
  <w:style w:type="character" w:customStyle="1" w:styleId="CommentTextChar">
    <w:name w:val="Comment Text Char"/>
    <w:link w:val="CommentText"/>
    <w:rsid w:val="00496173"/>
    <w:rPr>
      <w:snapToGrid w:val="0"/>
      <w:kern w:val="28"/>
    </w:rPr>
  </w:style>
  <w:style w:type="paragraph" w:styleId="NormalWeb">
    <w:name w:val="Normal (Web)"/>
    <w:basedOn w:val="Normal"/>
    <w:uiPriority w:val="99"/>
    <w:unhideWhenUsed/>
    <w:rsid w:val="00496173"/>
    <w:pPr>
      <w:widowControl/>
      <w:spacing w:before="100" w:beforeAutospacing="1" w:after="100" w:afterAutospacing="1"/>
    </w:pPr>
    <w:rPr>
      <w:snapToGrid/>
      <w:kern w:val="0"/>
      <w:sz w:val="24"/>
      <w:szCs w:val="24"/>
    </w:rPr>
  </w:style>
  <w:style w:type="paragraph" w:styleId="BalloonText">
    <w:name w:val="Balloon Text"/>
    <w:basedOn w:val="Normal"/>
    <w:link w:val="BalloonTextChar"/>
    <w:rsid w:val="00496173"/>
    <w:rPr>
      <w:rFonts w:ascii="Segoe UI" w:hAnsi="Segoe UI" w:cs="Segoe UI"/>
      <w:sz w:val="18"/>
      <w:szCs w:val="18"/>
    </w:rPr>
  </w:style>
  <w:style w:type="character" w:customStyle="1" w:styleId="BalloonTextChar">
    <w:name w:val="Balloon Text Char"/>
    <w:link w:val="BalloonText"/>
    <w:rsid w:val="00496173"/>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CF4295"/>
    <w:rPr>
      <w:b/>
      <w:bCs/>
    </w:rPr>
  </w:style>
  <w:style w:type="character" w:customStyle="1" w:styleId="CommentSubjectChar">
    <w:name w:val="Comment Subject Char"/>
    <w:link w:val="CommentSubject"/>
    <w:rsid w:val="00CF4295"/>
    <w:rPr>
      <w:b/>
      <w:bCs/>
      <w:snapToGrid w:val="0"/>
      <w:kern w:val="28"/>
    </w:rPr>
  </w:style>
  <w:style w:type="paragraph" w:styleId="Revision">
    <w:name w:val="Revision"/>
    <w:hidden/>
    <w:uiPriority w:val="99"/>
    <w:semiHidden/>
    <w:rsid w:val="0047704F"/>
    <w:rPr>
      <w:snapToGrid w:val="0"/>
      <w:kern w:val="28"/>
      <w:sz w:val="22"/>
    </w:rPr>
  </w:style>
  <w:style w:type="character" w:styleId="FollowedHyperlink">
    <w:name w:val="FollowedHyperlink"/>
    <w:basedOn w:val="DefaultParagraphFont"/>
    <w:rsid w:val="00207F27"/>
    <w:rPr>
      <w:color w:val="954F72" w:themeColor="followedHyperlink"/>
      <w:u w:val="single"/>
    </w:rPr>
  </w:style>
  <w:style w:type="character" w:customStyle="1" w:styleId="UnresolvedMention1">
    <w:name w:val="Unresolved Mention1"/>
    <w:basedOn w:val="DefaultParagraphFont"/>
    <w:uiPriority w:val="99"/>
    <w:semiHidden/>
    <w:unhideWhenUsed/>
    <w:rsid w:val="00C43B62"/>
    <w:rPr>
      <w:color w:val="605E5C"/>
      <w:shd w:val="clear" w:color="auto" w:fill="E1DFDD"/>
    </w:rPr>
  </w:style>
  <w:style w:type="character" w:customStyle="1" w:styleId="FootnoteTextChar">
    <w:name w:val="Footnote Text Char"/>
    <w:aliases w:val="ALTS FOOTNOTE Char,Footnote Text Char Char Char1 Char,Footnote Text Char Char Char1 Char Char Char,Footnote Text Char1 Char Char,Footnote Text Char1 Char Char1 Char Char,Footnote Text Char1 Char1,Footnote Text Char2 Char,f Char"/>
    <w:basedOn w:val="DefaultParagraphFont"/>
    <w:link w:val="FootnoteText"/>
    <w:rsid w:val="00B40D7D"/>
  </w:style>
  <w:style w:type="character" w:styleId="UnresolvedMention">
    <w:name w:val="Unresolved Mention"/>
    <w:basedOn w:val="DefaultParagraphFont"/>
    <w:rsid w:val="00B26E63"/>
    <w:rPr>
      <w:color w:val="605E5C"/>
      <w:shd w:val="clear" w:color="auto" w:fill="E1DFDD"/>
    </w:rPr>
  </w:style>
  <w:style w:type="character" w:styleId="Mention">
    <w:name w:val="Mention"/>
    <w:basedOn w:val="DefaultParagraphFont"/>
    <w:rsid w:val="00C2583F"/>
    <w:rPr>
      <w:color w:val="2B579A"/>
      <w:shd w:val="clear" w:color="auto" w:fill="E1DFDD"/>
    </w:rPr>
  </w:style>
  <w:style w:type="character" w:customStyle="1" w:styleId="ParaNumChar">
    <w:name w:val="ParaNum Char"/>
    <w:link w:val="ParaNum"/>
    <w:locked/>
    <w:rsid w:val="007B4208"/>
    <w:rPr>
      <w:snapToGrid w:val="0"/>
      <w:kern w:val="28"/>
      <w:sz w:val="22"/>
    </w:rPr>
  </w:style>
  <w:style w:type="paragraph" w:customStyle="1" w:styleId="FCCNumPara">
    <w:name w:val="FCC Num Para"/>
    <w:basedOn w:val="ParaNum"/>
    <w:link w:val="FCCNumParaChar"/>
    <w:qFormat/>
    <w:rsid w:val="008F17B0"/>
    <w:pPr>
      <w:widowControl/>
    </w:pPr>
  </w:style>
  <w:style w:type="character" w:customStyle="1" w:styleId="FCCNumParaChar">
    <w:name w:val="FCC Num Para Char"/>
    <w:basedOn w:val="ParaNumChar"/>
    <w:link w:val="FCCNumPara"/>
    <w:rsid w:val="008F17B0"/>
    <w:rPr>
      <w:snapToGrid w:val="0"/>
      <w:kern w:val="28"/>
      <w:sz w:val="22"/>
    </w:rPr>
  </w:style>
  <w:style w:type="character" w:customStyle="1" w:styleId="undefined">
    <w:name w:val="undefined"/>
    <w:basedOn w:val="DefaultParagraphFont"/>
    <w:rsid w:val="00C6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Joshua.Mendelsohn@fc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724052107965/1" TargetMode="External" /><Relationship Id="rId2" Type="http://schemas.openxmlformats.org/officeDocument/2006/relationships/hyperlink" Target="https://www.fcc.gov/ecfs/document/108080022406561/1" TargetMode="External" /><Relationship Id="rId3" Type="http://schemas.openxmlformats.org/officeDocument/2006/relationships/hyperlink" Target="https://www.fcc.gov/ecfs/search/search-filings/filing/1091926935548" TargetMode="External" /><Relationship Id="rId4" Type="http://schemas.openxmlformats.org/officeDocument/2006/relationships/hyperlink" Target="https://mymmx.com/our-products/" TargetMode="External" /><Relationship Id="rId5" Type="http://schemas.openxmlformats.org/officeDocument/2006/relationships/hyperlink" Target="https://www.fcc.gov/ecfs/document/108031706792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