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4C2EE3" w:rsidP="00AB594A" w14:paraId="59E67633" w14:textId="77777777">
      <w:pPr>
        <w:widowControl/>
        <w:jc w:val="center"/>
        <w:rPr>
          <w:b/>
        </w:rPr>
      </w:pPr>
      <w:r w:rsidRPr="0070224F">
        <w:rPr>
          <w:rFonts w:ascii="Times New Roman Bold" w:hAnsi="Times New Roman Bold"/>
          <w:b/>
          <w:kern w:val="0"/>
          <w:szCs w:val="22"/>
        </w:rPr>
        <w:t>Before</w:t>
      </w:r>
      <w:r>
        <w:rPr>
          <w:b/>
        </w:rPr>
        <w:t xml:space="preserve"> the</w:t>
      </w:r>
    </w:p>
    <w:p w:rsidR="00921803" w:rsidP="00921803" w14:paraId="79515A57" w14:textId="77777777">
      <w:pPr>
        <w:pStyle w:val="StyleBoldCentered"/>
      </w:pPr>
      <w:r>
        <w:t>F</w:t>
      </w:r>
      <w:r>
        <w:rPr>
          <w:caps w:val="0"/>
        </w:rPr>
        <w:t>ederal Communications Commission</w:t>
      </w:r>
    </w:p>
    <w:p w:rsidR="004C2EE3" w:rsidP="00096D8C" w14:paraId="4103B750" w14:textId="77777777">
      <w:pPr>
        <w:pStyle w:val="StyleBoldCentered"/>
      </w:pPr>
      <w:r>
        <w:rPr>
          <w:caps w:val="0"/>
        </w:rPr>
        <w:t>Washington, D.C. 20554</w:t>
      </w:r>
    </w:p>
    <w:p w:rsidR="004C2EE3" w:rsidP="0070224F" w14:paraId="469C4DB5" w14:textId="77777777"/>
    <w:p w:rsidR="004C2EE3" w:rsidP="0070224F" w14:paraId="755DE3D4" w14:textId="77777777"/>
    <w:tbl>
      <w:tblPr>
        <w:tblW w:w="0" w:type="auto"/>
        <w:tblLayout w:type="fixed"/>
        <w:tblLook w:val="0000"/>
      </w:tblPr>
      <w:tblGrid>
        <w:gridCol w:w="4698"/>
        <w:gridCol w:w="630"/>
        <w:gridCol w:w="4248"/>
      </w:tblGrid>
      <w:tr w14:paraId="2B513324" w14:textId="77777777">
        <w:tblPrEx>
          <w:tblW w:w="0" w:type="auto"/>
          <w:tblLayout w:type="fixed"/>
          <w:tblLook w:val="0000"/>
        </w:tblPrEx>
        <w:tc>
          <w:tcPr>
            <w:tcW w:w="4698" w:type="dxa"/>
          </w:tcPr>
          <w:p w:rsidR="004C2EE3" w14:paraId="2DFA3C5F" w14:textId="77777777">
            <w:pPr>
              <w:tabs>
                <w:tab w:val="center" w:pos="4680"/>
              </w:tabs>
              <w:suppressAutoHyphens/>
              <w:rPr>
                <w:spacing w:val="-2"/>
              </w:rPr>
            </w:pPr>
            <w:r>
              <w:rPr>
                <w:spacing w:val="-2"/>
              </w:rPr>
              <w:t>In the Matter of</w:t>
            </w:r>
          </w:p>
          <w:p w:rsidR="004C2EE3" w:rsidP="007115F7" w14:paraId="0BFFF034" w14:textId="77777777">
            <w:pPr>
              <w:tabs>
                <w:tab w:val="center" w:pos="4680"/>
              </w:tabs>
              <w:suppressAutoHyphens/>
              <w:rPr>
                <w:spacing w:val="-2"/>
              </w:rPr>
            </w:pPr>
          </w:p>
          <w:p w:rsidR="0047396B" w:rsidP="007115F7" w14:paraId="53D8DD6C" w14:textId="77777777">
            <w:pPr>
              <w:tabs>
                <w:tab w:val="center" w:pos="4680"/>
              </w:tabs>
              <w:suppressAutoHyphens/>
              <w:rPr>
                <w:spacing w:val="-2"/>
              </w:rPr>
            </w:pPr>
            <w:r>
              <w:rPr>
                <w:spacing w:val="-2"/>
              </w:rPr>
              <w:t>Telecommunications Relay Services and Speech-to-Speech Services for Individuals with Hearing and Speech Disabilities</w:t>
            </w:r>
          </w:p>
          <w:p w:rsidR="00BC402D" w:rsidP="007115F7" w14:paraId="16FEB8F9" w14:textId="77777777">
            <w:pPr>
              <w:tabs>
                <w:tab w:val="center" w:pos="4680"/>
              </w:tabs>
              <w:suppressAutoHyphens/>
              <w:rPr>
                <w:spacing w:val="-2"/>
              </w:rPr>
            </w:pPr>
          </w:p>
          <w:p w:rsidR="00BC402D" w:rsidRPr="007115F7" w:rsidP="007115F7" w14:paraId="101AE07F" w14:textId="3C684FB2">
            <w:pPr>
              <w:tabs>
                <w:tab w:val="center" w:pos="4680"/>
              </w:tabs>
              <w:suppressAutoHyphens/>
              <w:rPr>
                <w:spacing w:val="-2"/>
              </w:rPr>
            </w:pPr>
            <w:r>
              <w:rPr>
                <w:spacing w:val="-2"/>
              </w:rPr>
              <w:t>Structure and Practices of the Video Relay Service Program</w:t>
            </w:r>
          </w:p>
        </w:tc>
        <w:tc>
          <w:tcPr>
            <w:tcW w:w="630" w:type="dxa"/>
          </w:tcPr>
          <w:p w:rsidR="004C2EE3" w14:paraId="722332FD" w14:textId="77777777">
            <w:pPr>
              <w:tabs>
                <w:tab w:val="center" w:pos="4680"/>
              </w:tabs>
              <w:suppressAutoHyphens/>
              <w:rPr>
                <w:b/>
                <w:spacing w:val="-2"/>
              </w:rPr>
            </w:pPr>
            <w:r>
              <w:rPr>
                <w:b/>
                <w:spacing w:val="-2"/>
              </w:rPr>
              <w:t>)</w:t>
            </w:r>
          </w:p>
          <w:p w:rsidR="004C2EE3" w14:paraId="4B67FF5B" w14:textId="77777777">
            <w:pPr>
              <w:tabs>
                <w:tab w:val="center" w:pos="4680"/>
              </w:tabs>
              <w:suppressAutoHyphens/>
              <w:rPr>
                <w:b/>
                <w:spacing w:val="-2"/>
              </w:rPr>
            </w:pPr>
            <w:r>
              <w:rPr>
                <w:b/>
                <w:spacing w:val="-2"/>
              </w:rPr>
              <w:t>)</w:t>
            </w:r>
          </w:p>
          <w:p w:rsidR="004C2EE3" w14:paraId="6FBC322D" w14:textId="77777777">
            <w:pPr>
              <w:tabs>
                <w:tab w:val="center" w:pos="4680"/>
              </w:tabs>
              <w:suppressAutoHyphens/>
              <w:rPr>
                <w:b/>
                <w:spacing w:val="-2"/>
              </w:rPr>
            </w:pPr>
            <w:r>
              <w:rPr>
                <w:b/>
                <w:spacing w:val="-2"/>
              </w:rPr>
              <w:t>)</w:t>
            </w:r>
          </w:p>
          <w:p w:rsidR="004C2EE3" w14:paraId="21DDECAC" w14:textId="77777777">
            <w:pPr>
              <w:tabs>
                <w:tab w:val="center" w:pos="4680"/>
              </w:tabs>
              <w:suppressAutoHyphens/>
              <w:rPr>
                <w:b/>
                <w:spacing w:val="-2"/>
              </w:rPr>
            </w:pPr>
            <w:r>
              <w:rPr>
                <w:b/>
                <w:spacing w:val="-2"/>
              </w:rPr>
              <w:t>)</w:t>
            </w:r>
          </w:p>
          <w:p w:rsidR="004C2EE3" w14:paraId="59CD53EE" w14:textId="77777777">
            <w:pPr>
              <w:tabs>
                <w:tab w:val="center" w:pos="4680"/>
              </w:tabs>
              <w:suppressAutoHyphens/>
              <w:rPr>
                <w:b/>
                <w:spacing w:val="-2"/>
              </w:rPr>
            </w:pPr>
            <w:r>
              <w:rPr>
                <w:b/>
                <w:spacing w:val="-2"/>
              </w:rPr>
              <w:t>)</w:t>
            </w:r>
          </w:p>
          <w:p w:rsidR="004C2EE3" w14:paraId="3519BC4F" w14:textId="77777777">
            <w:pPr>
              <w:tabs>
                <w:tab w:val="center" w:pos="4680"/>
              </w:tabs>
              <w:suppressAutoHyphens/>
              <w:rPr>
                <w:b/>
                <w:spacing w:val="-2"/>
              </w:rPr>
            </w:pPr>
            <w:r>
              <w:rPr>
                <w:b/>
                <w:spacing w:val="-2"/>
              </w:rPr>
              <w:t>)</w:t>
            </w:r>
          </w:p>
          <w:p w:rsidR="004C2EE3" w14:paraId="3759FD4A" w14:textId="77777777">
            <w:pPr>
              <w:tabs>
                <w:tab w:val="center" w:pos="4680"/>
              </w:tabs>
              <w:suppressAutoHyphens/>
              <w:rPr>
                <w:b/>
                <w:spacing w:val="-2"/>
              </w:rPr>
            </w:pPr>
            <w:r>
              <w:rPr>
                <w:b/>
                <w:spacing w:val="-2"/>
              </w:rPr>
              <w:t>)</w:t>
            </w:r>
          </w:p>
          <w:p w:rsidR="004C2EE3" w14:paraId="1256CA84" w14:textId="77777777">
            <w:pPr>
              <w:tabs>
                <w:tab w:val="center" w:pos="4680"/>
              </w:tabs>
              <w:suppressAutoHyphens/>
              <w:rPr>
                <w:b/>
                <w:spacing w:val="-2"/>
              </w:rPr>
            </w:pPr>
            <w:r>
              <w:rPr>
                <w:b/>
                <w:spacing w:val="-2"/>
              </w:rPr>
              <w:t>)</w:t>
            </w:r>
          </w:p>
          <w:p w:rsidR="004C2EE3" w14:paraId="26A3DA22" w14:textId="77777777">
            <w:pPr>
              <w:tabs>
                <w:tab w:val="center" w:pos="4680"/>
              </w:tabs>
              <w:suppressAutoHyphens/>
              <w:rPr>
                <w:spacing w:val="-2"/>
              </w:rPr>
            </w:pPr>
            <w:r>
              <w:rPr>
                <w:b/>
                <w:spacing w:val="-2"/>
              </w:rPr>
              <w:t>)</w:t>
            </w:r>
          </w:p>
        </w:tc>
        <w:tc>
          <w:tcPr>
            <w:tcW w:w="4248" w:type="dxa"/>
          </w:tcPr>
          <w:p w:rsidR="004C2EE3" w14:paraId="76F41C52" w14:textId="77777777">
            <w:pPr>
              <w:tabs>
                <w:tab w:val="center" w:pos="4680"/>
              </w:tabs>
              <w:suppressAutoHyphens/>
              <w:rPr>
                <w:spacing w:val="-2"/>
              </w:rPr>
            </w:pPr>
          </w:p>
          <w:p w:rsidR="004C2EE3" w14:paraId="0DEF6B0E" w14:textId="77777777">
            <w:pPr>
              <w:pStyle w:val="TOAHeading"/>
              <w:tabs>
                <w:tab w:val="center" w:pos="4680"/>
                <w:tab w:val="clear" w:pos="9360"/>
              </w:tabs>
              <w:rPr>
                <w:spacing w:val="-2"/>
              </w:rPr>
            </w:pPr>
          </w:p>
          <w:p w:rsidR="004C2EE3" w14:paraId="59B27634" w14:textId="77777777">
            <w:pPr>
              <w:tabs>
                <w:tab w:val="center" w:pos="4680"/>
              </w:tabs>
              <w:suppressAutoHyphens/>
              <w:rPr>
                <w:spacing w:val="-2"/>
              </w:rPr>
            </w:pPr>
            <w:r>
              <w:rPr>
                <w:spacing w:val="-2"/>
              </w:rPr>
              <w:t>CG Docket No. 03-123</w:t>
            </w:r>
          </w:p>
          <w:p w:rsidR="00BC402D" w14:paraId="39E115BF" w14:textId="77777777">
            <w:pPr>
              <w:tabs>
                <w:tab w:val="center" w:pos="4680"/>
              </w:tabs>
              <w:suppressAutoHyphens/>
              <w:rPr>
                <w:spacing w:val="-2"/>
              </w:rPr>
            </w:pPr>
          </w:p>
          <w:p w:rsidR="00BC402D" w14:paraId="6709DAC3" w14:textId="77777777">
            <w:pPr>
              <w:tabs>
                <w:tab w:val="center" w:pos="4680"/>
              </w:tabs>
              <w:suppressAutoHyphens/>
              <w:rPr>
                <w:spacing w:val="-2"/>
              </w:rPr>
            </w:pPr>
          </w:p>
          <w:p w:rsidR="00BC402D" w14:paraId="0E10F31F" w14:textId="77777777">
            <w:pPr>
              <w:tabs>
                <w:tab w:val="center" w:pos="4680"/>
              </w:tabs>
              <w:suppressAutoHyphens/>
              <w:rPr>
                <w:spacing w:val="-2"/>
              </w:rPr>
            </w:pPr>
          </w:p>
          <w:p w:rsidR="00BC402D" w14:paraId="34EAB5E7" w14:textId="5CE8737F">
            <w:pPr>
              <w:tabs>
                <w:tab w:val="center" w:pos="4680"/>
              </w:tabs>
              <w:suppressAutoHyphens/>
              <w:rPr>
                <w:spacing w:val="-2"/>
              </w:rPr>
            </w:pPr>
            <w:r>
              <w:rPr>
                <w:spacing w:val="-2"/>
              </w:rPr>
              <w:t>CG Docket No. 10-5</w:t>
            </w:r>
            <w:r w:rsidR="009F0EE7">
              <w:rPr>
                <w:spacing w:val="-2"/>
              </w:rPr>
              <w:t>1</w:t>
            </w:r>
          </w:p>
        </w:tc>
      </w:tr>
    </w:tbl>
    <w:p w:rsidR="004C2EE3" w:rsidP="0070224F" w14:paraId="6523A5D9" w14:textId="77777777"/>
    <w:p w:rsidR="00841AB1" w:rsidP="00F021FA" w14:paraId="239E5165" w14:textId="332B2231">
      <w:pPr>
        <w:pStyle w:val="StyleBoldCentered"/>
      </w:pPr>
      <w:r>
        <w:t>ORDER</w:t>
      </w:r>
    </w:p>
    <w:p w:rsidR="004C2EE3" w14:paraId="0BA5682F" w14:textId="77777777">
      <w:pPr>
        <w:tabs>
          <w:tab w:val="left" w:pos="-720"/>
        </w:tabs>
        <w:suppressAutoHyphens/>
        <w:spacing w:line="227" w:lineRule="auto"/>
        <w:rPr>
          <w:spacing w:val="-2"/>
        </w:rPr>
      </w:pPr>
    </w:p>
    <w:p w:rsidR="004C2EE3" w:rsidP="00133F79" w14:paraId="639A9A67" w14:textId="506D6892">
      <w:pPr>
        <w:tabs>
          <w:tab w:val="left" w:pos="720"/>
          <w:tab w:val="right" w:pos="9360"/>
        </w:tabs>
        <w:suppressAutoHyphens/>
        <w:spacing w:line="227" w:lineRule="auto"/>
        <w:rPr>
          <w:spacing w:val="-2"/>
        </w:rPr>
      </w:pPr>
      <w:r>
        <w:rPr>
          <w:b/>
          <w:spacing w:val="-2"/>
        </w:rPr>
        <w:t xml:space="preserve">Adopted:  </w:t>
      </w:r>
      <w:r w:rsidR="0039669F">
        <w:rPr>
          <w:b/>
          <w:spacing w:val="-2"/>
        </w:rPr>
        <w:t>November</w:t>
      </w:r>
      <w:r w:rsidR="0047396B">
        <w:rPr>
          <w:b/>
          <w:spacing w:val="-2"/>
        </w:rPr>
        <w:t xml:space="preserve"> </w:t>
      </w:r>
      <w:r w:rsidR="0039669F">
        <w:rPr>
          <w:b/>
          <w:spacing w:val="-2"/>
        </w:rPr>
        <w:t>2</w:t>
      </w:r>
      <w:r w:rsidR="008D4D25">
        <w:rPr>
          <w:b/>
          <w:spacing w:val="-2"/>
        </w:rPr>
        <w:t>1</w:t>
      </w:r>
      <w:r w:rsidR="0047396B">
        <w:rPr>
          <w:b/>
          <w:spacing w:val="-2"/>
        </w:rPr>
        <w:t>, 2024</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39669F">
        <w:rPr>
          <w:b/>
          <w:spacing w:val="-2"/>
        </w:rPr>
        <w:t>November</w:t>
      </w:r>
      <w:r w:rsidR="0047396B">
        <w:rPr>
          <w:b/>
          <w:spacing w:val="-2"/>
        </w:rPr>
        <w:t xml:space="preserve"> </w:t>
      </w:r>
      <w:r w:rsidR="0039669F">
        <w:rPr>
          <w:b/>
          <w:spacing w:val="-2"/>
        </w:rPr>
        <w:t>2</w:t>
      </w:r>
      <w:r w:rsidR="008D4D25">
        <w:rPr>
          <w:b/>
          <w:spacing w:val="-2"/>
        </w:rPr>
        <w:t>1</w:t>
      </w:r>
      <w:r w:rsidR="0047396B">
        <w:rPr>
          <w:b/>
          <w:spacing w:val="-2"/>
        </w:rPr>
        <w:t>, 2024</w:t>
      </w:r>
    </w:p>
    <w:p w:rsidR="00822CE0" w14:paraId="3D225EA0" w14:textId="77777777"/>
    <w:p w:rsidR="0047396B" w:rsidRPr="00275A42" w:rsidP="0047396B" w14:paraId="1922298F" w14:textId="439CF240">
      <w:pPr>
        <w:rPr>
          <w:spacing w:val="-2"/>
        </w:rPr>
      </w:pPr>
      <w:r>
        <w:t xml:space="preserve">By </w:t>
      </w:r>
      <w:r w:rsidR="004E4A22">
        <w:t>the</w:t>
      </w:r>
      <w:r w:rsidR="002A2D2E">
        <w:t xml:space="preserve"> </w:t>
      </w:r>
      <w:r>
        <w:rPr>
          <w:spacing w:val="-2"/>
        </w:rPr>
        <w:t>Chief, Consumer and Governmental Affairs Bureau</w:t>
      </w:r>
      <w:r w:rsidR="00073079">
        <w:rPr>
          <w:spacing w:val="-2"/>
        </w:rPr>
        <w:t>:</w:t>
      </w:r>
    </w:p>
    <w:p w:rsidR="0047396B" w:rsidRPr="00275A42" w:rsidP="0047396B" w14:paraId="4EA108AC" w14:textId="77777777">
      <w:pPr>
        <w:rPr>
          <w:spacing w:val="-2"/>
        </w:rPr>
      </w:pPr>
    </w:p>
    <w:p w:rsidR="0047396B" w:rsidRPr="00D87E36" w:rsidP="009851AF" w14:paraId="12D69165" w14:textId="77777777">
      <w:pPr>
        <w:pStyle w:val="Heading1"/>
      </w:pPr>
      <w:r w:rsidRPr="00D87E36">
        <w:t>Introduction</w:t>
      </w:r>
    </w:p>
    <w:p w:rsidR="0047396B" w:rsidRPr="00563C11" w:rsidP="0047396B" w14:paraId="4C947A2D" w14:textId="6040C721">
      <w:pPr>
        <w:pStyle w:val="ParaNum"/>
        <w:rPr>
          <w:szCs w:val="22"/>
        </w:rPr>
      </w:pPr>
      <w:bookmarkStart w:id="0" w:name="_Hlk30164380"/>
      <w:r>
        <w:rPr>
          <w:szCs w:val="22"/>
        </w:rPr>
        <w:t xml:space="preserve">Conditional certification is </w:t>
      </w:r>
      <w:r w:rsidRPr="00CD5495" w:rsidR="00CD5495">
        <w:rPr>
          <w:szCs w:val="22"/>
        </w:rPr>
        <w:t>grant</w:t>
      </w:r>
      <w:r>
        <w:rPr>
          <w:szCs w:val="22"/>
        </w:rPr>
        <w:t>ed</w:t>
      </w:r>
      <w:r w:rsidR="00DE0B0D">
        <w:rPr>
          <w:szCs w:val="22"/>
        </w:rPr>
        <w:t xml:space="preserve"> to</w:t>
      </w:r>
      <w:r w:rsidRPr="00CD5495" w:rsidR="00CD5495">
        <w:rPr>
          <w:szCs w:val="22"/>
        </w:rPr>
        <w:t xml:space="preserve"> </w:t>
      </w:r>
      <w:r w:rsidR="00CD5495">
        <w:rPr>
          <w:szCs w:val="22"/>
        </w:rPr>
        <w:t>Bond</w:t>
      </w:r>
      <w:r w:rsidR="00CD200E">
        <w:rPr>
          <w:szCs w:val="22"/>
        </w:rPr>
        <w:t xml:space="preserve"> Communications, Inc.</w:t>
      </w:r>
      <w:r w:rsidRPr="00CD5495" w:rsidR="00CD5495">
        <w:rPr>
          <w:szCs w:val="22"/>
        </w:rPr>
        <w:t xml:space="preserve"> (</w:t>
      </w:r>
      <w:r w:rsidR="00CD5495">
        <w:rPr>
          <w:szCs w:val="22"/>
        </w:rPr>
        <w:t>Bond</w:t>
      </w:r>
      <w:r w:rsidRPr="00CD5495" w:rsidR="00CD5495">
        <w:rPr>
          <w:szCs w:val="22"/>
        </w:rPr>
        <w:t>)</w:t>
      </w:r>
      <w:r w:rsidR="00CD200E">
        <w:rPr>
          <w:szCs w:val="22"/>
        </w:rPr>
        <w:t>,</w:t>
      </w:r>
      <w:r w:rsidRPr="00CD5495" w:rsidR="00CD5495">
        <w:rPr>
          <w:szCs w:val="22"/>
        </w:rPr>
        <w:t xml:space="preserve"> </w:t>
      </w:r>
      <w:r w:rsidRPr="00CD5495" w:rsidR="00CD5495">
        <w:rPr>
          <w:szCs w:val="22"/>
        </w:rPr>
        <w:t>to receive compensation from the Interstate Telecommunications Relay Services (TRS) Fund for the provision of Video Relay Service (VRS).</w:t>
      </w:r>
      <w:r>
        <w:rPr>
          <w:rStyle w:val="FootnoteReference"/>
          <w:szCs w:val="22"/>
        </w:rPr>
        <w:footnoteReference w:id="3"/>
      </w:r>
      <w:r w:rsidRPr="00CD5495" w:rsidR="00CD5495">
        <w:rPr>
          <w:szCs w:val="22"/>
        </w:rPr>
        <w:t xml:space="preserve"> </w:t>
      </w:r>
      <w:r w:rsidR="00CD5495">
        <w:rPr>
          <w:szCs w:val="22"/>
        </w:rPr>
        <w:t xml:space="preserve"> </w:t>
      </w:r>
      <w:r w:rsidRPr="00563C11">
        <w:rPr>
          <w:szCs w:val="22"/>
        </w:rPr>
        <w:t xml:space="preserve">This grant of conditional certification authorizes </w:t>
      </w:r>
      <w:r w:rsidR="00EA73CD">
        <w:rPr>
          <w:szCs w:val="22"/>
        </w:rPr>
        <w:t>Bond</w:t>
      </w:r>
      <w:r w:rsidRPr="00563C11">
        <w:rPr>
          <w:szCs w:val="22"/>
        </w:rPr>
        <w:t xml:space="preserve"> to provide TRS Fund-supported </w:t>
      </w:r>
      <w:r w:rsidR="00EA73CD">
        <w:rPr>
          <w:szCs w:val="22"/>
        </w:rPr>
        <w:t>VRS</w:t>
      </w:r>
      <w:r w:rsidRPr="00563C11">
        <w:rPr>
          <w:szCs w:val="22"/>
        </w:rPr>
        <w:t xml:space="preserve"> </w:t>
      </w:r>
      <w:r w:rsidR="007B101C">
        <w:rPr>
          <w:szCs w:val="22"/>
        </w:rPr>
        <w:t>for a two-year period</w:t>
      </w:r>
      <w:r w:rsidR="00B10B4C">
        <w:rPr>
          <w:szCs w:val="22"/>
        </w:rPr>
        <w:t>,</w:t>
      </w:r>
      <w:r w:rsidR="007B101C">
        <w:rPr>
          <w:szCs w:val="22"/>
        </w:rPr>
        <w:t xml:space="preserve"> </w:t>
      </w:r>
      <w:r w:rsidRPr="00563C11">
        <w:rPr>
          <w:szCs w:val="22"/>
        </w:rPr>
        <w:t xml:space="preserve">through </w:t>
      </w:r>
      <w:r w:rsidR="0039669F">
        <w:rPr>
          <w:szCs w:val="22"/>
        </w:rPr>
        <w:t xml:space="preserve">November </w:t>
      </w:r>
      <w:r w:rsidR="00097CC0">
        <w:rPr>
          <w:szCs w:val="22"/>
        </w:rPr>
        <w:t>20</w:t>
      </w:r>
      <w:r w:rsidRPr="00563C11">
        <w:rPr>
          <w:szCs w:val="22"/>
        </w:rPr>
        <w:t xml:space="preserve">, 2026.  </w:t>
      </w:r>
      <w:r w:rsidR="00EE6ABD">
        <w:rPr>
          <w:szCs w:val="22"/>
        </w:rPr>
        <w:t>We</w:t>
      </w:r>
      <w:r w:rsidRPr="007A770A" w:rsidR="007A770A">
        <w:rPr>
          <w:szCs w:val="22"/>
        </w:rPr>
        <w:t xml:space="preserve"> also find good cause to grant </w:t>
      </w:r>
      <w:r w:rsidR="00652BE1">
        <w:rPr>
          <w:szCs w:val="22"/>
        </w:rPr>
        <w:t>Bond</w:t>
      </w:r>
      <w:r w:rsidRPr="007A770A" w:rsidR="007A770A">
        <w:rPr>
          <w:szCs w:val="22"/>
        </w:rPr>
        <w:t>’s request for short-term waiver</w:t>
      </w:r>
      <w:r w:rsidR="009F689D">
        <w:rPr>
          <w:szCs w:val="22"/>
        </w:rPr>
        <w:t>s</w:t>
      </w:r>
      <w:r w:rsidRPr="007A770A" w:rsidR="007A770A">
        <w:rPr>
          <w:szCs w:val="22"/>
        </w:rPr>
        <w:t xml:space="preserve"> of the VRS rule</w:t>
      </w:r>
      <w:r w:rsidR="009F689D">
        <w:rPr>
          <w:szCs w:val="22"/>
        </w:rPr>
        <w:t>s</w:t>
      </w:r>
      <w:r w:rsidRPr="007A770A" w:rsidR="007A770A">
        <w:rPr>
          <w:szCs w:val="22"/>
        </w:rPr>
        <w:t xml:space="preserve"> regarding documentary and other evidence demonstrating that the applicant leases, licenses, or has acquired its own facilities for VRS call centers</w:t>
      </w:r>
      <w:r w:rsidR="009F689D">
        <w:rPr>
          <w:szCs w:val="22"/>
        </w:rPr>
        <w:t xml:space="preserve"> and </w:t>
      </w:r>
      <w:r w:rsidR="003F6364">
        <w:rPr>
          <w:szCs w:val="22"/>
        </w:rPr>
        <w:t xml:space="preserve">has </w:t>
      </w:r>
      <w:r w:rsidRPr="0073686C" w:rsidR="0073686C">
        <w:rPr>
          <w:szCs w:val="22"/>
        </w:rPr>
        <w:t>purchase</w:t>
      </w:r>
      <w:r w:rsidR="003F6364">
        <w:rPr>
          <w:szCs w:val="22"/>
        </w:rPr>
        <w:t>d</w:t>
      </w:r>
      <w:r w:rsidRPr="0073686C" w:rsidR="0073686C">
        <w:rPr>
          <w:szCs w:val="22"/>
        </w:rPr>
        <w:t>, lease</w:t>
      </w:r>
      <w:r w:rsidR="003F6364">
        <w:rPr>
          <w:szCs w:val="22"/>
        </w:rPr>
        <w:t>d,</w:t>
      </w:r>
      <w:r w:rsidRPr="0073686C" w:rsidR="0073686C">
        <w:rPr>
          <w:szCs w:val="22"/>
        </w:rPr>
        <w:t xml:space="preserve"> or license</w:t>
      </w:r>
      <w:r w:rsidR="003F6364">
        <w:rPr>
          <w:szCs w:val="22"/>
        </w:rPr>
        <w:t xml:space="preserve">d </w:t>
      </w:r>
      <w:r w:rsidRPr="0073686C" w:rsidR="0073686C">
        <w:rPr>
          <w:szCs w:val="22"/>
        </w:rPr>
        <w:t>all technology and equipment used to support call center functions</w:t>
      </w:r>
      <w:r w:rsidR="0073686C">
        <w:rPr>
          <w:szCs w:val="22"/>
        </w:rPr>
        <w:t>.</w:t>
      </w:r>
      <w:r>
        <w:rPr>
          <w:rStyle w:val="FootnoteReference"/>
          <w:szCs w:val="22"/>
        </w:rPr>
        <w:footnoteReference w:id="4"/>
      </w:r>
    </w:p>
    <w:bookmarkEnd w:id="0"/>
    <w:p w:rsidR="000C21A2" w:rsidP="00657CDE" w14:paraId="011C8DF8" w14:textId="3803E009">
      <w:pPr>
        <w:pStyle w:val="Heading1"/>
      </w:pPr>
      <w:r w:rsidRPr="00563C11">
        <w:t>Background</w:t>
      </w:r>
    </w:p>
    <w:p w:rsidR="00B15394" w:rsidP="001A4EE8" w14:paraId="35743D69" w14:textId="4BCE9C80">
      <w:pPr>
        <w:pStyle w:val="ParaNum"/>
      </w:pPr>
      <w:r w:rsidRPr="00153D5E">
        <w:t>The</w:t>
      </w:r>
      <w:r w:rsidRPr="00153D5E">
        <w:t xml:space="preserve"> </w:t>
      </w:r>
      <w:r w:rsidRPr="00153D5E">
        <w:t xml:space="preserve">certification process for </w:t>
      </w:r>
      <w:r w:rsidR="00E04FBE">
        <w:t xml:space="preserve">providers of </w:t>
      </w:r>
      <w:r w:rsidRPr="00153D5E">
        <w:t>Internet-based TRS</w:t>
      </w:r>
      <w:r w:rsidR="001D2F0C">
        <w:t>, including VRS</w:t>
      </w:r>
      <w:r>
        <w:rPr>
          <w:rStyle w:val="FootnoteReference"/>
        </w:rPr>
        <w:footnoteReference w:id="5"/>
      </w:r>
      <w:r w:rsidR="00A744AA">
        <w:t>,</w:t>
      </w:r>
      <w:r w:rsidRPr="00153D5E">
        <w:t xml:space="preserve"> </w:t>
      </w:r>
      <w:r w:rsidRPr="00153D5E">
        <w:t>is set forth in section 64.606 of</w:t>
      </w:r>
      <w:r w:rsidRPr="00153D5E">
        <w:t xml:space="preserve"> </w:t>
      </w:r>
      <w:r w:rsidR="00DE1908">
        <w:t>the Federal Communications Commission</w:t>
      </w:r>
      <w:r w:rsidR="003013D1">
        <w:t>’s</w:t>
      </w:r>
      <w:r w:rsidR="00DE1908">
        <w:t xml:space="preserve"> (Commission</w:t>
      </w:r>
      <w:r w:rsidR="003013D1">
        <w:t>’s)</w:t>
      </w:r>
      <w:r w:rsidRPr="00153D5E" w:rsidR="00DE1908">
        <w:t xml:space="preserve"> </w:t>
      </w:r>
      <w:r w:rsidRPr="00153D5E">
        <w:t xml:space="preserve">rules and was established to ensure that providers receiving TRS Fund compensation are qualified to provide service in </w:t>
      </w:r>
      <w:r w:rsidRPr="00153D5E">
        <w:t>compliance with the TRS rules.</w:t>
      </w:r>
      <w:r>
        <w:rPr>
          <w:rStyle w:val="FootnoteReference"/>
        </w:rPr>
        <w:footnoteReference w:id="6"/>
      </w:r>
      <w:r w:rsidR="00230E39">
        <w:t xml:space="preserve">  </w:t>
      </w:r>
      <w:r w:rsidRPr="00153D5E">
        <w:t>Under section 64.606(b), applicants must submit specific documentation to the Commission (described further below),</w:t>
      </w:r>
      <w:r w:rsidR="00D7056F">
        <w:t xml:space="preserve"> </w:t>
      </w:r>
      <w:r w:rsidRPr="00D7056F" w:rsidR="00D7056F">
        <w:t xml:space="preserve">and certification shall be granted upon a determination that the </w:t>
      </w:r>
      <w:r w:rsidR="005B1539">
        <w:t>applicant</w:t>
      </w:r>
      <w:r w:rsidRPr="00D7056F" w:rsidR="005B1539">
        <w:t xml:space="preserve"> </w:t>
      </w:r>
      <w:r w:rsidRPr="00D7056F" w:rsidR="00D7056F">
        <w:t>will meet all applicable mandatory minimum TRS standards and has adequate procedures and remedies for ensuring compliance with Commission rules.</w:t>
      </w:r>
      <w:r>
        <w:rPr>
          <w:rStyle w:val="FootnoteReference"/>
        </w:rPr>
        <w:footnoteReference w:id="7"/>
      </w:r>
      <w:r>
        <w:t xml:space="preserve">  </w:t>
      </w:r>
      <w:r w:rsidRPr="00D7056F" w:rsidR="00D7056F">
        <w:t>The Commission may grant conditional certification where additional time is needed to complete evaluation of an applicant’s qualifications or verify information contained in the application.</w:t>
      </w:r>
      <w:r>
        <w:rPr>
          <w:rStyle w:val="FootnoteReference"/>
        </w:rPr>
        <w:footnoteReference w:id="8"/>
      </w:r>
      <w:r w:rsidR="00230E39">
        <w:t xml:space="preserve">  </w:t>
      </w:r>
    </w:p>
    <w:p w:rsidR="0047396B" w:rsidP="001A4EE8" w14:paraId="0BD0051E" w14:textId="11D863AA">
      <w:pPr>
        <w:pStyle w:val="ParaNum"/>
      </w:pPr>
      <w:r w:rsidRPr="00D7056F">
        <w:t>After certification, Internet-based TRS providers must file annual reports updating the information in their application to demonstrate continuing compliance with the Commission’s mandatory minimum TRS standards.</w:t>
      </w:r>
      <w:r>
        <w:rPr>
          <w:rStyle w:val="FootnoteReference"/>
        </w:rPr>
        <w:footnoteReference w:id="9"/>
      </w:r>
      <w:r w:rsidR="00230E39">
        <w:t xml:space="preserve"> </w:t>
      </w:r>
      <w:r w:rsidRPr="00D7056F">
        <w:t xml:space="preserve"> Each provider also must include within its annual report a compliance plan describing the provider’s policies and procedures for complying with </w:t>
      </w:r>
      <w:r w:rsidR="00804630">
        <w:t xml:space="preserve">the </w:t>
      </w:r>
      <w:r w:rsidRPr="00D7056F">
        <w:t>Commission</w:t>
      </w:r>
      <w:r w:rsidR="00804630">
        <w:t>’s</w:t>
      </w:r>
      <w:r w:rsidRPr="00D7056F">
        <w:t xml:space="preserve"> rules prohibiting VRS providers from engaging in the unauthorized and unnecessary use of VRS.</w:t>
      </w:r>
      <w:r>
        <w:rPr>
          <w:rStyle w:val="FootnoteReference"/>
        </w:rPr>
        <w:footnoteReference w:id="10"/>
      </w:r>
      <w:r w:rsidRPr="00275A42">
        <w:t xml:space="preserve"> </w:t>
      </w:r>
    </w:p>
    <w:p w:rsidR="00BA3D4C" w:rsidP="001A4EE8" w14:paraId="7E212416" w14:textId="33D83D68">
      <w:pPr>
        <w:pStyle w:val="ParaNum"/>
      </w:pPr>
      <w:r w:rsidRPr="00BA3D4C">
        <w:t xml:space="preserve">On </w:t>
      </w:r>
      <w:r>
        <w:t>May 28, 2024, Bond f</w:t>
      </w:r>
      <w:r w:rsidRPr="00BA3D4C">
        <w:t>iled an application for certification to provide VRS and sought a waiver of the requirement</w:t>
      </w:r>
      <w:r w:rsidR="00207DCF">
        <w:t>s</w:t>
      </w:r>
      <w:r w:rsidRPr="00BA3D4C">
        <w:t xml:space="preserve"> to submit documentation that the applicant has leased, licensed, or acquired facilities for a call center</w:t>
      </w:r>
      <w:r w:rsidR="002751CF">
        <w:t xml:space="preserve"> </w:t>
      </w:r>
      <w:r w:rsidR="00C66BE3">
        <w:t xml:space="preserve">and </w:t>
      </w:r>
      <w:r w:rsidR="00C66BE3">
        <w:rPr>
          <w:szCs w:val="22"/>
        </w:rPr>
        <w:t xml:space="preserve">has </w:t>
      </w:r>
      <w:r w:rsidRPr="0073686C" w:rsidR="00C66BE3">
        <w:rPr>
          <w:szCs w:val="22"/>
        </w:rPr>
        <w:t>purchase</w:t>
      </w:r>
      <w:r w:rsidR="00C66BE3">
        <w:rPr>
          <w:szCs w:val="22"/>
        </w:rPr>
        <w:t>d</w:t>
      </w:r>
      <w:r w:rsidRPr="0073686C" w:rsidR="00C66BE3">
        <w:rPr>
          <w:szCs w:val="22"/>
        </w:rPr>
        <w:t>, lease</w:t>
      </w:r>
      <w:r w:rsidR="00C66BE3">
        <w:rPr>
          <w:szCs w:val="22"/>
        </w:rPr>
        <w:t>d,</w:t>
      </w:r>
      <w:r w:rsidRPr="0073686C" w:rsidR="00C66BE3">
        <w:rPr>
          <w:szCs w:val="22"/>
        </w:rPr>
        <w:t xml:space="preserve"> or license</w:t>
      </w:r>
      <w:r w:rsidR="00C66BE3">
        <w:rPr>
          <w:szCs w:val="22"/>
        </w:rPr>
        <w:t xml:space="preserve">d </w:t>
      </w:r>
      <w:r w:rsidRPr="0073686C" w:rsidR="00C66BE3">
        <w:rPr>
          <w:szCs w:val="22"/>
        </w:rPr>
        <w:t>all technology and equipment used to support call center functions</w:t>
      </w:r>
      <w:r w:rsidRPr="00BA3D4C">
        <w:t>.</w:t>
      </w:r>
      <w:r>
        <w:rPr>
          <w:rStyle w:val="FootnoteReference"/>
        </w:rPr>
        <w:footnoteReference w:id="11"/>
      </w:r>
      <w:r>
        <w:t xml:space="preserve">  </w:t>
      </w:r>
      <w:r w:rsidRPr="00BA3D4C">
        <w:t>On July 2</w:t>
      </w:r>
      <w:r w:rsidR="00E93E12">
        <w:t>9</w:t>
      </w:r>
      <w:r w:rsidRPr="00BA3D4C">
        <w:t>, 202</w:t>
      </w:r>
      <w:r w:rsidR="00E93E12">
        <w:t>4</w:t>
      </w:r>
      <w:r w:rsidRPr="00BA3D4C">
        <w:t xml:space="preserve">, the Bureau sought comment on </w:t>
      </w:r>
      <w:r w:rsidR="00564AE7">
        <w:t xml:space="preserve">Bond’s </w:t>
      </w:r>
      <w:r w:rsidRPr="00BA3D4C">
        <w:t>application.</w:t>
      </w:r>
      <w:r>
        <w:rPr>
          <w:rStyle w:val="FootnoteReference"/>
        </w:rPr>
        <w:footnoteReference w:id="12"/>
      </w:r>
      <w:r w:rsidR="00564AE7">
        <w:t xml:space="preserve"> </w:t>
      </w:r>
      <w:r w:rsidRPr="00BA3D4C">
        <w:t xml:space="preserve"> </w:t>
      </w:r>
      <w:r w:rsidR="00593820">
        <w:t>The Commission received four Express Comments from consumers supporting</w:t>
      </w:r>
      <w:r w:rsidR="007406FA">
        <w:t xml:space="preserve"> </w:t>
      </w:r>
      <w:r w:rsidR="00564AE7">
        <w:t>Bond</w:t>
      </w:r>
      <w:r w:rsidRPr="00BA3D4C">
        <w:t>’s application</w:t>
      </w:r>
      <w:r w:rsidR="00564AE7">
        <w:t>.</w:t>
      </w:r>
      <w:r>
        <w:rPr>
          <w:rStyle w:val="FootnoteReference"/>
        </w:rPr>
        <w:footnoteReference w:id="13"/>
      </w:r>
    </w:p>
    <w:p w:rsidR="00E84640" w:rsidP="00E84640" w14:paraId="0C355CF9" w14:textId="52ECAB30">
      <w:pPr>
        <w:pStyle w:val="Heading1"/>
      </w:pPr>
      <w:r>
        <w:t>certification</w:t>
      </w:r>
    </w:p>
    <w:p w:rsidR="00E84640" w:rsidP="00E84640" w14:paraId="556EDED6" w14:textId="42EBCDC2">
      <w:pPr>
        <w:pStyle w:val="ParaNum"/>
      </w:pPr>
      <w:r w:rsidRPr="00E84640">
        <w:t xml:space="preserve">We find that </w:t>
      </w:r>
      <w:r>
        <w:t>Bond</w:t>
      </w:r>
      <w:r w:rsidRPr="00E84640">
        <w:t>’s applicatio</w:t>
      </w:r>
      <w:r>
        <w:t>n</w:t>
      </w:r>
      <w:r w:rsidRPr="00E84640">
        <w:t xml:space="preserve"> facially meets the applicable certification requirements, and we conditionally grant certification to </w:t>
      </w:r>
      <w:r>
        <w:t>Bond t</w:t>
      </w:r>
      <w:r w:rsidRPr="00E84640">
        <w:t xml:space="preserve">o provide VRS. </w:t>
      </w:r>
      <w:r>
        <w:t xml:space="preserve"> </w:t>
      </w:r>
      <w:r w:rsidRPr="00E84640">
        <w:t xml:space="preserve">Conditional certification allows the Commission to verify—based on actual operating conditions—that </w:t>
      </w:r>
      <w:r>
        <w:t>Bond</w:t>
      </w:r>
      <w:r w:rsidRPr="00E84640">
        <w:t>’s</w:t>
      </w:r>
      <w:r w:rsidR="000657EA">
        <w:t xml:space="preserve"> </w:t>
      </w:r>
      <w:r w:rsidRPr="000657EA" w:rsidR="000657EA">
        <w:t>provision of VRS will meet or exceed the minimum TRS standards.</w:t>
      </w:r>
      <w:r>
        <w:rPr>
          <w:rStyle w:val="FootnoteReference"/>
        </w:rPr>
        <w:footnoteReference w:id="14"/>
      </w:r>
      <w:r w:rsidR="000657EA">
        <w:t xml:space="preserve">  </w:t>
      </w:r>
      <w:r w:rsidRPr="000657EA" w:rsidR="000657EA">
        <w:t xml:space="preserve">This grant of conditional certification is without prejudice to the Commission’s final determination of </w:t>
      </w:r>
      <w:r w:rsidR="00985301">
        <w:t>Bond</w:t>
      </w:r>
      <w:r w:rsidRPr="000657EA" w:rsidR="000657EA">
        <w:t>’s qualifications.</w:t>
      </w:r>
      <w:r>
        <w:rPr>
          <w:rStyle w:val="FootnoteReference"/>
        </w:rPr>
        <w:footnoteReference w:id="15"/>
      </w:r>
    </w:p>
    <w:p w:rsidR="0051208D" w:rsidP="00E84640" w14:paraId="1AA32D80" w14:textId="00CDC827">
      <w:pPr>
        <w:pStyle w:val="ParaNum"/>
      </w:pPr>
      <w:r>
        <w:rPr>
          <w:i/>
          <w:iCs/>
        </w:rPr>
        <w:t>Bond</w:t>
      </w:r>
      <w:r w:rsidRPr="00483368">
        <w:rPr>
          <w:i/>
          <w:iCs/>
        </w:rPr>
        <w:t>’s VRS Qualifications</w:t>
      </w:r>
      <w:r w:rsidRPr="00483368">
        <w:t xml:space="preserve">. </w:t>
      </w:r>
      <w:r>
        <w:t xml:space="preserve"> Bond</w:t>
      </w:r>
      <w:r w:rsidRPr="00483368">
        <w:t>’s certification application provide</w:t>
      </w:r>
      <w:r>
        <w:t>s</w:t>
      </w:r>
      <w:r w:rsidRPr="00483368">
        <w:t xml:space="preserve"> the information and documentation required by the applicable rules.</w:t>
      </w:r>
      <w:r>
        <w:rPr>
          <w:rStyle w:val="FootnoteReference"/>
        </w:rPr>
        <w:footnoteReference w:id="16"/>
      </w:r>
      <w:r w:rsidRPr="00483368">
        <w:t xml:space="preserve"> </w:t>
      </w:r>
      <w:r>
        <w:t xml:space="preserve"> </w:t>
      </w:r>
      <w:r w:rsidRPr="00483368">
        <w:t xml:space="preserve">Specifically, </w:t>
      </w:r>
      <w:r>
        <w:t>Bond</w:t>
      </w:r>
      <w:r w:rsidRPr="00483368">
        <w:t xml:space="preserve"> has provided: (1) a description of the service to be provided;</w:t>
      </w:r>
      <w:r>
        <w:rPr>
          <w:rStyle w:val="FootnoteReference"/>
        </w:rPr>
        <w:footnoteReference w:id="17"/>
      </w:r>
      <w:r w:rsidRPr="00483368">
        <w:t xml:space="preserve"> (2) a detailed description of how </w:t>
      </w:r>
      <w:r>
        <w:t xml:space="preserve">Bond </w:t>
      </w:r>
      <w:r w:rsidRPr="00483368">
        <w:t xml:space="preserve">will meet all nonwaived mandatory </w:t>
      </w:r>
      <w:r w:rsidRPr="00483368">
        <w:t>minimum standards applicable to VRS;</w:t>
      </w:r>
      <w:r>
        <w:rPr>
          <w:rStyle w:val="FootnoteReference"/>
        </w:rPr>
        <w:footnoteReference w:id="18"/>
      </w:r>
      <w:r w:rsidRPr="00483368">
        <w:t xml:space="preserve"> (3) a description of the technology and equipment to be used to support call center functions;</w:t>
      </w:r>
      <w:r>
        <w:rPr>
          <w:rStyle w:val="FootnoteReference"/>
        </w:rPr>
        <w:footnoteReference w:id="19"/>
      </w:r>
      <w:r w:rsidRPr="00483368">
        <w:t xml:space="preserve"> (4) a description of </w:t>
      </w:r>
      <w:r>
        <w:t>Bond</w:t>
      </w:r>
      <w:r w:rsidRPr="00483368">
        <w:t xml:space="preserve">’s organizational structure, including the names of its 10 percent or more equity interest holders, the names of persons with the power to vote 10 percent or more of the securities of </w:t>
      </w:r>
      <w:r w:rsidR="00135D4A">
        <w:t>Bond</w:t>
      </w:r>
      <w:r w:rsidRPr="00483368">
        <w:t>, and the names of its executives, officers and members of its board;</w:t>
      </w:r>
      <w:r>
        <w:rPr>
          <w:rStyle w:val="FootnoteReference"/>
        </w:rPr>
        <w:footnoteReference w:id="20"/>
      </w:r>
      <w:r w:rsidRPr="00483368">
        <w:t xml:space="preserve"> (5) a list of the number of its full-time and part-time employees involved in </w:t>
      </w:r>
      <w:r w:rsidR="00135D4A">
        <w:t>Bond</w:t>
      </w:r>
      <w:r w:rsidRPr="00483368">
        <w:t>’s VRS operations by position;</w:t>
      </w:r>
      <w:r>
        <w:rPr>
          <w:rStyle w:val="FootnoteReference"/>
        </w:rPr>
        <w:footnoteReference w:id="21"/>
      </w:r>
      <w:r w:rsidRPr="00483368">
        <w:t xml:space="preserve"> (6)</w:t>
      </w:r>
      <w:r w:rsidRPr="00DF67A5" w:rsidR="00DF67A5">
        <w:t xml:space="preserve"> a confidential list of sponsorship arrangements relating to the provision of Internet-based TRS;</w:t>
      </w:r>
      <w:r>
        <w:rPr>
          <w:vertAlign w:val="superscript"/>
        </w:rPr>
        <w:footnoteReference w:id="22"/>
      </w:r>
      <w:r w:rsidRPr="00DF67A5" w:rsidR="00DF67A5">
        <w:t xml:space="preserve"> (7)</w:t>
      </w:r>
      <w:r w:rsidRPr="00483368">
        <w:t xml:space="preserve"> a description of </w:t>
      </w:r>
      <w:r w:rsidR="00135D4A">
        <w:t>Bond</w:t>
      </w:r>
      <w:r w:rsidRPr="00483368">
        <w:t>’s complaint procedures;</w:t>
      </w:r>
      <w:r>
        <w:rPr>
          <w:rStyle w:val="FootnoteReference"/>
        </w:rPr>
        <w:footnoteReference w:id="23"/>
      </w:r>
      <w:r w:rsidRPr="00483368">
        <w:t xml:space="preserve"> </w:t>
      </w:r>
      <w:r w:rsidRPr="00B9288A" w:rsidR="00B9288A">
        <w:t xml:space="preserve">(8) </w:t>
      </w:r>
      <w:r w:rsidRPr="00483368">
        <w:t xml:space="preserve">a statement that </w:t>
      </w:r>
      <w:r w:rsidR="00135D4A">
        <w:t>Bond</w:t>
      </w:r>
      <w:r w:rsidRPr="00483368">
        <w:t xml:space="preserve"> will file annual compliance reports demonstrating continued compliance with the rules;</w:t>
      </w:r>
      <w:r>
        <w:rPr>
          <w:rStyle w:val="FootnoteReference"/>
        </w:rPr>
        <w:footnoteReference w:id="24"/>
      </w:r>
      <w:r w:rsidRPr="00483368">
        <w:t xml:space="preserve"> and </w:t>
      </w:r>
      <w:r w:rsidRPr="009F7825" w:rsidR="009F7825">
        <w:t xml:space="preserve">(9) </w:t>
      </w:r>
      <w:r w:rsidRPr="00483368">
        <w:t xml:space="preserve">a certification by </w:t>
      </w:r>
      <w:r w:rsidR="00135D4A">
        <w:t>Bond</w:t>
      </w:r>
      <w:r w:rsidRPr="00483368">
        <w:t>’s CEO confirming the accuracy and completeness of the information contained in the application.</w:t>
      </w:r>
      <w:r>
        <w:rPr>
          <w:rStyle w:val="FootnoteReference"/>
        </w:rPr>
        <w:footnoteReference w:id="25"/>
      </w:r>
    </w:p>
    <w:p w:rsidR="00CF6C53" w:rsidP="00E84640" w14:paraId="12940F57" w14:textId="629FA371">
      <w:pPr>
        <w:pStyle w:val="ParaNum"/>
      </w:pPr>
      <w:r w:rsidRPr="00CF6C53">
        <w:rPr>
          <w:i/>
          <w:iCs/>
        </w:rPr>
        <w:t>Interoperability</w:t>
      </w:r>
      <w:r w:rsidRPr="00CF6C53">
        <w:t>. VRS providers are subject to the Commission’s interoperability and portability requirements.</w:t>
      </w:r>
      <w:r>
        <w:rPr>
          <w:rStyle w:val="FootnoteReference"/>
        </w:rPr>
        <w:footnoteReference w:id="26"/>
      </w:r>
      <w:r>
        <w:t xml:space="preserve">  Bond </w:t>
      </w:r>
      <w:r w:rsidRPr="00CF6C53">
        <w:t xml:space="preserve">states that, pursuant to these requirements, its users will be able to place and receive calls through any </w:t>
      </w:r>
      <w:r w:rsidR="00495B9C">
        <w:t xml:space="preserve">other </w:t>
      </w:r>
      <w:r w:rsidRPr="00CF6C53">
        <w:t xml:space="preserve">VRS providers’ services, and </w:t>
      </w:r>
      <w:r>
        <w:t>Bond</w:t>
      </w:r>
      <w:r w:rsidRPr="00CF6C53">
        <w:t xml:space="preserve"> will be able to receive calls from, and make calls to, any VRS user.</w:t>
      </w:r>
      <w:r>
        <w:rPr>
          <w:rStyle w:val="FootnoteReference"/>
        </w:rPr>
        <w:footnoteReference w:id="27"/>
      </w:r>
      <w:r w:rsidRPr="00CF6C53">
        <w:t xml:space="preserve"> </w:t>
      </w:r>
      <w:r>
        <w:t xml:space="preserve"> Bond </w:t>
      </w:r>
      <w:r w:rsidRPr="00CF6C53">
        <w:t>also states it does not take any steps that restrict a user’s unfettered access to another provider’s service, and that its VRS access technologies and video</w:t>
      </w:r>
      <w:r w:rsidR="00072042">
        <w:t xml:space="preserve"> </w:t>
      </w:r>
      <w:r w:rsidRPr="00072042" w:rsidR="00072042">
        <w:t>communication service platforms will be interoperable with the VRS Access Technology Reference Platform.</w:t>
      </w:r>
      <w:r>
        <w:rPr>
          <w:rStyle w:val="FootnoteReference"/>
        </w:rPr>
        <w:footnoteReference w:id="28"/>
      </w:r>
    </w:p>
    <w:p w:rsidR="009979D2" w:rsidP="00E84640" w14:paraId="37005FC7" w14:textId="65DEDC72">
      <w:pPr>
        <w:pStyle w:val="ParaNum"/>
      </w:pPr>
      <w:r w:rsidRPr="00483368">
        <w:t xml:space="preserve">No party opposes certification of </w:t>
      </w:r>
      <w:r>
        <w:t>Bond</w:t>
      </w:r>
      <w:r w:rsidRPr="00483368">
        <w:t>’s proposed service</w:t>
      </w:r>
      <w:r>
        <w:t>, and no questions were raised concerning the operation and delivery of its proposed VRS</w:t>
      </w:r>
      <w:r w:rsidRPr="00483368">
        <w:t>.</w:t>
      </w:r>
      <w:r>
        <w:rPr>
          <w:rStyle w:val="FootnoteReference"/>
        </w:rPr>
        <w:footnoteReference w:id="29"/>
      </w:r>
      <w:r>
        <w:t xml:space="preserve">  The four parties filing Express Comments all support Bond’s application and its focus on providing VRS for deaf children who use American Sign Language (ASL).</w:t>
      </w:r>
      <w:r>
        <w:rPr>
          <w:rStyle w:val="FootnoteReference"/>
        </w:rPr>
        <w:footnoteReference w:id="30"/>
      </w:r>
    </w:p>
    <w:p w:rsidR="002625C0" w:rsidP="00E84640" w14:paraId="3841CA22" w14:textId="0C700576">
      <w:pPr>
        <w:pStyle w:val="ParaNum"/>
      </w:pPr>
      <w:r>
        <w:t xml:space="preserve">We find that </w:t>
      </w:r>
      <w:r>
        <w:t>Bond</w:t>
      </w:r>
      <w:r w:rsidRPr="002625C0">
        <w:t>’s application facially establish</w:t>
      </w:r>
      <w:r>
        <w:t>es</w:t>
      </w:r>
      <w:r w:rsidRPr="002625C0">
        <w:t xml:space="preserve"> that </w:t>
      </w:r>
      <w:r>
        <w:t>Bond</w:t>
      </w:r>
      <w:r w:rsidRPr="002625C0">
        <w:t xml:space="preserve"> will meet or exceed the mandatory minimum standards applicable to its provision of VRS and that the company has in place sufficient procedures and remedies for ensuring compliance with the applicable TRS rules.</w:t>
      </w:r>
      <w:r>
        <w:rPr>
          <w:rStyle w:val="FootnoteReference"/>
        </w:rPr>
        <w:footnoteReference w:id="31"/>
      </w:r>
      <w:r w:rsidRPr="002625C0">
        <w:t xml:space="preserve"> </w:t>
      </w:r>
    </w:p>
    <w:p w:rsidR="002625C0" w:rsidP="00FE438E" w14:paraId="046DBB63" w14:textId="7C4926FE">
      <w:pPr>
        <w:pStyle w:val="ParaNum"/>
        <w:widowControl/>
      </w:pPr>
      <w:r w:rsidRPr="002625C0">
        <w:rPr>
          <w:i/>
          <w:iCs/>
        </w:rPr>
        <w:t>Conditional Certification</w:t>
      </w:r>
      <w:r w:rsidRPr="002625C0">
        <w:t xml:space="preserve">. </w:t>
      </w:r>
      <w:r w:rsidR="00F3385D">
        <w:t xml:space="preserve"> </w:t>
      </w:r>
      <w:r w:rsidRPr="002625C0">
        <w:t xml:space="preserve">We grant certification for </w:t>
      </w:r>
      <w:r w:rsidR="00571E46">
        <w:t>Bond</w:t>
      </w:r>
      <w:r w:rsidRPr="002625C0">
        <w:t xml:space="preserve">’s provision of VRS on a conditional basis, for a period not to exceed two years, pending further verification that its VRS complies with the Commission’s mandatory minimum TRS standards. </w:t>
      </w:r>
      <w:r w:rsidR="00571E46">
        <w:t xml:space="preserve"> </w:t>
      </w:r>
      <w:r w:rsidRPr="002625C0">
        <w:t xml:space="preserve">For example, we note that this first-time applicant will use a </w:t>
      </w:r>
      <w:r w:rsidR="0079195F">
        <w:t xml:space="preserve">proprietary, customizable </w:t>
      </w:r>
      <w:r w:rsidRPr="002625C0">
        <w:t>architecture for the provision of VRS,</w:t>
      </w:r>
      <w:r>
        <w:rPr>
          <w:rStyle w:val="FootnoteReference"/>
        </w:rPr>
        <w:footnoteReference w:id="32"/>
      </w:r>
      <w:r w:rsidRPr="002625C0">
        <w:t xml:space="preserve"> and that it has yet to complete the establishment of a call center</w:t>
      </w:r>
      <w:r w:rsidR="00427DDA">
        <w:t xml:space="preserve"> and purchase call center equipment</w:t>
      </w:r>
      <w:r w:rsidRPr="002625C0">
        <w:t>.</w:t>
      </w:r>
      <w:r>
        <w:rPr>
          <w:rStyle w:val="FootnoteReference"/>
        </w:rPr>
        <w:footnoteReference w:id="33"/>
      </w:r>
      <w:r w:rsidRPr="002625C0">
        <w:t xml:space="preserve"> </w:t>
      </w:r>
      <w:r w:rsidR="00571E46">
        <w:t xml:space="preserve"> </w:t>
      </w:r>
      <w:r w:rsidRPr="002625C0">
        <w:t>Conditional certification will allow the Commission to further verify, based on oversight of actual operations, review of consumer complaints, if any, and interoperability testing, that this service will meet or exceed the minimum TRS standards.</w:t>
      </w:r>
      <w:r>
        <w:rPr>
          <w:rStyle w:val="FootnoteReference"/>
        </w:rPr>
        <w:footnoteReference w:id="34"/>
      </w:r>
    </w:p>
    <w:p w:rsidR="00FC1FD3" w:rsidP="00E84640" w14:paraId="4699155B" w14:textId="4A397E60">
      <w:pPr>
        <w:pStyle w:val="ParaNum"/>
      </w:pPr>
      <w:r w:rsidRPr="00911653">
        <w:t xml:space="preserve">To assist the Bureau in a final determination of </w:t>
      </w:r>
      <w:r>
        <w:t>Bond</w:t>
      </w:r>
      <w:r w:rsidRPr="00911653">
        <w:t xml:space="preserve">’s qualifications to provide VRS, we require </w:t>
      </w:r>
      <w:r>
        <w:t>Bond</w:t>
      </w:r>
      <w:r w:rsidRPr="00911653">
        <w:t xml:space="preserve"> to file quarterly reports of consumer complaints, in the same format and with the same</w:t>
      </w:r>
      <w:r>
        <w:t xml:space="preserve"> </w:t>
      </w:r>
      <w:r w:rsidRPr="00FC1FD3">
        <w:t>degree of detail required in the log of consumer complaints that providers must file annually with the Commission.</w:t>
      </w:r>
      <w:r>
        <w:rPr>
          <w:rStyle w:val="FootnoteReference"/>
        </w:rPr>
        <w:footnoteReference w:id="35"/>
      </w:r>
      <w:r>
        <w:t xml:space="preserve">  </w:t>
      </w:r>
      <w:r w:rsidRPr="00FC1FD3">
        <w:t xml:space="preserve">The first report shall be due on the last day of the first month of the calendar quarter following the first calendar quarter in which </w:t>
      </w:r>
      <w:r>
        <w:t>Bond</w:t>
      </w:r>
      <w:r w:rsidRPr="00FC1FD3">
        <w:t xml:space="preserve"> has been in operation for more than a month, and shall cover the period from the commencement of TRS-funded VRS service through the end of that quarter.</w:t>
      </w:r>
      <w:r>
        <w:rPr>
          <w:rStyle w:val="FootnoteReference"/>
        </w:rPr>
        <w:footnoteReference w:id="36"/>
      </w:r>
      <w:r w:rsidRPr="00FC1FD3">
        <w:t xml:space="preserve"> Each subsequent report shall be filed on the last day of the first month of each calendar quarter and shall cover the preceding calendar quarter. </w:t>
      </w:r>
      <w:r>
        <w:t xml:space="preserve"> Bond </w:t>
      </w:r>
      <w:r w:rsidRPr="00FC1FD3">
        <w:t xml:space="preserve">shall continue to file reports on a quarterly schedule during the term of this conditional certification until the Commission acts on granting or denying full certification, whichever occurs earlier. </w:t>
      </w:r>
      <w:r>
        <w:t xml:space="preserve"> </w:t>
      </w:r>
      <w:r w:rsidRPr="00FC1FD3">
        <w:t xml:space="preserve">As discussed below, </w:t>
      </w:r>
      <w:r>
        <w:t xml:space="preserve">Bond </w:t>
      </w:r>
      <w:r w:rsidRPr="00FC1FD3">
        <w:t xml:space="preserve">also must finalize the lease for its call center and </w:t>
      </w:r>
      <w:r w:rsidR="00566AF1">
        <w:t xml:space="preserve">purchase order for call center equipment and </w:t>
      </w:r>
      <w:r w:rsidRPr="00FC1FD3">
        <w:t>submit cop</w:t>
      </w:r>
      <w:r w:rsidR="00566AF1">
        <w:t>ies</w:t>
      </w:r>
      <w:r w:rsidRPr="00FC1FD3">
        <w:t xml:space="preserve"> </w:t>
      </w:r>
      <w:r w:rsidR="00566AF1">
        <w:t xml:space="preserve">of these documents </w:t>
      </w:r>
      <w:r w:rsidRPr="00FC1FD3">
        <w:t xml:space="preserve">as an amendment to its application. </w:t>
      </w:r>
    </w:p>
    <w:p w:rsidR="00F5164F" w:rsidP="00E84640" w14:paraId="751E658D" w14:textId="55ECD481">
      <w:pPr>
        <w:pStyle w:val="ParaNum"/>
      </w:pPr>
      <w:r>
        <w:t xml:space="preserve">As an additional condition of this conditional certification, </w:t>
      </w:r>
      <w:r w:rsidR="004A18F4">
        <w:t xml:space="preserve">we require Bond to submit all information required by sections </w:t>
      </w:r>
      <w:r w:rsidRPr="004A18F4" w:rsidR="004A18F4">
        <w:t>64.606(a)(2)(ii)(A)(</w:t>
      </w:r>
      <w:r w:rsidRPr="004A18F4" w:rsidR="004A18F4">
        <w:rPr>
          <w:i/>
          <w:iCs/>
        </w:rPr>
        <w:t>1</w:t>
      </w:r>
      <w:r w:rsidRPr="004A18F4" w:rsidR="004A18F4">
        <w:t xml:space="preserve">) </w:t>
      </w:r>
      <w:r w:rsidR="004A18F4">
        <w:t>and (</w:t>
      </w:r>
      <w:r w:rsidRPr="004A18F4" w:rsidR="004A18F4">
        <w:rPr>
          <w:i/>
          <w:iCs/>
        </w:rPr>
        <w:t>5</w:t>
      </w:r>
      <w:r w:rsidR="004A18F4">
        <w:t xml:space="preserve">) </w:t>
      </w:r>
      <w:r w:rsidRPr="004A18F4" w:rsidR="004A18F4">
        <w:t>of the Commission’s rules,</w:t>
      </w:r>
      <w:r>
        <w:rPr>
          <w:vertAlign w:val="superscript"/>
        </w:rPr>
        <w:footnoteReference w:id="37"/>
      </w:r>
      <w:r w:rsidRPr="004A18F4" w:rsidR="004A18F4">
        <w:t xml:space="preserve"> </w:t>
      </w:r>
      <w:r w:rsidR="004A18F4">
        <w:t xml:space="preserve">no later than the date of expiration of the waiver of those provisions granted </w:t>
      </w:r>
      <w:r w:rsidR="00021DF3">
        <w:t>herein</w:t>
      </w:r>
      <w:r w:rsidR="004A18F4">
        <w:t>.</w:t>
      </w:r>
      <w:r w:rsidRPr="004A18F4" w:rsidR="004A18F4">
        <w:t xml:space="preserve"> </w:t>
      </w:r>
    </w:p>
    <w:p w:rsidR="00911653" w:rsidRPr="00E84640" w:rsidP="00E84640" w14:paraId="1DC65141" w14:textId="7933C970">
      <w:pPr>
        <w:pStyle w:val="ParaNum"/>
      </w:pPr>
      <w:r w:rsidRPr="00FC1FD3">
        <w:t xml:space="preserve">We emphasize that </w:t>
      </w:r>
      <w:r w:rsidR="0090597A">
        <w:t xml:space="preserve">Bond </w:t>
      </w:r>
      <w:r w:rsidRPr="00FC1FD3">
        <w:t xml:space="preserve">must continue to operate in compliance with all relevant Commission rules and orders. </w:t>
      </w:r>
      <w:r w:rsidR="0090597A">
        <w:t xml:space="preserve"> </w:t>
      </w:r>
      <w:r w:rsidRPr="00FC1FD3">
        <w:t xml:space="preserve">As with other grants of TRS certification, the Commission reserves the right to conduct ongoing monitoring of the operations of </w:t>
      </w:r>
      <w:r w:rsidR="0090597A">
        <w:t>Bond</w:t>
      </w:r>
      <w:r w:rsidRPr="00FC1FD3">
        <w:t xml:space="preserve"> to ensure continuing compliance and to review any additional documentation necessary to ascertain the veracity of the assertions made in its applications and updates.</w:t>
      </w:r>
      <w:r>
        <w:rPr>
          <w:rStyle w:val="FootnoteReference"/>
        </w:rPr>
        <w:footnoteReference w:id="38"/>
      </w:r>
      <w:r w:rsidR="0090597A">
        <w:t xml:space="preserve">  </w:t>
      </w:r>
      <w:r w:rsidRPr="00FC1FD3">
        <w:t xml:space="preserve">The Commission also reserves the right to investigate compliance by </w:t>
      </w:r>
      <w:r w:rsidR="0090597A">
        <w:t>Bond</w:t>
      </w:r>
      <w:r w:rsidRPr="00FC1FD3">
        <w:t xml:space="preserve"> with the Commission’s rules and orders and to take enforcement action for past or future violations, including suspension or revocation of this certification, if circumstances warrant.</w:t>
      </w:r>
      <w:r>
        <w:rPr>
          <w:rStyle w:val="FootnoteReference"/>
        </w:rPr>
        <w:footnoteReference w:id="39"/>
      </w:r>
      <w:r w:rsidR="0090597A">
        <w:t xml:space="preserve">  </w:t>
      </w:r>
      <w:r w:rsidRPr="00FC1FD3">
        <w:t xml:space="preserve">This may include unannounced on-site visits to </w:t>
      </w:r>
      <w:r w:rsidR="00FA66B4">
        <w:t>Bond’</w:t>
      </w:r>
      <w:r w:rsidRPr="00FC1FD3">
        <w:t xml:space="preserve"> headquarters, offices, or call centers for the purpose of ensuring continued compliance with the certification requirements and the Commission’s rules.</w:t>
      </w:r>
      <w:r>
        <w:rPr>
          <w:rStyle w:val="FootnoteReference"/>
        </w:rPr>
        <w:footnoteReference w:id="40"/>
      </w:r>
      <w:r w:rsidRPr="00FC1FD3">
        <w:t xml:space="preserve"> </w:t>
      </w:r>
      <w:r w:rsidR="00FA66B4">
        <w:t xml:space="preserve"> </w:t>
      </w:r>
      <w:r w:rsidRPr="00FC1FD3">
        <w:t xml:space="preserve">Conversion to </w:t>
      </w:r>
      <w:r w:rsidRPr="00FC1FD3">
        <w:t xml:space="preserve">full certification will be granted if, based on a review of the applicant’s documentation and other relevant information, the Commission finds that </w:t>
      </w:r>
      <w:r w:rsidR="00FA66B4">
        <w:t>Bond</w:t>
      </w:r>
      <w:r w:rsidRPr="00FC1FD3">
        <w:t xml:space="preserve"> is in compliance with applicable Commission rules and orders and is qualified to receive compensation from the Fund for the provision of VRS. </w:t>
      </w:r>
      <w:r w:rsidR="00FA66B4">
        <w:t xml:space="preserve"> </w:t>
      </w:r>
      <w:r w:rsidRPr="00FC1FD3">
        <w:t xml:space="preserve">If, at any time during the period in which </w:t>
      </w:r>
      <w:r w:rsidR="00FA66B4">
        <w:t>Bond</w:t>
      </w:r>
      <w:r w:rsidRPr="00FC1FD3">
        <w:t xml:space="preserve"> is operating pursuant to this conditional certification, the Commission determines that </w:t>
      </w:r>
      <w:r w:rsidR="00FA66B4">
        <w:t>Bond</w:t>
      </w:r>
      <w:r w:rsidRPr="00FC1FD3">
        <w:t xml:space="preserve"> has failed to provide sufficient supporting documentation for any of the assertions in its application, determines that any of those assertions cannot be supported, or finds evidence of any apparent rule violation, fraud, waste, or abuse, the Commission will take appropriate action, which may include the denial of </w:t>
      </w:r>
      <w:r w:rsidR="00FA66B4">
        <w:t>Bond</w:t>
      </w:r>
      <w:r w:rsidRPr="00FC1FD3">
        <w:t xml:space="preserve">’s application. </w:t>
      </w:r>
      <w:r w:rsidR="00FA66B4">
        <w:t xml:space="preserve"> </w:t>
      </w:r>
      <w:r w:rsidRPr="00FC1FD3">
        <w:t xml:space="preserve">In the event of such denial, </w:t>
      </w:r>
      <w:r w:rsidR="00FA66B4">
        <w:t>Bond</w:t>
      </w:r>
      <w:r w:rsidRPr="00FC1FD3">
        <w:t>’s conditional certification for its VRS will automatically terminate thirty-five (35) days after such denial.</w:t>
      </w:r>
      <w:r>
        <w:rPr>
          <w:rStyle w:val="FootnoteReference"/>
        </w:rPr>
        <w:footnoteReference w:id="41"/>
      </w:r>
    </w:p>
    <w:p w:rsidR="0047396B" w:rsidRPr="00275A42" w:rsidP="0047396B" w14:paraId="5046F3D2" w14:textId="61F50D96">
      <w:pPr>
        <w:pStyle w:val="Heading1"/>
      </w:pPr>
      <w:r w:rsidRPr="00D87E36">
        <w:t xml:space="preserve">Request for </w:t>
      </w:r>
      <w:r>
        <w:t>waiver</w:t>
      </w:r>
      <w:r w:rsidR="007E2CEC">
        <w:t>s</w:t>
      </w:r>
    </w:p>
    <w:p w:rsidR="000E5D15" w:rsidRPr="000E5D15" w:rsidP="0047396B" w14:paraId="7F8AC673" w14:textId="63D2177F">
      <w:pPr>
        <w:pStyle w:val="ParaNum"/>
      </w:pPr>
      <w:r>
        <w:t xml:space="preserve">Bond </w:t>
      </w:r>
      <w:r w:rsidRPr="001810F8">
        <w:t>requests waiver</w:t>
      </w:r>
      <w:r w:rsidR="008418DD">
        <w:t>s</w:t>
      </w:r>
      <w:r w:rsidRPr="001810F8">
        <w:t xml:space="preserve"> of </w:t>
      </w:r>
      <w:bookmarkStart w:id="4" w:name="_Hlk182564153"/>
      <w:r w:rsidRPr="001810F8">
        <w:t>section 64.606(a)(2)(ii)(A)(</w:t>
      </w:r>
      <w:r w:rsidRPr="006C64CD">
        <w:rPr>
          <w:i/>
          <w:iCs/>
        </w:rPr>
        <w:t>1</w:t>
      </w:r>
      <w:r w:rsidRPr="001810F8">
        <w:t>) of the Commission’s rules, which requires a provider operating five or fewer call centers</w:t>
      </w:r>
      <w:r w:rsidR="003C0B9A">
        <w:t xml:space="preserve"> to submit</w:t>
      </w:r>
      <w:r w:rsidRPr="001810F8">
        <w:t xml:space="preserve"> a copy of each deed or lease for each call center,</w:t>
      </w:r>
      <w:r>
        <w:rPr>
          <w:rStyle w:val="FootnoteReference"/>
        </w:rPr>
        <w:footnoteReference w:id="42"/>
      </w:r>
      <w:r w:rsidRPr="001810F8">
        <w:t xml:space="preserve"> and </w:t>
      </w:r>
      <w:r w:rsidR="00BC339A">
        <w:t xml:space="preserve">a partial waiver of </w:t>
      </w:r>
      <w:r w:rsidRPr="001810F8">
        <w:t>section 64.606(a)(2)(ii)(A)(</w:t>
      </w:r>
      <w:r w:rsidRPr="006C64CD">
        <w:rPr>
          <w:i/>
          <w:iCs/>
        </w:rPr>
        <w:t>5</w:t>
      </w:r>
      <w:r w:rsidRPr="001810F8">
        <w:t>)</w:t>
      </w:r>
      <w:bookmarkEnd w:id="4"/>
      <w:r w:rsidRPr="001810F8">
        <w:t xml:space="preserve">, which requires </w:t>
      </w:r>
      <w:r w:rsidR="009866CB">
        <w:t xml:space="preserve">the provider to submit </w:t>
      </w:r>
      <w:r w:rsidRPr="001810F8">
        <w:t>a copy of each proof or purchase, lease, or license for all technology and equipment used to support the provider’s call center functions for each call center.</w:t>
      </w:r>
      <w:r>
        <w:rPr>
          <w:rStyle w:val="FootnoteReference"/>
        </w:rPr>
        <w:footnoteReference w:id="43"/>
      </w:r>
      <w:r w:rsidR="009866CB">
        <w:t xml:space="preserve">  </w:t>
      </w:r>
      <w:r w:rsidRPr="001810F8">
        <w:t>The Bureau grants</w:t>
      </w:r>
      <w:r w:rsidR="000E3B99">
        <w:t xml:space="preserve"> a limited waiver </w:t>
      </w:r>
      <w:r w:rsidR="00CF5FDE">
        <w:t xml:space="preserve">of </w:t>
      </w:r>
      <w:r w:rsidR="00EB2671">
        <w:t xml:space="preserve">both </w:t>
      </w:r>
      <w:r w:rsidR="00CF5FDE">
        <w:t xml:space="preserve">provisions, subject to </w:t>
      </w:r>
      <w:r w:rsidRPr="001810F8">
        <w:t>conditions.</w:t>
      </w:r>
    </w:p>
    <w:p w:rsidR="0047396B" w:rsidRPr="00275A42" w:rsidP="0047396B" w14:paraId="4D049E39" w14:textId="239B8615">
      <w:pPr>
        <w:pStyle w:val="ParaNum"/>
      </w:pPr>
      <w:r w:rsidRPr="00275A42">
        <w:rPr>
          <w:i/>
        </w:rPr>
        <w:t>Waiver standard</w:t>
      </w:r>
      <w:r w:rsidRPr="00275A42">
        <w:t>.  A Commission rule may be waived for “good cause shown.”</w:t>
      </w:r>
      <w:r>
        <w:rPr>
          <w:sz w:val="20"/>
          <w:vertAlign w:val="superscript"/>
        </w:rPr>
        <w:footnoteReference w:id="44"/>
      </w:r>
      <w:r w:rsidRPr="00275A42">
        <w:t xml:space="preserve">  In particular, a waiver is appropriate where the particular facts make strict compliance inconsistent with the public interest.</w:t>
      </w:r>
      <w:r>
        <w:rPr>
          <w:sz w:val="20"/>
          <w:vertAlign w:val="superscript"/>
        </w:rPr>
        <w:footnoteReference w:id="45"/>
      </w:r>
      <w:r w:rsidRPr="00275A42">
        <w:t xml:space="preserve">  In addition, we may take into account considerations of hardship, equity, or more effective implementation of overall policy on an individual basis.</w:t>
      </w:r>
      <w:r>
        <w:rPr>
          <w:sz w:val="20"/>
          <w:vertAlign w:val="superscript"/>
        </w:rPr>
        <w:footnoteReference w:id="46"/>
      </w:r>
      <w:r w:rsidRPr="00275A42">
        <w:t xml:space="preserve">  </w:t>
      </w:r>
      <w:r w:rsidRPr="003E2E20" w:rsidR="003E2E20">
        <w:t xml:space="preserve">Good cause for a waiver may be found </w:t>
      </w:r>
      <w:r w:rsidRPr="00275A42">
        <w:t>if special circumstances warrant a deviation from the general rule and such deviation will serve the public interest.</w:t>
      </w:r>
      <w:r>
        <w:rPr>
          <w:sz w:val="20"/>
          <w:vertAlign w:val="superscript"/>
        </w:rPr>
        <w:footnoteReference w:id="47"/>
      </w:r>
    </w:p>
    <w:p w:rsidR="00AF71A9" w:rsidP="00EE3F06" w14:paraId="31DDCE2B" w14:textId="7DB90F1A">
      <w:pPr>
        <w:pStyle w:val="ParaNum"/>
      </w:pPr>
      <w:r>
        <w:rPr>
          <w:i/>
        </w:rPr>
        <w:t>Waiver Request</w:t>
      </w:r>
      <w:r w:rsidRPr="00275A42" w:rsidR="0047396B">
        <w:t xml:space="preserve">.  </w:t>
      </w:r>
      <w:bookmarkStart w:id="5" w:name="_Hlk30456369"/>
      <w:r w:rsidRPr="001D445B" w:rsidR="001D445B">
        <w:t>In its request for waiver of section 64.606(a)(2)(ii)(A)(</w:t>
      </w:r>
      <w:r w:rsidRPr="008C374C" w:rsidR="001D445B">
        <w:rPr>
          <w:i/>
          <w:iCs/>
        </w:rPr>
        <w:t>1</w:t>
      </w:r>
      <w:r w:rsidRPr="001D445B" w:rsidR="001D445B">
        <w:t xml:space="preserve">), </w:t>
      </w:r>
      <w:r w:rsidR="008C374C">
        <w:t>Bond</w:t>
      </w:r>
      <w:r w:rsidRPr="001D445B" w:rsidR="001D445B">
        <w:t xml:space="preserve"> explains that</w:t>
      </w:r>
      <w:r w:rsidR="00184A73">
        <w:t xml:space="preserve">, </w:t>
      </w:r>
      <w:r w:rsidRPr="00184A73" w:rsidR="00184A73">
        <w:t>as a start-up, Bond’s need for call center</w:t>
      </w:r>
      <w:r>
        <w:t xml:space="preserve"> facilities</w:t>
      </w:r>
      <w:r w:rsidRPr="00184A73" w:rsidR="00184A73">
        <w:t xml:space="preserve"> is contingent on its VRS certification.</w:t>
      </w:r>
      <w:r>
        <w:rPr>
          <w:rStyle w:val="FootnoteReference"/>
        </w:rPr>
        <w:footnoteReference w:id="48"/>
      </w:r>
      <w:r w:rsidRPr="00184A73" w:rsidR="00184A73">
        <w:t xml:space="preserve"> </w:t>
      </w:r>
      <w:r w:rsidR="00184A73">
        <w:t xml:space="preserve"> It further states that “[e]</w:t>
      </w:r>
      <w:r w:rsidRPr="00184A73" w:rsidR="00184A73">
        <w:t>ntering</w:t>
      </w:r>
      <w:r w:rsidRPr="00184A73" w:rsidR="00184A73">
        <w:t xml:space="preserve"> into such a lease in advance of certification is unnecessary as the lease would be unused and it would be a waste of resources</w:t>
      </w:r>
      <w:r w:rsidR="00484403">
        <w:t>.”</w:t>
      </w:r>
      <w:r>
        <w:rPr>
          <w:rStyle w:val="FootnoteReference"/>
        </w:rPr>
        <w:footnoteReference w:id="49"/>
      </w:r>
      <w:r w:rsidR="00484403">
        <w:t xml:space="preserve">  Bond has submitted a co</w:t>
      </w:r>
      <w:r w:rsidRPr="00484403" w:rsidR="00484403">
        <w:t xml:space="preserve">py of a non-binding letter of intent </w:t>
      </w:r>
      <w:r>
        <w:t xml:space="preserve">to lease </w:t>
      </w:r>
      <w:r w:rsidRPr="00484403" w:rsidR="00484403">
        <w:t>a call center in Seattle</w:t>
      </w:r>
      <w:r w:rsidR="00484403">
        <w:t>.</w:t>
      </w:r>
      <w:r>
        <w:rPr>
          <w:rStyle w:val="FootnoteReference"/>
        </w:rPr>
        <w:footnoteReference w:id="50"/>
      </w:r>
      <w:r w:rsidR="00484403">
        <w:t xml:space="preserve">  Bond says that it intends to finalize </w:t>
      </w:r>
      <w:r w:rsidR="00956888">
        <w:t xml:space="preserve">and execute </w:t>
      </w:r>
      <w:r w:rsidR="00484403">
        <w:t xml:space="preserve">the lease </w:t>
      </w:r>
      <w:r w:rsidR="00956888">
        <w:t>upon grant of certification.</w:t>
      </w:r>
      <w:r>
        <w:rPr>
          <w:rStyle w:val="FootnoteReference"/>
        </w:rPr>
        <w:footnoteReference w:id="51"/>
      </w:r>
    </w:p>
    <w:p w:rsidR="006A6FC2" w:rsidP="00AF71A9" w14:paraId="60B30468" w14:textId="5D4B1E46">
      <w:pPr>
        <w:pStyle w:val="ParaNum"/>
      </w:pPr>
      <w:r>
        <w:t xml:space="preserve">Citing </w:t>
      </w:r>
      <w:r w:rsidRPr="00D6074E" w:rsidR="00AF71A9">
        <w:t>the same uncertaint</w:t>
      </w:r>
      <w:r w:rsidR="002F75E3">
        <w:t>y</w:t>
      </w:r>
      <w:r>
        <w:t xml:space="preserve"> regarding </w:t>
      </w:r>
      <w:r w:rsidR="004D05A7">
        <w:t>certification</w:t>
      </w:r>
      <w:r>
        <w:t>,</w:t>
      </w:r>
      <w:r w:rsidRPr="00D6074E" w:rsidR="00AF71A9">
        <w:t xml:space="preserve"> </w:t>
      </w:r>
      <w:r w:rsidR="00AF71A9">
        <w:t>Bond also</w:t>
      </w:r>
      <w:r w:rsidRPr="00D6074E" w:rsidR="00AF71A9">
        <w:t xml:space="preserve"> request</w:t>
      </w:r>
      <w:r w:rsidR="004218AE">
        <w:t>s</w:t>
      </w:r>
      <w:r w:rsidRPr="00D6074E" w:rsidR="00AF71A9">
        <w:t xml:space="preserve"> a </w:t>
      </w:r>
      <w:r w:rsidR="00AC1404">
        <w:t xml:space="preserve">partial </w:t>
      </w:r>
      <w:r w:rsidRPr="00D6074E" w:rsidR="00AF71A9">
        <w:t>waiver of section 64.606(a)(2)(ii)(A)(</w:t>
      </w:r>
      <w:r w:rsidRPr="002F1BD0" w:rsidR="00AF71A9">
        <w:rPr>
          <w:i/>
          <w:iCs/>
        </w:rPr>
        <w:t>5</w:t>
      </w:r>
      <w:r w:rsidRPr="00D6074E" w:rsidR="00AF71A9">
        <w:t>) of the Commission’s rules, which require</w:t>
      </w:r>
      <w:r w:rsidR="004D05A7">
        <w:t>s</w:t>
      </w:r>
      <w:r w:rsidRPr="00D6074E" w:rsidR="00AF71A9">
        <w:t xml:space="preserve"> </w:t>
      </w:r>
      <w:r w:rsidR="00AF71A9">
        <w:t>Bond</w:t>
      </w:r>
      <w:r w:rsidRPr="00D6074E" w:rsidR="00AF71A9">
        <w:t xml:space="preserve"> to provide the Commission a copy of each proof of purchase, lease or license agreement for all technology and </w:t>
      </w:r>
      <w:r w:rsidRPr="00D6074E" w:rsidR="00AF71A9">
        <w:t>equipment used to support call center functions.</w:t>
      </w:r>
      <w:r>
        <w:rPr>
          <w:rStyle w:val="FootnoteReference"/>
        </w:rPr>
        <w:footnoteReference w:id="52"/>
      </w:r>
      <w:r w:rsidR="00AF71A9">
        <w:t xml:space="preserve">  </w:t>
      </w:r>
    </w:p>
    <w:p w:rsidR="001D445B" w:rsidP="00AF71A9" w14:paraId="5E84994A" w14:textId="3DA0E662">
      <w:pPr>
        <w:pStyle w:val="ParaNum"/>
      </w:pPr>
      <w:r>
        <w:t xml:space="preserve">Bond has submitted </w:t>
      </w:r>
      <w:r w:rsidRPr="002C3D71">
        <w:t>a copy of a non-binding quote for call center workstations for 25 VRS CAs.</w:t>
      </w:r>
      <w:r>
        <w:rPr>
          <w:rStyle w:val="FootnoteReference"/>
        </w:rPr>
        <w:footnoteReference w:id="53"/>
      </w:r>
      <w:r w:rsidRPr="002C3D71">
        <w:t xml:space="preserve"> </w:t>
      </w:r>
      <w:r w:rsidR="00283E1A">
        <w:t xml:space="preserve"> </w:t>
      </w:r>
      <w:r>
        <w:t xml:space="preserve">Bond states that, </w:t>
      </w:r>
      <w:r w:rsidRPr="002C3D71">
        <w:t xml:space="preserve">as a start-up, </w:t>
      </w:r>
      <w:r>
        <w:t xml:space="preserve">its </w:t>
      </w:r>
      <w:r w:rsidRPr="002C3D71">
        <w:t xml:space="preserve">need for the </w:t>
      </w:r>
      <w:r w:rsidR="00C50A85">
        <w:t xml:space="preserve">CA </w:t>
      </w:r>
      <w:r w:rsidR="00A0385F">
        <w:t xml:space="preserve">work station </w:t>
      </w:r>
      <w:r w:rsidRPr="002C3D71">
        <w:t xml:space="preserve">equipment is contingent on </w:t>
      </w:r>
      <w:r>
        <w:t>obtaining certification to provide TRS-funded VRS.</w:t>
      </w:r>
      <w:r>
        <w:rPr>
          <w:rStyle w:val="FootnoteReference"/>
        </w:rPr>
        <w:footnoteReference w:id="54"/>
      </w:r>
      <w:r>
        <w:t xml:space="preserve">  </w:t>
      </w:r>
      <w:r w:rsidRPr="002C3D71">
        <w:t xml:space="preserve">Bond </w:t>
      </w:r>
      <w:r>
        <w:t xml:space="preserve">states that it </w:t>
      </w:r>
      <w:r w:rsidRPr="002C3D71">
        <w:t xml:space="preserve">intends to finalize and execute a purchase order </w:t>
      </w:r>
      <w:r w:rsidR="001B06FE">
        <w:t xml:space="preserve">for the work station equipment </w:t>
      </w:r>
      <w:r w:rsidRPr="002C3D71">
        <w:t>in accordance with section 64.606(a)(2)(ii)(A)(</w:t>
      </w:r>
      <w:r w:rsidRPr="00DD3091">
        <w:rPr>
          <w:i/>
          <w:iCs/>
        </w:rPr>
        <w:t>5</w:t>
      </w:r>
      <w:r w:rsidRPr="002C3D71">
        <w:t>)</w:t>
      </w:r>
      <w:r>
        <w:t xml:space="preserve"> upon certification</w:t>
      </w:r>
      <w:r w:rsidRPr="002C3D71">
        <w:t>.</w:t>
      </w:r>
      <w:r>
        <w:rPr>
          <w:rStyle w:val="FootnoteReference"/>
        </w:rPr>
        <w:footnoteReference w:id="55"/>
      </w:r>
      <w:r w:rsidR="00956888">
        <w:t xml:space="preserve"> </w:t>
      </w:r>
    </w:p>
    <w:p w:rsidR="00F24B80" w:rsidP="00AF71A9" w14:paraId="78CB5888" w14:textId="09C2C04D">
      <w:pPr>
        <w:pStyle w:val="ParaNum"/>
      </w:pPr>
      <w:r>
        <w:t xml:space="preserve">Regarding </w:t>
      </w:r>
      <w:r w:rsidR="00163AC7">
        <w:t xml:space="preserve">other </w:t>
      </w:r>
      <w:r w:rsidR="003B7C4C">
        <w:t>technology</w:t>
      </w:r>
      <w:r w:rsidR="001140A4">
        <w:t xml:space="preserve"> or equipment</w:t>
      </w:r>
      <w:r w:rsidR="00163AC7">
        <w:t>, Bond states that because it is using its own proprietary technology as the core technology for call center operations, including automatic call distribution (ACD),</w:t>
      </w:r>
      <w:r>
        <w:rPr>
          <w:rStyle w:val="FootnoteReference"/>
        </w:rPr>
        <w:footnoteReference w:id="56"/>
      </w:r>
      <w:r w:rsidR="00163AC7">
        <w:t xml:space="preserve"> there are no relevant agreements for such technology.</w:t>
      </w:r>
      <w:r>
        <w:rPr>
          <w:rStyle w:val="FootnoteReference"/>
        </w:rPr>
        <w:footnoteReference w:id="57"/>
      </w:r>
      <w:r w:rsidR="00163AC7">
        <w:t xml:space="preserve">  </w:t>
      </w:r>
      <w:r w:rsidR="003B7C4C">
        <w:t>Bond adds that</w:t>
      </w:r>
      <w:r w:rsidR="00722B29">
        <w:t>, while</w:t>
      </w:r>
      <w:r w:rsidR="003B7C4C">
        <w:t xml:space="preserve"> </w:t>
      </w:r>
      <w:r w:rsidR="00722B29">
        <w:t xml:space="preserve">its </w:t>
      </w:r>
      <w:r w:rsidR="0097777F">
        <w:t>proprietary</w:t>
      </w:r>
      <w:r w:rsidR="00722B29">
        <w:t xml:space="preserve"> platform “seamlessly integrates with external technology providers’ solutions,” </w:t>
      </w:r>
      <w:r w:rsidR="00B9327F">
        <w:t>it is obtaining such external technology pursuant to each entity’s general terms of service.</w:t>
      </w:r>
      <w:r>
        <w:rPr>
          <w:rStyle w:val="FootnoteReference"/>
        </w:rPr>
        <w:footnoteReference w:id="58"/>
      </w:r>
      <w:r w:rsidR="00722B29">
        <w:t xml:space="preserve"> </w:t>
      </w:r>
    </w:p>
    <w:p w:rsidR="00516DE2" w:rsidP="00292A97" w14:paraId="1DE6D236" w14:textId="73270579">
      <w:pPr>
        <w:pStyle w:val="ParaNum"/>
      </w:pPr>
      <w:r w:rsidRPr="00B63F3F">
        <w:rPr>
          <w:i/>
          <w:iCs/>
        </w:rPr>
        <w:t>Discussion</w:t>
      </w:r>
      <w:r>
        <w:t xml:space="preserve">.  </w:t>
      </w:r>
      <w:r w:rsidRPr="00D6074E" w:rsidR="00D6074E">
        <w:t>We find good cause to grant</w:t>
      </w:r>
      <w:r w:rsidR="008107E2">
        <w:t xml:space="preserve"> </w:t>
      </w:r>
      <w:r w:rsidR="009E4B15">
        <w:t xml:space="preserve">Bond limited </w:t>
      </w:r>
      <w:r w:rsidRPr="00D6074E" w:rsidR="00D6074E">
        <w:t>waiver</w:t>
      </w:r>
      <w:r w:rsidR="00F47F76">
        <w:t>s</w:t>
      </w:r>
      <w:r w:rsidR="008107E2">
        <w:t xml:space="preserve"> of section</w:t>
      </w:r>
      <w:r w:rsidR="009A0236">
        <w:t>s</w:t>
      </w:r>
      <w:r w:rsidR="008107E2">
        <w:t xml:space="preserve"> 64</w:t>
      </w:r>
      <w:r w:rsidR="00F84550">
        <w:t>.</w:t>
      </w:r>
      <w:r w:rsidR="008107E2">
        <w:t>606(a)(2)(ii)(A)(</w:t>
      </w:r>
      <w:r w:rsidR="008107E2">
        <w:rPr>
          <w:i/>
          <w:iCs/>
        </w:rPr>
        <w:t>1</w:t>
      </w:r>
      <w:r w:rsidR="008107E2">
        <w:t>)</w:t>
      </w:r>
      <w:r w:rsidR="00D008F1">
        <w:t xml:space="preserve"> and (</w:t>
      </w:r>
      <w:r w:rsidR="00D008F1">
        <w:rPr>
          <w:i/>
          <w:iCs/>
        </w:rPr>
        <w:t>5</w:t>
      </w:r>
      <w:r w:rsidR="00D008F1">
        <w:t>)</w:t>
      </w:r>
      <w:r w:rsidR="009A0236">
        <w:t xml:space="preserve"> of the Commission’s rules</w:t>
      </w:r>
      <w:bookmarkEnd w:id="5"/>
      <w:r w:rsidR="00CE7158">
        <w:t>.</w:t>
      </w:r>
      <w:r>
        <w:rPr>
          <w:rStyle w:val="FootnoteReference"/>
        </w:rPr>
        <w:footnoteReference w:id="59"/>
      </w:r>
      <w:r w:rsidR="00CE7158">
        <w:t xml:space="preserve">  </w:t>
      </w:r>
      <w:r w:rsidR="00C2725E">
        <w:t>The information submitted persuades us that</w:t>
      </w:r>
      <w:r w:rsidR="00A35022">
        <w:t xml:space="preserve"> </w:t>
      </w:r>
      <w:r w:rsidR="00E87A06">
        <w:t xml:space="preserve">providing all the </w:t>
      </w:r>
      <w:r w:rsidR="00E174B4">
        <w:t xml:space="preserve">required </w:t>
      </w:r>
      <w:r w:rsidR="00E87A06">
        <w:t xml:space="preserve">information in its initial application </w:t>
      </w:r>
      <w:r w:rsidRPr="00B0086A" w:rsidR="00B0086A">
        <w:t xml:space="preserve">would cause a hardship for Bond in that, as a start-up business, it would incur substantial expense to lease </w:t>
      </w:r>
      <w:r w:rsidR="00BE794D">
        <w:t xml:space="preserve">or purchase </w:t>
      </w:r>
      <w:r w:rsidRPr="00B0086A" w:rsidR="00B0086A">
        <w:t xml:space="preserve">facilities and hardware with no certainty as to whether or when the Commission would grant its application.  </w:t>
      </w:r>
      <w:r w:rsidR="00A43BBA">
        <w:t xml:space="preserve">The purpose of these provisions is to enable </w:t>
      </w:r>
      <w:r w:rsidRPr="00CD4CB9" w:rsidR="008F2866">
        <w:t>the Commission to evaluate whether an application “has the full operational and technical capability to operate a call center, in compliance with the Commission's mandatory minimum standards.”</w:t>
      </w:r>
      <w:r>
        <w:rPr>
          <w:rStyle w:val="FootnoteReference"/>
        </w:rPr>
        <w:footnoteReference w:id="60"/>
      </w:r>
      <w:r w:rsidRPr="00CD4CB9" w:rsidR="008F2866">
        <w:t xml:space="preserve">  </w:t>
      </w:r>
      <w:r w:rsidRPr="00A40C5D" w:rsidR="00665C39">
        <w:t xml:space="preserve">Bond has </w:t>
      </w:r>
      <w:r w:rsidR="00665C39">
        <w:t xml:space="preserve">provided reasonable alternative documentation </w:t>
      </w:r>
      <w:r w:rsidRPr="00A40C5D" w:rsidR="00665C39">
        <w:t>show</w:t>
      </w:r>
      <w:r w:rsidR="00665C39">
        <w:t>ing that</w:t>
      </w:r>
      <w:r w:rsidRPr="00A40C5D" w:rsidR="00665C39">
        <w:t xml:space="preserve"> it intends to open a</w:t>
      </w:r>
      <w:r w:rsidR="00665C39">
        <w:t>t least one</w:t>
      </w:r>
      <w:r w:rsidRPr="00A40C5D" w:rsidR="00665C39">
        <w:t xml:space="preserve"> call center and obtain </w:t>
      </w:r>
      <w:r w:rsidRPr="00CD4CB9" w:rsidR="008F2866">
        <w:t xml:space="preserve">work station equipment </w:t>
      </w:r>
      <w:r w:rsidR="00665C39">
        <w:t>for</w:t>
      </w:r>
      <w:r w:rsidRPr="00CD4CB9" w:rsidR="00665C39">
        <w:t xml:space="preserve"> </w:t>
      </w:r>
      <w:r w:rsidRPr="00CD4CB9" w:rsidR="008F2866">
        <w:t>the call center</w:t>
      </w:r>
      <w:r w:rsidRPr="00CD4CB9" w:rsidR="008F2866">
        <w:t>.</w:t>
      </w:r>
      <w:r w:rsidRPr="00A40C5D" w:rsidR="00A40C5D">
        <w:t xml:space="preserve">  </w:t>
      </w:r>
      <w:r w:rsidRPr="00CD4CB9" w:rsidR="008F2866">
        <w:t>Bond</w:t>
      </w:r>
      <w:r w:rsidR="004931B1">
        <w:t xml:space="preserve"> </w:t>
      </w:r>
      <w:r w:rsidR="00924BBF">
        <w:t xml:space="preserve">also </w:t>
      </w:r>
      <w:r w:rsidR="00383E70">
        <w:t xml:space="preserve">sufficiently </w:t>
      </w:r>
      <w:r w:rsidR="00924BBF">
        <w:t xml:space="preserve">describes the technology </w:t>
      </w:r>
      <w:r w:rsidR="00383E70">
        <w:t>that will support</w:t>
      </w:r>
      <w:r w:rsidR="00924BBF">
        <w:t xml:space="preserve"> its call center functions</w:t>
      </w:r>
      <w:r w:rsidR="00383E70">
        <w:t xml:space="preserve"> (</w:t>
      </w:r>
      <w:r w:rsidR="00924BBF">
        <w:t>and</w:t>
      </w:r>
      <w:r w:rsidR="005C01F5">
        <w:t xml:space="preserve"> </w:t>
      </w:r>
      <w:r w:rsidR="00232385">
        <w:t xml:space="preserve">adequately </w:t>
      </w:r>
      <w:r w:rsidR="00C25134">
        <w:t xml:space="preserve">explains </w:t>
      </w:r>
      <w:r w:rsidR="00232385">
        <w:t xml:space="preserve">why there are no relevant </w:t>
      </w:r>
      <w:r w:rsidR="004C5D93">
        <w:t xml:space="preserve">agreements, other than </w:t>
      </w:r>
      <w:r w:rsidR="004B17B0">
        <w:t xml:space="preserve">its cloud-based suppliers’ </w:t>
      </w:r>
      <w:r w:rsidR="004C5D93">
        <w:t>general terms of service</w:t>
      </w:r>
      <w:r w:rsidR="004B17B0">
        <w:t xml:space="preserve">, which are available at the Internet links </w:t>
      </w:r>
      <w:r w:rsidR="004C5D93">
        <w:t>cited in its application</w:t>
      </w:r>
      <w:r w:rsidR="00383E70">
        <w:t>)</w:t>
      </w:r>
      <w:r w:rsidRPr="00CD4CB9" w:rsidR="008F2866">
        <w:t>.</w:t>
      </w:r>
      <w:r>
        <w:rPr>
          <w:rStyle w:val="FootnoteReference"/>
        </w:rPr>
        <w:footnoteReference w:id="61"/>
      </w:r>
      <w:r w:rsidRPr="00CD4CB9" w:rsidR="008F2866">
        <w:t xml:space="preserve"> </w:t>
      </w:r>
      <w:r w:rsidR="008F2866">
        <w:t xml:space="preserve"> </w:t>
      </w:r>
      <w:r w:rsidR="00EC4C1C">
        <w:t>Th</w:t>
      </w:r>
      <w:r w:rsidR="003A4A51">
        <w:t>erefore</w:t>
      </w:r>
      <w:r w:rsidR="00EC4C1C">
        <w:t xml:space="preserve">, it appears that </w:t>
      </w:r>
      <w:r w:rsidRPr="00CD4CB9" w:rsidR="008F2866">
        <w:t>Bond is well-positioned to start VRS operations once it finalizes the lease for the call center and installs the work station equipment</w:t>
      </w:r>
      <w:r w:rsidR="00EC4C1C">
        <w:t>.</w:t>
      </w:r>
      <w:r w:rsidRPr="00D6074E" w:rsidR="00D6074E">
        <w:t xml:space="preserve"> </w:t>
      </w:r>
    </w:p>
    <w:p w:rsidR="00D05FE2" w:rsidP="00292A97" w14:paraId="7FB5EB4A" w14:textId="4C3931D1">
      <w:pPr>
        <w:pStyle w:val="ParaNum"/>
      </w:pPr>
      <w:r>
        <w:t>We also note that</w:t>
      </w:r>
      <w:r w:rsidR="00632EAC">
        <w:t xml:space="preserve"> the</w:t>
      </w:r>
      <w:r w:rsidR="009109FC">
        <w:t xml:space="preserve"> conditional certification </w:t>
      </w:r>
      <w:r>
        <w:t xml:space="preserve">granted herein </w:t>
      </w:r>
      <w:r w:rsidR="00244CEC">
        <w:t xml:space="preserve">withholds full certification pending verification of actual compliance </w:t>
      </w:r>
      <w:r w:rsidR="00832EC6">
        <w:t xml:space="preserve">with </w:t>
      </w:r>
      <w:r w:rsidR="006A405C">
        <w:t>the TRS rules</w:t>
      </w:r>
      <w:r w:rsidR="00E80A1A">
        <w:t>—</w:t>
      </w:r>
      <w:r w:rsidR="007B52F9">
        <w:t xml:space="preserve">including the rule </w:t>
      </w:r>
      <w:r w:rsidR="00463B5B">
        <w:t>requiring</w:t>
      </w:r>
      <w:r w:rsidR="007B52F9">
        <w:t xml:space="preserve"> VRS providers to operate their own call centers</w:t>
      </w:r>
      <w:r w:rsidR="009109FC">
        <w:t>.</w:t>
      </w:r>
      <w:r>
        <w:rPr>
          <w:vertAlign w:val="superscript"/>
        </w:rPr>
        <w:footnoteReference w:id="62"/>
      </w:r>
      <w:r w:rsidR="009F4CA2">
        <w:t xml:space="preserve">  </w:t>
      </w:r>
    </w:p>
    <w:p w:rsidR="00EE3F06" w:rsidP="00292A97" w14:paraId="1F3265B0" w14:textId="7DA6FD31">
      <w:pPr>
        <w:pStyle w:val="ParaNum"/>
      </w:pPr>
      <w:r>
        <w:t xml:space="preserve">In </w:t>
      </w:r>
      <w:r w:rsidR="006A405C">
        <w:t>the</w:t>
      </w:r>
      <w:r w:rsidR="0038454B">
        <w:t>se</w:t>
      </w:r>
      <w:r w:rsidR="006A405C">
        <w:t xml:space="preserve"> </w:t>
      </w:r>
      <w:r>
        <w:t xml:space="preserve">special </w:t>
      </w:r>
      <w:r w:rsidR="006A405C">
        <w:t>circumstances</w:t>
      </w:r>
      <w:r w:rsidR="00DD3C2C">
        <w:t>,</w:t>
      </w:r>
      <w:r w:rsidR="006A405C">
        <w:t xml:space="preserve"> we find </w:t>
      </w:r>
      <w:r w:rsidR="00D337AB">
        <w:t xml:space="preserve">good cause </w:t>
      </w:r>
      <w:r w:rsidR="006A405C">
        <w:t>to</w:t>
      </w:r>
      <w:r w:rsidR="006A405C">
        <w:t xml:space="preserve"> grant </w:t>
      </w:r>
      <w:r w:rsidR="00D51254">
        <w:t>Bond wai</w:t>
      </w:r>
      <w:r w:rsidRPr="00D6074E" w:rsidR="00D6074E">
        <w:t>ver</w:t>
      </w:r>
      <w:r w:rsidR="00702E37">
        <w:t>s</w:t>
      </w:r>
      <w:r w:rsidRPr="00D6074E" w:rsidR="00D6074E">
        <w:t xml:space="preserve"> of section</w:t>
      </w:r>
      <w:r w:rsidR="00376F05">
        <w:t>s</w:t>
      </w:r>
      <w:r w:rsidRPr="00D6074E" w:rsidR="00D6074E">
        <w:t xml:space="preserve"> </w:t>
      </w:r>
      <w:r w:rsidRPr="00D6074E" w:rsidR="00D6074E">
        <w:t>64.606(a)(2)(ii)(A)(</w:t>
      </w:r>
      <w:r w:rsidRPr="00D05FE2" w:rsidR="00D6074E">
        <w:rPr>
          <w:i/>
          <w:iCs/>
        </w:rPr>
        <w:t>1</w:t>
      </w:r>
      <w:r w:rsidRPr="00D6074E" w:rsidR="00D6074E">
        <w:t xml:space="preserve">) </w:t>
      </w:r>
      <w:r w:rsidR="00376F05">
        <w:t>and (</w:t>
      </w:r>
      <w:r w:rsidRPr="00D05FE2" w:rsidR="00376F05">
        <w:rPr>
          <w:i/>
          <w:iCs/>
        </w:rPr>
        <w:t>5</w:t>
      </w:r>
      <w:r w:rsidR="00376F05">
        <w:t>)</w:t>
      </w:r>
      <w:r w:rsidRPr="00D05FE2" w:rsidR="00376F05">
        <w:rPr>
          <w:i/>
          <w:iCs/>
        </w:rPr>
        <w:t xml:space="preserve"> </w:t>
      </w:r>
      <w:r w:rsidRPr="00376F05" w:rsidR="00D6074E">
        <w:t>of</w:t>
      </w:r>
      <w:r w:rsidRPr="00D6074E" w:rsidR="00D6074E">
        <w:t xml:space="preserve"> the Commission’s rules for a limited period of time</w:t>
      </w:r>
      <w:r w:rsidR="00877C0D">
        <w:t>, which shall expire</w:t>
      </w:r>
      <w:r w:rsidR="00F921B5">
        <w:t xml:space="preserve"> </w:t>
      </w:r>
      <w:r w:rsidR="00E75272">
        <w:t>60</w:t>
      </w:r>
      <w:r w:rsidRPr="00D6074E" w:rsidR="00D6074E">
        <w:t xml:space="preserve"> days after the effective date of this Order, </w:t>
      </w:r>
      <w:r w:rsidR="00021433">
        <w:t xml:space="preserve">or on the date Bond </w:t>
      </w:r>
      <w:r w:rsidR="00F912AF">
        <w:t>submits a</w:t>
      </w:r>
      <w:r w:rsidR="00C25BD7">
        <w:t>n initial</w:t>
      </w:r>
      <w:r w:rsidR="00F912AF">
        <w:t xml:space="preserve"> request for </w:t>
      </w:r>
      <w:r w:rsidR="0068428A">
        <w:t>TRS Fund compensation</w:t>
      </w:r>
      <w:r w:rsidR="00021433">
        <w:t>, whichever is earlier</w:t>
      </w:r>
      <w:r w:rsidRPr="00D6074E" w:rsidR="00D6074E">
        <w:t xml:space="preserve">. </w:t>
      </w:r>
      <w:r w:rsidR="008D3998">
        <w:t xml:space="preserve"> </w:t>
      </w:r>
      <w:r w:rsidRPr="00D6074E" w:rsidR="00D6074E">
        <w:t xml:space="preserve">Because </w:t>
      </w:r>
      <w:r w:rsidR="008D3998">
        <w:t>Bond</w:t>
      </w:r>
      <w:r w:rsidRPr="00D6074E" w:rsidR="00D6074E">
        <w:t xml:space="preserve"> has stated that </w:t>
      </w:r>
      <w:r w:rsidR="008D3998">
        <w:t xml:space="preserve">it will finalize and execute the lease </w:t>
      </w:r>
      <w:r w:rsidR="00376F05">
        <w:t xml:space="preserve">and purchase agreement </w:t>
      </w:r>
      <w:r w:rsidRPr="00D6074E" w:rsidR="00D6074E">
        <w:t>“upon certification,</w:t>
      </w:r>
      <w:r w:rsidR="008D3998">
        <w:t>”</w:t>
      </w:r>
      <w:r w:rsidRPr="00D6074E" w:rsidR="00D6074E">
        <w:t xml:space="preserve"> we find that this additional time </w:t>
      </w:r>
      <w:r w:rsidR="0086550A">
        <w:t xml:space="preserve">is </w:t>
      </w:r>
      <w:r w:rsidRPr="00D6074E" w:rsidR="00D6074E">
        <w:t xml:space="preserve">sufficient for </w:t>
      </w:r>
      <w:r w:rsidR="008D3998">
        <w:t xml:space="preserve">Bond </w:t>
      </w:r>
      <w:r w:rsidRPr="00D6074E" w:rsidR="00D6074E">
        <w:t>to finalize and execute a lease</w:t>
      </w:r>
      <w:r w:rsidR="00376F05">
        <w:t xml:space="preserve"> and </w:t>
      </w:r>
      <w:r w:rsidR="00CB3D0F">
        <w:t xml:space="preserve">purchase </w:t>
      </w:r>
      <w:r w:rsidR="00376F05">
        <w:t>equipment</w:t>
      </w:r>
      <w:r w:rsidRPr="00D6074E" w:rsidR="00D6074E">
        <w:t xml:space="preserve"> for its call center.</w:t>
      </w:r>
      <w:r w:rsidR="00090578">
        <w:t xml:space="preserve">  </w:t>
      </w:r>
      <w:r w:rsidR="00C11A98">
        <w:t xml:space="preserve">As </w:t>
      </w:r>
      <w:r w:rsidR="00C5003E">
        <w:t xml:space="preserve">explained </w:t>
      </w:r>
      <w:r w:rsidR="00C11A98">
        <w:t>above,</w:t>
      </w:r>
      <w:r w:rsidR="00C5003E">
        <w:t xml:space="preserve"> as a condition of this certification, </w:t>
      </w:r>
      <w:r w:rsidR="005C2370">
        <w:t>o</w:t>
      </w:r>
      <w:r w:rsidR="00F218C2">
        <w:t xml:space="preserve">n or before the date </w:t>
      </w:r>
      <w:r w:rsidR="000831C6">
        <w:t>of</w:t>
      </w:r>
      <w:r w:rsidR="00F218C2">
        <w:t xml:space="preserve"> expiration of this waiver, </w:t>
      </w:r>
      <w:r w:rsidR="00CE40C2">
        <w:t xml:space="preserve">Bond </w:t>
      </w:r>
      <w:r w:rsidR="00BB75AC">
        <w:t xml:space="preserve">must </w:t>
      </w:r>
      <w:r w:rsidR="00CE40C2">
        <w:t xml:space="preserve">update its application materials </w:t>
      </w:r>
      <w:r w:rsidR="0084715D">
        <w:t xml:space="preserve">to include </w:t>
      </w:r>
      <w:r w:rsidR="000831C6">
        <w:t xml:space="preserve">(1) </w:t>
      </w:r>
      <w:r w:rsidR="00D84154">
        <w:t xml:space="preserve">a </w:t>
      </w:r>
      <w:r w:rsidR="00984AA9">
        <w:t xml:space="preserve">deed or </w:t>
      </w:r>
      <w:r w:rsidR="00D84154">
        <w:t>lease for</w:t>
      </w:r>
      <w:r w:rsidR="00D84154">
        <w:t xml:space="preserve"> </w:t>
      </w:r>
      <w:r w:rsidR="00984AA9">
        <w:t xml:space="preserve">each </w:t>
      </w:r>
      <w:r w:rsidR="00D84154">
        <w:t>call center</w:t>
      </w:r>
      <w:r w:rsidR="00321B70">
        <w:t xml:space="preserve"> it </w:t>
      </w:r>
      <w:r w:rsidR="000831C6">
        <w:t xml:space="preserve">will </w:t>
      </w:r>
      <w:r w:rsidR="00654C7A">
        <w:t>initially operate</w:t>
      </w:r>
      <w:r w:rsidR="00987046">
        <w:t xml:space="preserve"> and (2) </w:t>
      </w:r>
      <w:r w:rsidR="00575DF3">
        <w:t xml:space="preserve">a </w:t>
      </w:r>
      <w:r w:rsidR="00CF7B78">
        <w:t>lease</w:t>
      </w:r>
      <w:r w:rsidR="002A54FE">
        <w:t xml:space="preserve"> or purchase agreement for the equipment supporting such call center(s)</w:t>
      </w:r>
      <w:r w:rsidR="00D84154">
        <w:t>.</w:t>
      </w:r>
      <w:r>
        <w:rPr>
          <w:rStyle w:val="FootnoteReference"/>
        </w:rPr>
        <w:footnoteReference w:id="63"/>
      </w:r>
      <w:r w:rsidR="00D84154">
        <w:t xml:space="preserve"> </w:t>
      </w:r>
    </w:p>
    <w:p w:rsidR="0047396B" w:rsidRPr="00D87E36" w:rsidP="0047396B" w14:paraId="62D14559" w14:textId="77777777">
      <w:pPr>
        <w:keepNext/>
        <w:numPr>
          <w:ilvl w:val="0"/>
          <w:numId w:val="3"/>
        </w:numPr>
        <w:tabs>
          <w:tab w:val="left" w:pos="720"/>
        </w:tabs>
        <w:suppressAutoHyphens/>
        <w:spacing w:after="120"/>
        <w:outlineLvl w:val="0"/>
        <w:rPr>
          <w:b/>
          <w:caps/>
        </w:rPr>
      </w:pPr>
      <w:r w:rsidRPr="00D87E36">
        <w:rPr>
          <w:b/>
          <w:caps/>
        </w:rPr>
        <w:t>Procedural Matters</w:t>
      </w:r>
    </w:p>
    <w:p w:rsidR="0047396B" w:rsidRPr="00275A42" w:rsidP="0047396B" w14:paraId="115E4F09" w14:textId="23C80D82">
      <w:pPr>
        <w:pStyle w:val="ParaNum"/>
      </w:pPr>
      <w:r w:rsidRPr="00275A42">
        <w:rPr>
          <w:i/>
        </w:rPr>
        <w:t>People with Disabilities</w:t>
      </w:r>
      <w:r w:rsidRPr="00275A42">
        <w:t xml:space="preserve">:  To request materials in accessible formats for people with disabilities (Braille, large print, electronic files, audio format), send an e-mail to </w:t>
      </w:r>
      <w:hyperlink r:id="rId6" w:history="1">
        <w:r w:rsidRPr="000B1A98" w:rsidR="00485F7D">
          <w:rPr>
            <w:rStyle w:val="Hyperlink"/>
          </w:rPr>
          <w:t>fcc504@fcc.gov</w:t>
        </w:r>
      </w:hyperlink>
      <w:r w:rsidR="00485F7D">
        <w:t xml:space="preserve"> </w:t>
      </w:r>
      <w:r w:rsidRPr="00275A42">
        <w:t>or call the Consumer &amp; Governmental Affairs Bureau at 202-418-0530 (voice).</w:t>
      </w:r>
    </w:p>
    <w:p w:rsidR="0047396B" w:rsidRPr="00275A42" w:rsidP="0047396B" w14:paraId="6A0ACEBB" w14:textId="4CBAFF3B">
      <w:pPr>
        <w:pStyle w:val="ParaNum"/>
      </w:pPr>
      <w:r w:rsidRPr="00275A42">
        <w:rPr>
          <w:i/>
        </w:rPr>
        <w:t xml:space="preserve">Additional Information.  </w:t>
      </w:r>
      <w:r w:rsidRPr="00275A42">
        <w:t xml:space="preserve">For further information regarding this item, please contact </w:t>
      </w:r>
      <w:r w:rsidR="00886F26">
        <w:t>William Wallace</w:t>
      </w:r>
      <w:r w:rsidRPr="00275A42">
        <w:t>, Disability Rights Office, Consumer and Governmental Affairs Bureau, at 202-418-</w:t>
      </w:r>
      <w:r w:rsidR="00886F26">
        <w:t>2716</w:t>
      </w:r>
      <w:r w:rsidRPr="00275A42">
        <w:t xml:space="preserve"> or by e-mail to </w:t>
      </w:r>
      <w:hyperlink r:id="rId7" w:history="1">
        <w:r w:rsidRPr="00D65F54" w:rsidR="00886F26">
          <w:rPr>
            <w:rStyle w:val="Hyperlink"/>
          </w:rPr>
          <w:t>William.Wallace@fcc.gov</w:t>
        </w:r>
      </w:hyperlink>
      <w:r w:rsidRPr="00275A42">
        <w:t>.</w:t>
      </w:r>
    </w:p>
    <w:p w:rsidR="0047396B" w:rsidRPr="00D87E36" w:rsidP="0047396B" w14:paraId="3BA9BA32" w14:textId="77777777">
      <w:pPr>
        <w:keepNext/>
        <w:numPr>
          <w:ilvl w:val="0"/>
          <w:numId w:val="3"/>
        </w:numPr>
        <w:tabs>
          <w:tab w:val="left" w:pos="720"/>
        </w:tabs>
        <w:suppressAutoHyphens/>
        <w:spacing w:after="120"/>
        <w:outlineLvl w:val="0"/>
        <w:rPr>
          <w:b/>
          <w:caps/>
        </w:rPr>
      </w:pPr>
      <w:r w:rsidRPr="00D87E36">
        <w:rPr>
          <w:b/>
          <w:caps/>
        </w:rPr>
        <w:t>Ordering Clauses</w:t>
      </w:r>
    </w:p>
    <w:p w:rsidR="00E3601A" w:rsidP="0047396B" w14:paraId="381E4AFF" w14:textId="015AF02F">
      <w:pPr>
        <w:pStyle w:val="ParaNum"/>
      </w:pPr>
      <w:r w:rsidRPr="00275A42">
        <w:t>Accordingly, IT IS ORDERED that, pursuant to sections 4(</w:t>
      </w:r>
      <w:r w:rsidRPr="00275A42">
        <w:t>i</w:t>
      </w:r>
      <w:r w:rsidRPr="00275A42">
        <w:t xml:space="preserve">), 4(j), and 225 of the Communications Act of 1934, as amended, 47 U.S.C. §§ </w:t>
      </w:r>
      <w:r w:rsidR="008C2A9D">
        <w:t>1</w:t>
      </w:r>
      <w:r w:rsidRPr="00275A42">
        <w:t>54(</w:t>
      </w:r>
      <w:r w:rsidRPr="00275A42">
        <w:t>i</w:t>
      </w:r>
      <w:r w:rsidRPr="00275A42">
        <w:t xml:space="preserve">), (j), 225, sections 0.141, 0.361, 1.3, and 64.606(b)(2) of the Commission’s rules, 47 CFR §§ 0.141, 0.361, 1.3, 64.606(b)(2), </w:t>
      </w:r>
      <w:r>
        <w:t>this Order IS ADOPTED.</w:t>
      </w:r>
    </w:p>
    <w:p w:rsidR="0047396B" w:rsidRPr="00275A42" w:rsidP="0047396B" w14:paraId="7958D6F8" w14:textId="18BCF239">
      <w:pPr>
        <w:pStyle w:val="ParaNum"/>
      </w:pPr>
      <w:r>
        <w:t>IT IS FURTHER ORDERED that Bond Communications, Inc., is conditional</w:t>
      </w:r>
      <w:r w:rsidR="00272FF9">
        <w:t>ly</w:t>
      </w:r>
      <w:r>
        <w:t xml:space="preserve"> certified </w:t>
      </w:r>
      <w:r w:rsidR="000A624C">
        <w:t xml:space="preserve">to be compensated from the Interstate Telecommunications Relay Services Fund </w:t>
      </w:r>
      <w:r w:rsidR="00C77F20">
        <w:t>for providing</w:t>
      </w:r>
      <w:r w:rsidRPr="00275A42">
        <w:t xml:space="preserve"> </w:t>
      </w:r>
      <w:r w:rsidR="00271185">
        <w:t>V</w:t>
      </w:r>
      <w:r w:rsidR="003B713C">
        <w:t xml:space="preserve">ideo Relay Service </w:t>
      </w:r>
      <w:r w:rsidR="00C77F20">
        <w:t xml:space="preserve">as </w:t>
      </w:r>
      <w:r w:rsidRPr="00275A42">
        <w:t>conditioned in this Order.</w:t>
      </w:r>
    </w:p>
    <w:p w:rsidR="0047396B" w:rsidRPr="00275A42" w:rsidP="0047396B" w14:paraId="603BDAE2" w14:textId="2C0C857F">
      <w:pPr>
        <w:pStyle w:val="ParaNum"/>
      </w:pPr>
      <w:r w:rsidRPr="00275A42">
        <w:t xml:space="preserve">IT IS </w:t>
      </w:r>
      <w:r w:rsidRPr="00105126">
        <w:t>FURTHER</w:t>
      </w:r>
      <w:r w:rsidRPr="00275A42">
        <w:t xml:space="preserve"> ORDERED, that </w:t>
      </w:r>
      <w:r w:rsidR="00271185">
        <w:t>Bond</w:t>
      </w:r>
      <w:r>
        <w:t xml:space="preserve">’s </w:t>
      </w:r>
      <w:r w:rsidRPr="00275A42">
        <w:t>Request for Waiver</w:t>
      </w:r>
      <w:r w:rsidR="00B06128">
        <w:t>s</w:t>
      </w:r>
      <w:r w:rsidRPr="00275A42">
        <w:t xml:space="preserve"> </w:t>
      </w:r>
      <w:r w:rsidR="00D11379">
        <w:t>of sections 64.604(a)(2)(ii)(A)(</w:t>
      </w:r>
      <w:r w:rsidR="00BD3EDB">
        <w:rPr>
          <w:i/>
          <w:iCs/>
        </w:rPr>
        <w:t>1</w:t>
      </w:r>
      <w:r w:rsidR="00D11379">
        <w:t>)</w:t>
      </w:r>
      <w:r w:rsidR="00C77F20">
        <w:t xml:space="preserve"> </w:t>
      </w:r>
      <w:r w:rsidR="00C77F20">
        <w:t xml:space="preserve"> and </w:t>
      </w:r>
      <w:r w:rsidR="00A855F4">
        <w:t>(</w:t>
      </w:r>
      <w:r w:rsidR="00A855F4">
        <w:rPr>
          <w:i/>
          <w:iCs/>
        </w:rPr>
        <w:t>5</w:t>
      </w:r>
      <w:r w:rsidR="00A855F4">
        <w:t>)</w:t>
      </w:r>
      <w:r w:rsidR="00C77F20">
        <w:t xml:space="preserve"> of the Commission’s rules</w:t>
      </w:r>
      <w:r w:rsidR="008F5F7C">
        <w:t>, 47 CFR § 64.604(a)(2)(ii)(A)</w:t>
      </w:r>
      <w:r w:rsidRPr="00C77F20" w:rsidR="00C77F20">
        <w:t>(</w:t>
      </w:r>
      <w:r w:rsidRPr="00C77F20" w:rsidR="00C77F20">
        <w:rPr>
          <w:i/>
          <w:iCs/>
        </w:rPr>
        <w:t>1</w:t>
      </w:r>
      <w:r w:rsidRPr="00C77F20" w:rsidR="00C77F20">
        <w:t>)</w:t>
      </w:r>
      <w:r w:rsidR="00C77F20">
        <w:t>,</w:t>
      </w:r>
      <w:r w:rsidRPr="00C77F20" w:rsidR="00C77F20">
        <w:t xml:space="preserve"> </w:t>
      </w:r>
      <w:r w:rsidR="008F5F7C">
        <w:t>(</w:t>
      </w:r>
      <w:r w:rsidR="008F5F7C">
        <w:rPr>
          <w:i/>
          <w:iCs/>
        </w:rPr>
        <w:t>5</w:t>
      </w:r>
      <w:r w:rsidR="008F5F7C">
        <w:t>),</w:t>
      </w:r>
      <w:r w:rsidR="00A855F4">
        <w:rPr>
          <w:i/>
          <w:iCs/>
        </w:rPr>
        <w:t xml:space="preserve"> </w:t>
      </w:r>
      <w:r w:rsidR="00B06128">
        <w:t>ARE</w:t>
      </w:r>
      <w:r w:rsidRPr="00275A42">
        <w:t xml:space="preserve"> GRANTED</w:t>
      </w:r>
      <w:r w:rsidR="0097397D">
        <w:t>, subject to the conditions herein.</w:t>
      </w:r>
      <w:r w:rsidRPr="00275A42">
        <w:t xml:space="preserve">   </w:t>
      </w:r>
    </w:p>
    <w:p w:rsidR="0047396B" w:rsidP="0047396B" w14:paraId="7348F46E" w14:textId="77777777">
      <w:pPr>
        <w:pStyle w:val="ParaNum"/>
      </w:pPr>
      <w:r w:rsidRPr="00275A42">
        <w:t xml:space="preserve">IT IS FURTHER ORDERED that, pursuant to section 1.102(b)(1) of the </w:t>
      </w:r>
      <w:r w:rsidRPr="00105126">
        <w:t>Commission’s</w:t>
      </w:r>
      <w:r w:rsidRPr="00275A42">
        <w:t xml:space="preserve"> rules, 47 CFR § 1.102(b)(1), this Order SHALL BE EFFECTIVE upon release.</w:t>
      </w:r>
    </w:p>
    <w:p w:rsidR="002975CF" w:rsidRPr="00275A42" w:rsidP="002975CF" w14:paraId="74D49839" w14:textId="77777777">
      <w:pPr>
        <w:pStyle w:val="ParaNum"/>
        <w:numPr>
          <w:ilvl w:val="0"/>
          <w:numId w:val="0"/>
        </w:numPr>
        <w:ind w:left="720"/>
      </w:pPr>
    </w:p>
    <w:p w:rsidR="0047396B" w:rsidRPr="00275A42" w:rsidP="0047396B" w14:paraId="50D6021E" w14:textId="77777777">
      <w:r w:rsidRPr="00275A42">
        <w:tab/>
      </w:r>
      <w:r w:rsidRPr="00275A42">
        <w:tab/>
      </w:r>
      <w:r w:rsidRPr="00275A42">
        <w:tab/>
      </w:r>
      <w:r w:rsidRPr="00275A42">
        <w:tab/>
      </w:r>
      <w:r w:rsidRPr="00275A42">
        <w:tab/>
      </w:r>
      <w:r w:rsidRPr="00275A42">
        <w:tab/>
      </w:r>
      <w:bookmarkStart w:id="8" w:name="_Hlk58583255"/>
      <w:r w:rsidRPr="00275A42">
        <w:t>FEDERAL COMMUNICATIONS COMMISSION</w:t>
      </w:r>
    </w:p>
    <w:p w:rsidR="0047396B" w:rsidRPr="00275A42" w:rsidP="0047396B" w14:paraId="3D1C10F1" w14:textId="77777777"/>
    <w:p w:rsidR="0047396B" w:rsidRPr="00275A42" w:rsidP="0047396B" w14:paraId="78C2B16F" w14:textId="77777777"/>
    <w:p w:rsidR="0047396B" w:rsidRPr="00275A42" w:rsidP="0047396B" w14:paraId="601DDEE4" w14:textId="77777777"/>
    <w:p w:rsidR="0047396B" w:rsidRPr="00275A42" w:rsidP="0047396B" w14:paraId="74FCBC7F" w14:textId="77777777"/>
    <w:p w:rsidR="0047396B" w:rsidRPr="00275A42" w:rsidP="0047396B" w14:paraId="1ED85504" w14:textId="77777777">
      <w:r w:rsidRPr="00275A42">
        <w:tab/>
      </w:r>
      <w:r w:rsidRPr="00275A42">
        <w:tab/>
      </w:r>
      <w:r w:rsidRPr="00275A42">
        <w:tab/>
      </w:r>
      <w:r w:rsidRPr="00275A42">
        <w:tab/>
      </w:r>
      <w:r w:rsidRPr="00275A42">
        <w:tab/>
      </w:r>
      <w:r w:rsidRPr="00275A42">
        <w:tab/>
        <w:t>Alejandro Roark, Chief</w:t>
      </w:r>
    </w:p>
    <w:p w:rsidR="0047396B" w:rsidP="0047396B" w14:paraId="6C423E1C" w14:textId="77777777">
      <w:r w:rsidRPr="00275A42">
        <w:tab/>
      </w:r>
      <w:r w:rsidRPr="00275A42">
        <w:tab/>
      </w:r>
      <w:r w:rsidRPr="00275A42">
        <w:tab/>
      </w:r>
      <w:r w:rsidRPr="00275A42">
        <w:tab/>
      </w:r>
      <w:r w:rsidRPr="00275A42">
        <w:tab/>
      </w:r>
      <w:r w:rsidRPr="00275A42">
        <w:tab/>
        <w:t>Consumer and Governmental Affairs Bureau</w:t>
      </w:r>
      <w:bookmarkEnd w:id="8"/>
    </w:p>
    <w:p w:rsidR="00412FC5" w:rsidP="00357C8E" w14:paraId="4A3DD398" w14:textId="77777777">
      <w:pPr>
        <w:pStyle w:val="Heading1"/>
        <w:numPr>
          <w:ilvl w:val="0"/>
          <w:numId w:val="0"/>
        </w:numPr>
        <w:ind w:left="720"/>
      </w:pPr>
    </w:p>
    <w:sectPr w:rsidSect="00927DF0">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B5B01" w14:paraId="7BE8BA1F" w14:textId="77777777">
      <w:pPr>
        <w:spacing w:line="20" w:lineRule="exact"/>
      </w:pPr>
    </w:p>
  </w:endnote>
  <w:endnote w:type="continuationSeparator" w:id="1">
    <w:p w:rsidR="00DB5B01" w14:paraId="6EE3CFA1" w14:textId="77777777">
      <w:r>
        <w:t xml:space="preserve"> </w:t>
      </w:r>
    </w:p>
  </w:endnote>
  <w:endnote w:type="continuationNotice" w:id="2">
    <w:p w:rsidR="00DB5B01" w14:paraId="29F5379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08B3629C" w14:textId="47D526FC">
    <w:pPr>
      <w:pStyle w:val="Footer"/>
      <w:framePr w:wrap="around" w:vAnchor="text" w:hAnchor="margin" w:xAlign="center" w:y="1"/>
    </w:pPr>
    <w:r>
      <w:fldChar w:fldCharType="begin"/>
    </w:r>
    <w:r>
      <w:instrText xml:space="preserve">PAGE  </w:instrText>
    </w:r>
    <w:r>
      <w:fldChar w:fldCharType="separate"/>
    </w:r>
    <w:r w:rsidR="00814DF9">
      <w:rPr>
        <w:noProof/>
      </w:rPr>
      <w:t>2</w:t>
    </w:r>
    <w:r>
      <w:fldChar w:fldCharType="end"/>
    </w:r>
  </w:p>
  <w:p w:rsidR="00D25FB5" w14:paraId="64DAAE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4A2" w:rsidP="00814DF9" w14:paraId="25E85FBE" w14:textId="785CC5BD">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561B576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5B01" w14:paraId="759095C9" w14:textId="77777777">
      <w:r>
        <w:separator/>
      </w:r>
    </w:p>
  </w:footnote>
  <w:footnote w:type="continuationSeparator" w:id="1">
    <w:p w:rsidR="00DB5B01" w:rsidP="00C721AC" w14:paraId="18F94FC8" w14:textId="77777777">
      <w:pPr>
        <w:spacing w:before="120"/>
        <w:rPr>
          <w:sz w:val="20"/>
        </w:rPr>
      </w:pPr>
      <w:r>
        <w:rPr>
          <w:sz w:val="20"/>
        </w:rPr>
        <w:t xml:space="preserve">(Continued from previous page)  </w:t>
      </w:r>
      <w:r>
        <w:rPr>
          <w:sz w:val="20"/>
        </w:rPr>
        <w:separator/>
      </w:r>
    </w:p>
  </w:footnote>
  <w:footnote w:type="continuationNotice" w:id="2">
    <w:p w:rsidR="00DB5B01" w:rsidP="00C721AC" w14:paraId="6EDE2279" w14:textId="77777777">
      <w:pPr>
        <w:jc w:val="right"/>
        <w:rPr>
          <w:sz w:val="20"/>
        </w:rPr>
      </w:pPr>
      <w:r>
        <w:rPr>
          <w:sz w:val="20"/>
        </w:rPr>
        <w:t>(continued….)</w:t>
      </w:r>
    </w:p>
  </w:footnote>
  <w:footnote w:id="3">
    <w:p w:rsidR="00A809DA" w:rsidP="00C2793C" w14:paraId="08002CEB" w14:textId="01D54CB5">
      <w:pPr>
        <w:pStyle w:val="FootnoteText"/>
      </w:pPr>
      <w:r>
        <w:rPr>
          <w:rStyle w:val="FootnoteReference"/>
        </w:rPr>
        <w:footnoteRef/>
      </w:r>
      <w:r>
        <w:t xml:space="preserve"> </w:t>
      </w:r>
      <w:r>
        <w:rPr>
          <w:i/>
          <w:iCs/>
        </w:rPr>
        <w:t>See</w:t>
      </w:r>
      <w:r>
        <w:t xml:space="preserve"> </w:t>
      </w:r>
      <w:r w:rsidRPr="00C2793C">
        <w:t>Application</w:t>
      </w:r>
      <w:r>
        <w:t xml:space="preserve"> of Bond Communications, Inc., for Certification to Provide Video Relay Service, CG Docket Nos. 03-123 and 10-51 (filed May 28, 2024) (Application)</w:t>
      </w:r>
      <w:r w:rsidR="00293E5E">
        <w:t xml:space="preserve">, </w:t>
      </w:r>
      <w:hyperlink r:id="rId1" w:history="1">
        <w:r w:rsidRPr="000B1A98" w:rsidR="00293E5E">
          <w:rPr>
            <w:rStyle w:val="Hyperlink"/>
          </w:rPr>
          <w:t>https://www.fcc.gov/ecfs/document/10529075858473/1</w:t>
        </w:r>
      </w:hyperlink>
      <w:r w:rsidR="00564DBC">
        <w:t xml:space="preserve">; </w:t>
      </w:r>
      <w:r w:rsidRPr="00564DBC" w:rsidR="00564DBC">
        <w:rPr>
          <w:i/>
          <w:iCs/>
        </w:rPr>
        <w:t xml:space="preserve">see also </w:t>
      </w:r>
      <w:r w:rsidRPr="00564DBC" w:rsidR="00564DBC">
        <w:t>Amendment to Application of Bond Communications, Inc., for Certification to Provide Video Relay Service, CG Docket Nos. 03-123 and 10-51 (filed Sept. 26, 2024) (redacted) (Bond Amendment).</w:t>
      </w:r>
      <w:r>
        <w:t xml:space="preserve">  </w:t>
      </w:r>
      <w:r w:rsidRPr="00221D4C">
        <w:t xml:space="preserve">The TRS Fund compensates eligible providers of Internet-based and interstate TRS for their reasonable costs of providing these services. </w:t>
      </w:r>
      <w:r>
        <w:t xml:space="preserve"> </w:t>
      </w:r>
      <w:r>
        <w:rPr>
          <w:i/>
          <w:iCs/>
        </w:rPr>
        <w:t>See</w:t>
      </w:r>
      <w:r w:rsidRPr="00221D4C">
        <w:t xml:space="preserve"> 47 CFR § 64.604(c)(5)(iii)</w:t>
      </w:r>
      <w:r>
        <w:t>.</w:t>
      </w:r>
    </w:p>
  </w:footnote>
  <w:footnote w:id="4">
    <w:p w:rsidR="00A809DA" w:rsidRPr="00A809DA" w14:paraId="3EB22CC5" w14:textId="6878413F">
      <w:pPr>
        <w:pStyle w:val="FootnoteText"/>
      </w:pPr>
      <w:r>
        <w:rPr>
          <w:rStyle w:val="FootnoteReference"/>
        </w:rPr>
        <w:footnoteRef/>
      </w:r>
      <w:r>
        <w:t xml:space="preserve"> </w:t>
      </w:r>
      <w:r>
        <w:rPr>
          <w:i/>
          <w:iCs/>
        </w:rPr>
        <w:t xml:space="preserve">See </w:t>
      </w:r>
      <w:r>
        <w:t xml:space="preserve">Application at </w:t>
      </w:r>
      <w:r w:rsidR="00BE269B">
        <w:t>25</w:t>
      </w:r>
      <w:r w:rsidR="00B60C29">
        <w:t xml:space="preserve"> (call centers)</w:t>
      </w:r>
      <w:r w:rsidR="00C77F20">
        <w:t>;</w:t>
      </w:r>
      <w:r w:rsidR="003F6364">
        <w:t xml:space="preserve"> </w:t>
      </w:r>
      <w:bookmarkStart w:id="1" w:name="_Hlk183074704"/>
      <w:r w:rsidRPr="00C77F20" w:rsidR="00C77F20">
        <w:rPr>
          <w:i/>
          <w:iCs/>
        </w:rPr>
        <w:t>id</w:t>
      </w:r>
      <w:r w:rsidR="00C77F20">
        <w:t xml:space="preserve">. </w:t>
      </w:r>
      <w:bookmarkEnd w:id="1"/>
      <w:r w:rsidR="00C77F20">
        <w:t xml:space="preserve">at </w:t>
      </w:r>
      <w:r w:rsidR="003F6364">
        <w:t>27-28</w:t>
      </w:r>
      <w:r w:rsidR="00B60C29">
        <w:t xml:space="preserve"> (</w:t>
      </w:r>
      <w:r w:rsidR="003315B6">
        <w:t xml:space="preserve">work station </w:t>
      </w:r>
      <w:r w:rsidR="00B60C29">
        <w:t>equipment).</w:t>
      </w:r>
      <w:r w:rsidR="00F7414F">
        <w:t xml:space="preserve">  </w:t>
      </w:r>
      <w:r w:rsidRPr="00F7414F" w:rsidR="00F7414F">
        <w:t xml:space="preserve">While the </w:t>
      </w:r>
      <w:r w:rsidR="002A0921">
        <w:t xml:space="preserve">Consumer and Governmental Affairs </w:t>
      </w:r>
      <w:r w:rsidRPr="00F7414F" w:rsidR="00F7414F">
        <w:t>Bureau</w:t>
      </w:r>
      <w:r w:rsidR="002A0921">
        <w:t xml:space="preserve"> (Bureau)</w:t>
      </w:r>
      <w:r w:rsidRPr="00F7414F" w:rsidR="00F7414F">
        <w:t xml:space="preserve"> ordinarily announces certification decisions by Public Notice, we elect to issue this decision as an Order because we also are addressing the applicant’s associated waiver request</w:t>
      </w:r>
      <w:r w:rsidR="00B84A58">
        <w:t>s</w:t>
      </w:r>
      <w:r w:rsidRPr="00F7414F" w:rsidR="00F7414F">
        <w:t>.</w:t>
      </w:r>
      <w:r w:rsidR="00652BE1">
        <w:t xml:space="preserve"> </w:t>
      </w:r>
      <w:r w:rsidRPr="00F7414F" w:rsidR="00F7414F">
        <w:t xml:space="preserve"> We deem this Order to constitute conditional certification that </w:t>
      </w:r>
      <w:r w:rsidR="00CA45D0">
        <w:t>Bond</w:t>
      </w:r>
      <w:r w:rsidRPr="00F7414F" w:rsidR="00F7414F">
        <w:t xml:space="preserve"> is eligible for compensation from the Interstate TRS Fund in accordance with section 64.606(b)(2) of the Commission’s rules for VRS. </w:t>
      </w:r>
      <w:r w:rsidR="00652BE1">
        <w:t xml:space="preserve"> </w:t>
      </w:r>
      <w:r w:rsidRPr="00F7414F" w:rsidR="00F7414F">
        <w:t>47 CFR § 64.606(b)(2).</w:t>
      </w:r>
    </w:p>
  </w:footnote>
  <w:footnote w:id="5">
    <w:p w:rsidR="001D2F0C" w:rsidP="001D2F0C" w14:paraId="52483F18" w14:textId="10D5CBD7">
      <w:pPr>
        <w:pStyle w:val="FootnoteText"/>
      </w:pPr>
      <w:r>
        <w:rPr>
          <w:rStyle w:val="FootnoteReference"/>
        </w:rPr>
        <w:footnoteRef/>
      </w:r>
      <w:r>
        <w:t xml:space="preserve"> </w:t>
      </w:r>
      <w:r w:rsidRPr="006A3316">
        <w:t xml:space="preserve">VRS uses a broadband Internet connection between the VRS user and the communications assistant (CA) to enable a person using American Sign Language to communicate over video with another party through </w:t>
      </w:r>
      <w:r>
        <w:t xml:space="preserve">the </w:t>
      </w:r>
      <w:r w:rsidRPr="006A3316">
        <w:t>CA.</w:t>
      </w:r>
      <w:r>
        <w:t xml:space="preserve"> </w:t>
      </w:r>
      <w:r w:rsidRPr="006A3316">
        <w:t xml:space="preserve"> During a VRS call, the CA relays the communications between the two parties, signing what the other party says to the deaf or hard of hearing user and responding in voice to the other party to the call.</w:t>
      </w:r>
      <w:r>
        <w:t xml:space="preserve"> </w:t>
      </w:r>
      <w:r w:rsidRPr="006A3316">
        <w:t xml:space="preserve"> </w:t>
      </w:r>
      <w:r>
        <w:rPr>
          <w:i/>
          <w:iCs/>
        </w:rPr>
        <w:t xml:space="preserve">See </w:t>
      </w:r>
      <w:r w:rsidRPr="00C77F20" w:rsidR="00C77F20">
        <w:rPr>
          <w:i/>
          <w:iCs/>
        </w:rPr>
        <w:t>id</w:t>
      </w:r>
      <w:r w:rsidRPr="00C77F20" w:rsidR="00C77F20">
        <w:t xml:space="preserve">. </w:t>
      </w:r>
      <w:r>
        <w:t>§ 64.601(a)(</w:t>
      </w:r>
      <w:r w:rsidR="00D57638">
        <w:t>53</w:t>
      </w:r>
      <w:r>
        <w:t>).</w:t>
      </w:r>
    </w:p>
  </w:footnote>
  <w:footnote w:id="6">
    <w:p w:rsidR="00FC6FCF" w:rsidRPr="00FC6FCF" w14:paraId="7AD94123" w14:textId="74F9B67E">
      <w:pPr>
        <w:pStyle w:val="FootnoteText"/>
      </w:pPr>
      <w:r>
        <w:rPr>
          <w:rStyle w:val="FootnoteReference"/>
        </w:rPr>
        <w:footnoteRef/>
      </w:r>
      <w:r>
        <w:t xml:space="preserve"> </w:t>
      </w:r>
      <w:r w:rsidR="00C77F20">
        <w:rPr>
          <w:i/>
          <w:iCs/>
        </w:rPr>
        <w:t>I</w:t>
      </w:r>
      <w:r w:rsidRPr="00C77F20" w:rsidR="00C77F20">
        <w:rPr>
          <w:i/>
          <w:iCs/>
        </w:rPr>
        <w:t>d</w:t>
      </w:r>
      <w:r w:rsidRPr="00C77F20" w:rsidR="00C77F20">
        <w:t xml:space="preserve">. </w:t>
      </w:r>
      <w:r w:rsidR="00652BE1">
        <w:t>§ 64.606</w:t>
      </w:r>
      <w:r w:rsidR="007272AD">
        <w:t xml:space="preserve">; </w:t>
      </w:r>
      <w:r w:rsidRPr="007272AD" w:rsidR="007272AD">
        <w:rPr>
          <w:i/>
          <w:iCs/>
        </w:rPr>
        <w:t>Structure and Practices of the Video Relay Service Program</w:t>
      </w:r>
      <w:r w:rsidRPr="007272AD" w:rsidR="007272AD">
        <w:t xml:space="preserve">, </w:t>
      </w:r>
      <w:r w:rsidR="007272AD">
        <w:t>CG Docket No</w:t>
      </w:r>
      <w:r w:rsidR="008122E6">
        <w:t xml:space="preserve">. </w:t>
      </w:r>
      <w:r w:rsidR="007272AD">
        <w:t xml:space="preserve">10-51, </w:t>
      </w:r>
      <w:r w:rsidRPr="007272AD" w:rsidR="007272AD">
        <w:t xml:space="preserve">Second Report and Order, 26 FCC </w:t>
      </w:r>
      <w:r w:rsidRPr="007272AD" w:rsidR="007272AD">
        <w:t>Rcd</w:t>
      </w:r>
      <w:r w:rsidRPr="007272AD" w:rsidR="007272AD">
        <w:t xml:space="preserve"> 10898, 10902-0</w:t>
      </w:r>
      <w:r w:rsidR="003536C2">
        <w:t>4</w:t>
      </w:r>
      <w:r w:rsidRPr="007272AD" w:rsidR="007272AD">
        <w:t>, paras. 8-</w:t>
      </w:r>
      <w:r w:rsidR="003536C2">
        <w:t>10</w:t>
      </w:r>
      <w:r w:rsidRPr="007272AD" w:rsidR="007272AD">
        <w:t xml:space="preserve"> (2011) (</w:t>
      </w:r>
      <w:r w:rsidRPr="00472796" w:rsidR="007272AD">
        <w:rPr>
          <w:i/>
          <w:iCs/>
        </w:rPr>
        <w:t>2011 Internet-based TRS Certification Order</w:t>
      </w:r>
      <w:r w:rsidRPr="007272AD" w:rsidR="007272AD">
        <w:t>).</w:t>
      </w:r>
    </w:p>
  </w:footnote>
  <w:footnote w:id="7">
    <w:p w:rsidR="00221D4C" w14:paraId="4360F202" w14:textId="26EF2190">
      <w:pPr>
        <w:pStyle w:val="FootnoteText"/>
      </w:pPr>
      <w:r>
        <w:rPr>
          <w:rStyle w:val="FootnoteReference"/>
        </w:rPr>
        <w:footnoteRef/>
      </w:r>
      <w:r>
        <w:t xml:space="preserve"> </w:t>
      </w:r>
      <w:r w:rsidRPr="007A639F" w:rsidR="007A639F">
        <w:t xml:space="preserve">47 CFR § 64.606(b)(2); </w:t>
      </w:r>
      <w:r w:rsidRPr="007A639F" w:rsidR="007A639F">
        <w:rPr>
          <w:i/>
          <w:iCs/>
        </w:rPr>
        <w:t>2011 Internet-based TRS Certification Order</w:t>
      </w:r>
      <w:r w:rsidRPr="007A639F" w:rsidR="007A639F">
        <w:t xml:space="preserve">, 26 FCC </w:t>
      </w:r>
      <w:r w:rsidRPr="007A639F" w:rsidR="007A639F">
        <w:t>Rcd</w:t>
      </w:r>
      <w:r w:rsidRPr="007A639F" w:rsidR="007A639F">
        <w:t xml:space="preserve"> at 10909-13, paras. 23-34; </w:t>
      </w:r>
      <w:r w:rsidRPr="003A2744" w:rsidR="007A639F">
        <w:rPr>
          <w:i/>
          <w:iCs/>
        </w:rPr>
        <w:t xml:space="preserve">see also Structure and Practices of the Video Relay </w:t>
      </w:r>
      <w:r w:rsidRPr="0089776D" w:rsidR="007A639F">
        <w:rPr>
          <w:i/>
          <w:iCs/>
        </w:rPr>
        <w:t>Service</w:t>
      </w:r>
      <w:r w:rsidRPr="003A2744" w:rsidR="007A639F">
        <w:rPr>
          <w:i/>
          <w:iCs/>
        </w:rPr>
        <w:t xml:space="preserve"> Program et al.,</w:t>
      </w:r>
      <w:r w:rsidRPr="007A639F" w:rsidR="007A639F">
        <w:t xml:space="preserve"> CG Docket Nos. 10-51 et al., Memorandum Opinion and Order, Order, and Further Notice of Proposed Rulemaking, 26 FCC </w:t>
      </w:r>
      <w:r w:rsidRPr="007A639F" w:rsidR="007A639F">
        <w:t>Rcd</w:t>
      </w:r>
      <w:r w:rsidRPr="007A639F" w:rsidR="007A639F">
        <w:t xml:space="preserve"> 14895 (2011) (clarifying and modifying TRS certification requirements).</w:t>
      </w:r>
    </w:p>
  </w:footnote>
  <w:footnote w:id="8">
    <w:p w:rsidR="00221D4C" w14:paraId="31FEF188" w14:textId="2C3069AB">
      <w:pPr>
        <w:pStyle w:val="FootnoteText"/>
      </w:pPr>
      <w:r>
        <w:rPr>
          <w:rStyle w:val="FootnoteReference"/>
        </w:rPr>
        <w:footnoteRef/>
      </w:r>
      <w:r>
        <w:t xml:space="preserve"> </w:t>
      </w:r>
      <w:r w:rsidRPr="006E7BAF" w:rsidR="001473E4">
        <w:rPr>
          <w:i/>
          <w:iCs/>
        </w:rPr>
        <w:t>2011 Internet-based</w:t>
      </w:r>
      <w:r w:rsidR="006E7BAF">
        <w:rPr>
          <w:i/>
          <w:iCs/>
        </w:rPr>
        <w:t xml:space="preserve"> </w:t>
      </w:r>
      <w:r w:rsidRPr="006E7BAF" w:rsidR="001473E4">
        <w:rPr>
          <w:i/>
          <w:iCs/>
        </w:rPr>
        <w:t>TRS Certification Order</w:t>
      </w:r>
      <w:r w:rsidRPr="001473E4" w:rsidR="001473E4">
        <w:t xml:space="preserve">, 26 FCC </w:t>
      </w:r>
      <w:r w:rsidRPr="001473E4" w:rsidR="001473E4">
        <w:t>Rcd</w:t>
      </w:r>
      <w:r w:rsidRPr="001473E4" w:rsidR="001473E4">
        <w:t xml:space="preserve"> at 10914-15, para. 37.</w:t>
      </w:r>
    </w:p>
  </w:footnote>
  <w:footnote w:id="9">
    <w:p w:rsidR="00221D4C" w14:paraId="5FF88958" w14:textId="7AE2F249">
      <w:pPr>
        <w:pStyle w:val="FootnoteText"/>
      </w:pPr>
      <w:r>
        <w:rPr>
          <w:rStyle w:val="FootnoteReference"/>
        </w:rPr>
        <w:footnoteRef/>
      </w:r>
      <w:r>
        <w:t xml:space="preserve"> </w:t>
      </w:r>
      <w:r w:rsidR="006E7BAF">
        <w:t>47 CFR § 64.606(g).</w:t>
      </w:r>
    </w:p>
  </w:footnote>
  <w:footnote w:id="10">
    <w:p w:rsidR="00221D4C" w:rsidRPr="00870E0F" w14:paraId="4FD9D277" w14:textId="55026046">
      <w:pPr>
        <w:pStyle w:val="FootnoteText"/>
      </w:pPr>
      <w:r>
        <w:rPr>
          <w:rStyle w:val="FootnoteReference"/>
        </w:rPr>
        <w:footnoteRef/>
      </w:r>
      <w:r>
        <w:t xml:space="preserve"> </w:t>
      </w:r>
      <w:r w:rsidR="00870E0F">
        <w:rPr>
          <w:i/>
          <w:iCs/>
        </w:rPr>
        <w:t>Id.</w:t>
      </w:r>
      <w:r w:rsidR="00870E0F">
        <w:t xml:space="preserve"> § 64.604(c)(13).</w:t>
      </w:r>
    </w:p>
  </w:footnote>
  <w:footnote w:id="11">
    <w:p w:rsidR="00CF2D53" w14:paraId="4861FC36" w14:textId="604C89D9">
      <w:pPr>
        <w:pStyle w:val="FootnoteText"/>
      </w:pPr>
      <w:r>
        <w:rPr>
          <w:rStyle w:val="FootnoteReference"/>
        </w:rPr>
        <w:footnoteRef/>
      </w:r>
      <w:r>
        <w:t xml:space="preserve"> </w:t>
      </w:r>
      <w:r w:rsidR="00453EEC">
        <w:rPr>
          <w:i/>
          <w:iCs/>
        </w:rPr>
        <w:t xml:space="preserve">See </w:t>
      </w:r>
      <w:r w:rsidRPr="00453EEC" w:rsidR="00453EEC">
        <w:t>Application at 1</w:t>
      </w:r>
      <w:r w:rsidR="00453EEC">
        <w:t>, 25</w:t>
      </w:r>
      <w:r w:rsidR="00AE4E2B">
        <w:t>, 27-28</w:t>
      </w:r>
      <w:r w:rsidRPr="00453EEC" w:rsidR="00453EEC">
        <w:t xml:space="preserve">; </w:t>
      </w:r>
      <w:r w:rsidR="00453EEC">
        <w:rPr>
          <w:i/>
          <w:iCs/>
        </w:rPr>
        <w:t>see</w:t>
      </w:r>
      <w:r w:rsidRPr="00453EEC" w:rsidR="00453EEC">
        <w:t xml:space="preserve"> 47 CFR § 64.606(a)(2)(ii)(A)</w:t>
      </w:r>
      <w:r w:rsidR="00AE4E2B">
        <w:t>(</w:t>
      </w:r>
      <w:r w:rsidR="00AE4E2B">
        <w:rPr>
          <w:i/>
          <w:iCs/>
        </w:rPr>
        <w:t>1</w:t>
      </w:r>
      <w:r w:rsidR="00AE4E2B">
        <w:t>), (</w:t>
      </w:r>
      <w:r w:rsidR="00AE4E2B">
        <w:rPr>
          <w:i/>
          <w:iCs/>
        </w:rPr>
        <w:t>5</w:t>
      </w:r>
      <w:r w:rsidR="00AE4E2B">
        <w:t>)</w:t>
      </w:r>
      <w:r w:rsidRPr="00453EEC" w:rsidR="00453EEC">
        <w:t>.</w:t>
      </w:r>
      <w:r w:rsidR="006A3316">
        <w:t xml:space="preserve">  </w:t>
      </w:r>
    </w:p>
  </w:footnote>
  <w:footnote w:id="12">
    <w:p w:rsidR="00E93E12" w:rsidRPr="00B1062F" w14:paraId="764AD38A" w14:textId="2D32360C">
      <w:pPr>
        <w:pStyle w:val="FootnoteText"/>
      </w:pPr>
      <w:r>
        <w:rPr>
          <w:rStyle w:val="FootnoteReference"/>
        </w:rPr>
        <w:footnoteRef/>
      </w:r>
      <w:r>
        <w:t xml:space="preserve"> </w:t>
      </w:r>
      <w:r>
        <w:rPr>
          <w:i/>
          <w:iCs/>
        </w:rPr>
        <w:t xml:space="preserve">See </w:t>
      </w:r>
      <w:r w:rsidR="00B1062F">
        <w:rPr>
          <w:i/>
          <w:iCs/>
        </w:rPr>
        <w:t xml:space="preserve">Comment Sought on Application of Bond Communications, Inc., for Certification to Provide Video Relay Service, </w:t>
      </w:r>
      <w:r w:rsidR="00B1062F">
        <w:t>CG Docket Nos. 03-123 and 10-51, Public Notice, DA 24-</w:t>
      </w:r>
      <w:r w:rsidR="00EB6A8D">
        <w:t>729 (July 29, 2024).</w:t>
      </w:r>
    </w:p>
  </w:footnote>
  <w:footnote w:id="13">
    <w:p w:rsidR="003B01DE" w:rsidRPr="003B01DE" w14:paraId="0DFB58DD" w14:textId="376605F7">
      <w:pPr>
        <w:pStyle w:val="FootnoteText"/>
      </w:pPr>
      <w:r>
        <w:rPr>
          <w:rStyle w:val="FootnoteReference"/>
        </w:rPr>
        <w:footnoteRef/>
      </w:r>
      <w:r>
        <w:t xml:space="preserve"> </w:t>
      </w:r>
      <w:r>
        <w:rPr>
          <w:i/>
          <w:iCs/>
        </w:rPr>
        <w:t>See</w:t>
      </w:r>
      <w:r>
        <w:t xml:space="preserve"> Shelley Abdilah</w:t>
      </w:r>
      <w:r w:rsidR="00F163AB">
        <w:t xml:space="preserve">, Express Comment (Aug. 16, 2024); </w:t>
      </w:r>
      <w:r w:rsidR="005518C1">
        <w:t>Norma Moran &amp; Franklin Torres, Express Comment (</w:t>
      </w:r>
      <w:r w:rsidR="00D928E2">
        <w:t xml:space="preserve">Aug. 20, 2024); </w:t>
      </w:r>
      <w:r w:rsidR="00C82561">
        <w:t>Danielle Keller, Express Comment (Aug. 28, 2024)</w:t>
      </w:r>
      <w:r w:rsidR="004704C7">
        <w:t>; Gabrielle Beaumont, Express Comment (Aug. 2</w:t>
      </w:r>
      <w:r w:rsidR="00FF2086">
        <w:t>7, 2024).</w:t>
      </w:r>
    </w:p>
  </w:footnote>
  <w:footnote w:id="14">
    <w:p w:rsidR="000657EA" w14:paraId="68FEE8DC" w14:textId="25A4DE6A">
      <w:pPr>
        <w:pStyle w:val="FootnoteText"/>
      </w:pPr>
      <w:r>
        <w:rPr>
          <w:rStyle w:val="FootnoteReference"/>
        </w:rPr>
        <w:footnoteRef/>
      </w:r>
      <w:r>
        <w:t xml:space="preserve"> </w:t>
      </w:r>
      <w:r w:rsidRPr="00753B4D" w:rsidR="00753B4D">
        <w:rPr>
          <w:i/>
          <w:iCs/>
        </w:rPr>
        <w:t>2011 Internet-based TRS Certification Order</w:t>
      </w:r>
      <w:r w:rsidRPr="00753B4D" w:rsidR="00753B4D">
        <w:t xml:space="preserve">, 26 FCC </w:t>
      </w:r>
      <w:r w:rsidRPr="00753B4D" w:rsidR="00753B4D">
        <w:t>Rcd</w:t>
      </w:r>
      <w:r w:rsidRPr="00753B4D" w:rsidR="00753B4D">
        <w:t xml:space="preserve"> at 10914-15, para. 37.</w:t>
      </w:r>
    </w:p>
  </w:footnote>
  <w:footnote w:id="15">
    <w:p w:rsidR="00753B4D" w:rsidRPr="00753B4D" w14:paraId="35663000" w14:textId="7A06D3AC">
      <w:pPr>
        <w:pStyle w:val="FootnoteText"/>
        <w:rPr>
          <w:i/>
          <w:iCs/>
        </w:rPr>
      </w:pPr>
      <w:r>
        <w:rPr>
          <w:rStyle w:val="FootnoteReference"/>
        </w:rPr>
        <w:footnoteRef/>
      </w:r>
      <w:r>
        <w:t xml:space="preserve"> </w:t>
      </w:r>
      <w:r>
        <w:rPr>
          <w:i/>
          <w:iCs/>
        </w:rPr>
        <w:t>Id.</w:t>
      </w:r>
    </w:p>
  </w:footnote>
  <w:footnote w:id="16">
    <w:p w:rsidR="00C25100" w14:paraId="671D297A" w14:textId="39C67C44">
      <w:pPr>
        <w:pStyle w:val="FootnoteText"/>
      </w:pPr>
      <w:r>
        <w:rPr>
          <w:rStyle w:val="FootnoteReference"/>
        </w:rPr>
        <w:footnoteRef/>
      </w:r>
      <w:r>
        <w:t xml:space="preserve"> </w:t>
      </w:r>
      <w:r w:rsidRPr="00684CE4" w:rsidR="00684CE4">
        <w:rPr>
          <w:i/>
          <w:iCs/>
        </w:rPr>
        <w:t>See</w:t>
      </w:r>
      <w:r w:rsidR="00684CE4">
        <w:t xml:space="preserve"> </w:t>
      </w:r>
      <w:r w:rsidRPr="00684CE4" w:rsidR="00684CE4">
        <w:t>47 CFR § 64.606(a)(2)</w:t>
      </w:r>
      <w:r w:rsidR="00684CE4">
        <w:t>.</w:t>
      </w:r>
    </w:p>
  </w:footnote>
  <w:footnote w:id="17">
    <w:p w:rsidR="003025E0" w:rsidRPr="00426EEA" w14:paraId="37B32F3E" w14:textId="2021F6D8">
      <w:pPr>
        <w:pStyle w:val="FootnoteText"/>
      </w:pPr>
      <w:r>
        <w:rPr>
          <w:rStyle w:val="FootnoteReference"/>
        </w:rPr>
        <w:footnoteRef/>
      </w:r>
      <w:r>
        <w:t xml:space="preserve"> </w:t>
      </w:r>
      <w:r w:rsidR="00426EEA">
        <w:t>Application at 4.</w:t>
      </w:r>
    </w:p>
  </w:footnote>
  <w:footnote w:id="18">
    <w:p w:rsidR="003025E0" w:rsidRPr="00D26516" w14:paraId="4BC49EB8" w14:textId="315C2934">
      <w:pPr>
        <w:pStyle w:val="FootnoteText"/>
      </w:pPr>
      <w:r>
        <w:rPr>
          <w:rStyle w:val="FootnoteReference"/>
        </w:rPr>
        <w:footnoteRef/>
      </w:r>
      <w:r w:rsidR="00D26516">
        <w:t xml:space="preserve"> </w:t>
      </w:r>
      <w:r w:rsidRPr="00AB49E5" w:rsidR="00AB49E5">
        <w:rPr>
          <w:i/>
          <w:iCs/>
        </w:rPr>
        <w:t>Id</w:t>
      </w:r>
      <w:r w:rsidR="00AB49E5">
        <w:t>.</w:t>
      </w:r>
      <w:r w:rsidR="00D26516">
        <w:rPr>
          <w:i/>
          <w:iCs/>
        </w:rPr>
        <w:t xml:space="preserve"> </w:t>
      </w:r>
      <w:r w:rsidR="00D26516">
        <w:t xml:space="preserve">at </w:t>
      </w:r>
      <w:r w:rsidR="002B1288">
        <w:t>5-</w:t>
      </w:r>
      <w:r w:rsidR="00D23A1C">
        <w:t>24</w:t>
      </w:r>
      <w:r w:rsidR="002B1288">
        <w:t>.</w:t>
      </w:r>
      <w:r w:rsidRPr="00D23A1C" w:rsidR="00D23A1C">
        <w:t xml:space="preserve"> </w:t>
      </w:r>
      <w:r w:rsidR="00D23A1C">
        <w:t xml:space="preserve">   </w:t>
      </w:r>
    </w:p>
  </w:footnote>
  <w:footnote w:id="19">
    <w:p w:rsidR="003025E0" w:rsidRPr="00712A02" w14:paraId="36AB34B5" w14:textId="69F8619D">
      <w:pPr>
        <w:pStyle w:val="FootnoteText"/>
      </w:pPr>
      <w:r>
        <w:rPr>
          <w:rStyle w:val="FootnoteReference"/>
        </w:rPr>
        <w:footnoteRef/>
      </w:r>
      <w:r>
        <w:t xml:space="preserve"> </w:t>
      </w:r>
      <w:r w:rsidRPr="003D5509" w:rsidR="003D5509">
        <w:rPr>
          <w:i/>
          <w:iCs/>
        </w:rPr>
        <w:t>Id</w:t>
      </w:r>
      <w:r w:rsidR="003D5509">
        <w:t>.</w:t>
      </w:r>
      <w:r w:rsidR="00712A02">
        <w:t xml:space="preserve"> at 25-2</w:t>
      </w:r>
      <w:r w:rsidR="00572F00">
        <w:t>8</w:t>
      </w:r>
      <w:r w:rsidR="00712A02">
        <w:t>.</w:t>
      </w:r>
    </w:p>
  </w:footnote>
  <w:footnote w:id="20">
    <w:p w:rsidR="002D66AA" w:rsidRPr="00572F00" w14:paraId="79B34C82" w14:textId="0A6A04ED">
      <w:pPr>
        <w:pStyle w:val="FootnoteText"/>
      </w:pPr>
      <w:r>
        <w:rPr>
          <w:rStyle w:val="FootnoteReference"/>
        </w:rPr>
        <w:footnoteRef/>
      </w:r>
      <w:r>
        <w:t xml:space="preserve"> </w:t>
      </w:r>
      <w:r w:rsidRPr="003D5509" w:rsidR="003D5509">
        <w:rPr>
          <w:i/>
          <w:iCs/>
        </w:rPr>
        <w:t>Id</w:t>
      </w:r>
      <w:r w:rsidR="003D5509">
        <w:t>.</w:t>
      </w:r>
      <w:r w:rsidR="00572F00">
        <w:rPr>
          <w:i/>
          <w:iCs/>
        </w:rPr>
        <w:t xml:space="preserve"> </w:t>
      </w:r>
      <w:r w:rsidR="00572F00">
        <w:t xml:space="preserve">at </w:t>
      </w:r>
      <w:r w:rsidR="000F76E3">
        <w:t>2</w:t>
      </w:r>
      <w:r w:rsidR="00A53124">
        <w:t>8</w:t>
      </w:r>
      <w:r w:rsidR="000F76E3">
        <w:t>-29.</w:t>
      </w:r>
    </w:p>
  </w:footnote>
  <w:footnote w:id="21">
    <w:p w:rsidR="002D66AA" w:rsidRPr="00721E9D" w14:paraId="391BC57F" w14:textId="0A6E17F3">
      <w:pPr>
        <w:pStyle w:val="FootnoteText"/>
      </w:pPr>
      <w:r>
        <w:rPr>
          <w:rStyle w:val="FootnoteReference"/>
        </w:rPr>
        <w:footnoteRef/>
      </w:r>
      <w:r>
        <w:t xml:space="preserve"> </w:t>
      </w:r>
      <w:r w:rsidRPr="003D5509" w:rsidR="003D5509">
        <w:rPr>
          <w:i/>
          <w:iCs/>
        </w:rPr>
        <w:t>Id</w:t>
      </w:r>
      <w:r w:rsidR="003D5509">
        <w:t>.</w:t>
      </w:r>
      <w:r w:rsidR="00721E9D">
        <w:rPr>
          <w:i/>
          <w:iCs/>
        </w:rPr>
        <w:t xml:space="preserve"> </w:t>
      </w:r>
      <w:r w:rsidR="00721E9D">
        <w:t xml:space="preserve">at </w:t>
      </w:r>
      <w:r w:rsidR="000F76E3">
        <w:t>30.</w:t>
      </w:r>
    </w:p>
  </w:footnote>
  <w:footnote w:id="22">
    <w:p w:rsidR="00DF67A5" w:rsidP="00DF67A5" w14:paraId="240FB0C7" w14:textId="75589496">
      <w:pPr>
        <w:pStyle w:val="FootnoteText"/>
      </w:pPr>
      <w:r>
        <w:rPr>
          <w:rStyle w:val="FootnoteReference"/>
        </w:rPr>
        <w:footnoteRef/>
      </w:r>
      <w:r>
        <w:t xml:space="preserve"> Bond Amendment.</w:t>
      </w:r>
      <w:r w:rsidRPr="00306414" w:rsidR="00306414">
        <w:rPr>
          <w:snapToGrid w:val="0"/>
          <w:kern w:val="28"/>
          <w:sz w:val="22"/>
        </w:rPr>
        <w:t xml:space="preserve"> </w:t>
      </w:r>
      <w:r w:rsidR="00306414">
        <w:rPr>
          <w:snapToGrid w:val="0"/>
          <w:kern w:val="28"/>
          <w:sz w:val="22"/>
        </w:rPr>
        <w:t xml:space="preserve"> </w:t>
      </w:r>
      <w:r w:rsidRPr="00306414" w:rsidR="00306414">
        <w:t xml:space="preserve">Bond has identified no current sponsorship arrangements.  </w:t>
      </w:r>
      <w:r w:rsidRPr="00306414" w:rsidR="00306414">
        <w:rPr>
          <w:i/>
          <w:iCs/>
        </w:rPr>
        <w:t xml:space="preserve">See </w:t>
      </w:r>
      <w:r w:rsidRPr="00306414" w:rsidR="00306414">
        <w:t>47 CFR § 64.606(a)(2)(ii)(E).</w:t>
      </w:r>
    </w:p>
  </w:footnote>
  <w:footnote w:id="23">
    <w:p w:rsidR="002D66AA" w:rsidRPr="000F76E3" w14:paraId="3A02E0F7" w14:textId="6B4314A6">
      <w:pPr>
        <w:pStyle w:val="FootnoteText"/>
      </w:pPr>
      <w:r>
        <w:rPr>
          <w:rStyle w:val="FootnoteReference"/>
        </w:rPr>
        <w:footnoteRef/>
      </w:r>
      <w:r>
        <w:t xml:space="preserve"> </w:t>
      </w:r>
      <w:r w:rsidR="00F719DC">
        <w:t>Application</w:t>
      </w:r>
      <w:r w:rsidR="000F76E3">
        <w:rPr>
          <w:i/>
          <w:iCs/>
        </w:rPr>
        <w:t xml:space="preserve"> </w:t>
      </w:r>
      <w:r w:rsidR="000F76E3">
        <w:t>at 31-32.</w:t>
      </w:r>
    </w:p>
  </w:footnote>
  <w:footnote w:id="24">
    <w:p w:rsidR="002D66AA" w:rsidRPr="003F7F39" w14:paraId="44B58F99" w14:textId="7A491E56">
      <w:pPr>
        <w:pStyle w:val="FootnoteText"/>
      </w:pPr>
      <w:r>
        <w:rPr>
          <w:rStyle w:val="FootnoteReference"/>
        </w:rPr>
        <w:footnoteRef/>
      </w:r>
      <w:r>
        <w:t xml:space="preserve"> </w:t>
      </w:r>
      <w:bookmarkStart w:id="2" w:name="_Hlk183074787"/>
      <w:r w:rsidRPr="003D5509" w:rsidR="003D5509">
        <w:rPr>
          <w:i/>
          <w:iCs/>
        </w:rPr>
        <w:t>Id</w:t>
      </w:r>
      <w:r w:rsidR="003D5509">
        <w:t>.</w:t>
      </w:r>
      <w:r w:rsidR="003F7F39">
        <w:t xml:space="preserve"> </w:t>
      </w:r>
      <w:bookmarkEnd w:id="2"/>
      <w:r w:rsidR="003F7F39">
        <w:t>at 32.</w:t>
      </w:r>
    </w:p>
  </w:footnote>
  <w:footnote w:id="25">
    <w:p w:rsidR="002D66AA" w:rsidRPr="00B65EE1" w14:paraId="7833DAF6" w14:textId="2ADAF33D">
      <w:pPr>
        <w:pStyle w:val="FootnoteText"/>
      </w:pPr>
      <w:r>
        <w:rPr>
          <w:rStyle w:val="FootnoteReference"/>
        </w:rPr>
        <w:footnoteRef/>
      </w:r>
      <w:r>
        <w:t xml:space="preserve"> </w:t>
      </w:r>
      <w:r w:rsidRPr="00C77F20" w:rsidR="00C77F20">
        <w:rPr>
          <w:i/>
          <w:iCs/>
        </w:rPr>
        <w:t>Id</w:t>
      </w:r>
      <w:r w:rsidRPr="00C77F20" w:rsidR="00C77F20">
        <w:t>.</w:t>
      </w:r>
      <w:r w:rsidR="00214D7A">
        <w:rPr>
          <w:i/>
          <w:iCs/>
        </w:rPr>
        <w:t xml:space="preserve">, </w:t>
      </w:r>
      <w:r w:rsidR="00214D7A">
        <w:t>Ex. 1</w:t>
      </w:r>
      <w:r w:rsidR="009F7825">
        <w:t>; Bond Amendment</w:t>
      </w:r>
      <w:r w:rsidR="00214D7A">
        <w:t>.</w:t>
      </w:r>
      <w:r w:rsidR="00DC7C58">
        <w:t xml:space="preserve">  </w:t>
      </w:r>
    </w:p>
  </w:footnote>
  <w:footnote w:id="26">
    <w:p w:rsidR="00072042" w:rsidRPr="002E4467" w14:paraId="4A8F6394" w14:textId="2CB2418E">
      <w:pPr>
        <w:pStyle w:val="FootnoteText"/>
      </w:pPr>
      <w:r>
        <w:rPr>
          <w:rStyle w:val="FootnoteReference"/>
        </w:rPr>
        <w:footnoteRef/>
      </w:r>
      <w:r>
        <w:t xml:space="preserve"> </w:t>
      </w:r>
      <w:r w:rsidRPr="00B770EA" w:rsidR="00B770EA">
        <w:t xml:space="preserve">47 CFR § 64.621. </w:t>
      </w:r>
      <w:r w:rsidR="00D82891">
        <w:t xml:space="preserve"> </w:t>
      </w:r>
      <w:r w:rsidRPr="00B770EA" w:rsidR="00B770EA">
        <w:t>Among other requirements, VRS providers must ensure that all VRS users and hearing point-to</w:t>
      </w:r>
      <w:r w:rsidR="00B770EA">
        <w:t>-</w:t>
      </w:r>
      <w:r w:rsidRPr="00B770EA" w:rsidR="00B770EA">
        <w:t>point video users can place a VRS or point-to-point video call through any of the VRS providers’ services, and that calls can be received from and placed to any VRS or hearing point-to-point video user.</w:t>
      </w:r>
      <w:r w:rsidR="00D82891">
        <w:t xml:space="preserve"> </w:t>
      </w:r>
      <w:r w:rsidRPr="00B770EA" w:rsidR="00B770EA">
        <w:t xml:space="preserve"> </w:t>
      </w:r>
      <w:r w:rsidRPr="00C77F20" w:rsidR="00C77F20">
        <w:rPr>
          <w:i/>
          <w:iCs/>
        </w:rPr>
        <w:t>Id</w:t>
      </w:r>
      <w:r w:rsidRPr="00C77F20" w:rsidR="00C77F20">
        <w:t xml:space="preserve">. </w:t>
      </w:r>
      <w:r w:rsidRPr="00B770EA" w:rsidR="00B770EA">
        <w:t>§ 64.621(a)(1)</w:t>
      </w:r>
      <w:r w:rsidR="00FB76C9">
        <w:t>.</w:t>
      </w:r>
    </w:p>
  </w:footnote>
  <w:footnote w:id="27">
    <w:p w:rsidR="00167BC9" w:rsidRPr="00DE6D6E" w14:paraId="53947B0E" w14:textId="773D02FA">
      <w:pPr>
        <w:pStyle w:val="FootnoteText"/>
      </w:pPr>
      <w:r>
        <w:rPr>
          <w:rStyle w:val="FootnoteReference"/>
        </w:rPr>
        <w:footnoteRef/>
      </w:r>
      <w:r>
        <w:t xml:space="preserve"> </w:t>
      </w:r>
      <w:r w:rsidR="00DE6D6E">
        <w:t>Application at 23.</w:t>
      </w:r>
    </w:p>
  </w:footnote>
  <w:footnote w:id="28">
    <w:p w:rsidR="00167BC9" w:rsidRPr="00F719DC" w14:paraId="7DF95758" w14:textId="4A940CB6">
      <w:pPr>
        <w:pStyle w:val="FootnoteText"/>
      </w:pPr>
      <w:r>
        <w:rPr>
          <w:rStyle w:val="FootnoteReference"/>
        </w:rPr>
        <w:footnoteRef/>
      </w:r>
      <w:r>
        <w:t xml:space="preserve"> </w:t>
      </w:r>
      <w:r w:rsidRPr="009B401C" w:rsidR="009B401C">
        <w:rPr>
          <w:i/>
          <w:iCs/>
        </w:rPr>
        <w:t>Id</w:t>
      </w:r>
      <w:r w:rsidR="00F719DC">
        <w:t>.</w:t>
      </w:r>
    </w:p>
  </w:footnote>
  <w:footnote w:id="29">
    <w:p w:rsidR="009979D2" w:rsidRPr="00240A6B" w:rsidP="009979D2" w14:paraId="31BBF3E8" w14:textId="77777777">
      <w:pPr>
        <w:pStyle w:val="FootnoteText"/>
        <w:rPr>
          <w:i/>
          <w:iCs/>
        </w:rPr>
      </w:pPr>
      <w:r>
        <w:rPr>
          <w:rStyle w:val="FootnoteReference"/>
        </w:rPr>
        <w:footnoteRef/>
      </w:r>
      <w:r>
        <w:t xml:space="preserve"> </w:t>
      </w:r>
      <w:r>
        <w:rPr>
          <w:i/>
          <w:iCs/>
        </w:rPr>
        <w:t>Cf. Telecommunications Relay Services and Speech-to-Speech Services for Individuals with Hearing and Speech Disabilities</w:t>
      </w:r>
      <w:r w:rsidRPr="003A034C">
        <w:t>;</w:t>
      </w:r>
      <w:r>
        <w:rPr>
          <w:i/>
          <w:iCs/>
        </w:rPr>
        <w:t xml:space="preserve"> </w:t>
      </w:r>
      <w:r w:rsidRPr="009B7F32">
        <w:rPr>
          <w:i/>
          <w:iCs/>
        </w:rPr>
        <w:t>Structure and Practices of the Video Relay Service. Program</w:t>
      </w:r>
      <w:r w:rsidRPr="009B7F32">
        <w:t>, CG Docket Nos. 03-123</w:t>
      </w:r>
      <w:r>
        <w:t xml:space="preserve"> and </w:t>
      </w:r>
      <w:r w:rsidRPr="009B7F32">
        <w:t xml:space="preserve">10-51, </w:t>
      </w:r>
      <w:r>
        <w:t xml:space="preserve">Order, 38 FCC </w:t>
      </w:r>
      <w:r>
        <w:t>Rcd</w:t>
      </w:r>
      <w:r>
        <w:t xml:space="preserve"> 9731, 9734-35,</w:t>
      </w:r>
      <w:r w:rsidRPr="009B7F32">
        <w:t xml:space="preserve"> </w:t>
      </w:r>
      <w:r>
        <w:t>paras.</w:t>
      </w:r>
      <w:r w:rsidRPr="009B7F32">
        <w:t xml:space="preserve"> </w:t>
      </w:r>
      <w:r>
        <w:t xml:space="preserve">9-13 (CGB </w:t>
      </w:r>
      <w:r w:rsidRPr="009B7F32">
        <w:t>2023)</w:t>
      </w:r>
      <w:r>
        <w:t xml:space="preserve"> (</w:t>
      </w:r>
      <w:r>
        <w:rPr>
          <w:i/>
          <w:iCs/>
        </w:rPr>
        <w:t>Tive</w:t>
      </w:r>
      <w:r>
        <w:rPr>
          <w:i/>
          <w:iCs/>
        </w:rPr>
        <w:t xml:space="preserve"> VRS Certification Order</w:t>
      </w:r>
      <w:r>
        <w:t>) (addressing questions raised in comments regarding applicant’s proposed VRS operations).</w:t>
      </w:r>
    </w:p>
  </w:footnote>
  <w:footnote w:id="30">
    <w:p w:rsidR="009979D2" w:rsidRPr="0037024B" w:rsidP="009979D2" w14:paraId="1288D3BD" w14:textId="77777777">
      <w:pPr>
        <w:pStyle w:val="FootnoteText"/>
        <w:rPr>
          <w:b/>
          <w:bCs/>
        </w:rPr>
      </w:pPr>
      <w:r>
        <w:rPr>
          <w:rStyle w:val="FootnoteReference"/>
        </w:rPr>
        <w:footnoteRef/>
      </w:r>
      <w:r>
        <w:t xml:space="preserve"> </w:t>
      </w:r>
      <w:r>
        <w:rPr>
          <w:i/>
          <w:iCs/>
        </w:rPr>
        <w:t>See</w:t>
      </w:r>
      <w:r>
        <w:t xml:space="preserve"> Application at 2-4 (“</w:t>
      </w:r>
      <w:r w:rsidRPr="0037024B">
        <w:t>Bond is committed to meeting the communication needs of deaf children through a child</w:t>
      </w:r>
      <w:r>
        <w:t>-</w:t>
      </w:r>
      <w:r w:rsidRPr="0037024B">
        <w:t>friendly VRS.</w:t>
      </w:r>
      <w:r>
        <w:t>”).</w:t>
      </w:r>
    </w:p>
  </w:footnote>
  <w:footnote w:id="31">
    <w:p w:rsidR="00571E46" w14:paraId="6BA318E3" w14:textId="3210F8F5">
      <w:pPr>
        <w:pStyle w:val="FootnoteText"/>
      </w:pPr>
      <w:r>
        <w:rPr>
          <w:rStyle w:val="FootnoteReference"/>
        </w:rPr>
        <w:footnoteRef/>
      </w:r>
      <w:r>
        <w:t xml:space="preserve"> </w:t>
      </w:r>
      <w:r>
        <w:rPr>
          <w:i/>
          <w:iCs/>
        </w:rPr>
        <w:t>See</w:t>
      </w:r>
      <w:r w:rsidRPr="00571E46">
        <w:t xml:space="preserve"> 47 CFR § 64.606(b)(2)</w:t>
      </w:r>
      <w:r>
        <w:t>.</w:t>
      </w:r>
    </w:p>
  </w:footnote>
  <w:footnote w:id="32">
    <w:p w:rsidR="008E0353" w14:paraId="0DB13765" w14:textId="5DC21B99">
      <w:pPr>
        <w:pStyle w:val="FootnoteText"/>
      </w:pPr>
      <w:r>
        <w:rPr>
          <w:rStyle w:val="FootnoteReference"/>
        </w:rPr>
        <w:footnoteRef/>
      </w:r>
      <w:r>
        <w:t xml:space="preserve"> Application at </w:t>
      </w:r>
      <w:r w:rsidR="009F4194">
        <w:t>25-26 (“</w:t>
      </w:r>
      <w:r w:rsidRPr="009F4194" w:rsidR="009F4194">
        <w:t>Central to Bond’s approach is the Company’s decision to develop its own proprietary, customizable VRS platform that seamlessly integrates with external technology providers’</w:t>
      </w:r>
      <w:r w:rsidR="009F4194">
        <w:t xml:space="preserve"> </w:t>
      </w:r>
      <w:r w:rsidRPr="009F4194" w:rsidR="009F4194">
        <w:t>solutions.</w:t>
      </w:r>
      <w:r w:rsidR="009F4194">
        <w:t>”).</w:t>
      </w:r>
    </w:p>
  </w:footnote>
  <w:footnote w:id="33">
    <w:p w:rsidR="009F4194" w14:paraId="58415BC1" w14:textId="10AEDEBA">
      <w:pPr>
        <w:pStyle w:val="FootnoteText"/>
      </w:pPr>
      <w:r>
        <w:rPr>
          <w:rStyle w:val="FootnoteReference"/>
        </w:rPr>
        <w:footnoteRef/>
      </w:r>
      <w:r>
        <w:t xml:space="preserve"> </w:t>
      </w:r>
      <w:r w:rsidRPr="003A385E" w:rsidR="003A385E">
        <w:rPr>
          <w:i/>
          <w:iCs/>
        </w:rPr>
        <w:t>See</w:t>
      </w:r>
      <w:r w:rsidR="003A385E">
        <w:t xml:space="preserve"> </w:t>
      </w:r>
      <w:bookmarkStart w:id="3" w:name="_Hlk183074861"/>
      <w:r w:rsidR="00C77F20">
        <w:rPr>
          <w:i/>
          <w:iCs/>
        </w:rPr>
        <w:t>i</w:t>
      </w:r>
      <w:r w:rsidRPr="00C77F20" w:rsidR="00C77F20">
        <w:rPr>
          <w:i/>
          <w:iCs/>
        </w:rPr>
        <w:t>d</w:t>
      </w:r>
      <w:r w:rsidRPr="00C77F20" w:rsidR="00C77F20">
        <w:t xml:space="preserve">. </w:t>
      </w:r>
      <w:bookmarkEnd w:id="3"/>
      <w:r>
        <w:t>at 25 &amp; Ex. 3</w:t>
      </w:r>
      <w:r w:rsidR="00C77F20">
        <w:t xml:space="preserve">; </w:t>
      </w:r>
      <w:r w:rsidRPr="00C77F20" w:rsidR="00C77F20">
        <w:rPr>
          <w:i/>
          <w:iCs/>
        </w:rPr>
        <w:t>id</w:t>
      </w:r>
      <w:r w:rsidRPr="00C77F20" w:rsidR="00C77F20">
        <w:t xml:space="preserve">. </w:t>
      </w:r>
      <w:r w:rsidR="00C77F20">
        <w:t>at</w:t>
      </w:r>
      <w:r w:rsidR="00427DDA">
        <w:t xml:space="preserve"> 27-28 &amp; Ex. 4</w:t>
      </w:r>
      <w:r w:rsidR="00B42645">
        <w:t xml:space="preserve">; </w:t>
      </w:r>
      <w:r w:rsidRPr="003A385E" w:rsidR="003A385E">
        <w:rPr>
          <w:i/>
          <w:iCs/>
        </w:rPr>
        <w:t>infra</w:t>
      </w:r>
      <w:r w:rsidR="003A385E">
        <w:t xml:space="preserve"> Part IV</w:t>
      </w:r>
      <w:r w:rsidR="00427DDA">
        <w:t>.</w:t>
      </w:r>
    </w:p>
  </w:footnote>
  <w:footnote w:id="34">
    <w:p w:rsidR="00571E46" w:rsidRPr="00F02091" w14:paraId="08EF2FCE" w14:textId="2AB95518">
      <w:pPr>
        <w:pStyle w:val="FootnoteText"/>
      </w:pPr>
      <w:r>
        <w:rPr>
          <w:rStyle w:val="FootnoteReference"/>
        </w:rPr>
        <w:footnoteRef/>
      </w:r>
      <w:r>
        <w:t xml:space="preserve"> </w:t>
      </w:r>
      <w:r w:rsidRPr="005A6298" w:rsidR="005A6298">
        <w:rPr>
          <w:i/>
          <w:iCs/>
        </w:rPr>
        <w:t>See 2011 Internet-based TRS Certification Order</w:t>
      </w:r>
      <w:r w:rsidRPr="005A6298" w:rsidR="005A6298">
        <w:t xml:space="preserve">, 26 FCC </w:t>
      </w:r>
      <w:r w:rsidRPr="005A6298" w:rsidR="005A6298">
        <w:t>Rcd</w:t>
      </w:r>
      <w:r w:rsidRPr="005A6298" w:rsidR="005A6298">
        <w:t xml:space="preserve"> at 10914-15, para. 37.</w:t>
      </w:r>
      <w:r w:rsidR="002C0710">
        <w:t xml:space="preserve">  </w:t>
      </w:r>
    </w:p>
  </w:footnote>
  <w:footnote w:id="35">
    <w:p w:rsidR="00FC1FD3" w:rsidRPr="006270A3" w14:paraId="392C378A" w14:textId="029E9971">
      <w:pPr>
        <w:pStyle w:val="FootnoteText"/>
      </w:pPr>
      <w:r>
        <w:rPr>
          <w:rStyle w:val="FootnoteReference"/>
        </w:rPr>
        <w:footnoteRef/>
      </w:r>
      <w:r>
        <w:t xml:space="preserve"> </w:t>
      </w:r>
      <w:r w:rsidR="006270A3">
        <w:rPr>
          <w:i/>
          <w:iCs/>
        </w:rPr>
        <w:t xml:space="preserve">See </w:t>
      </w:r>
      <w:r w:rsidR="006270A3">
        <w:t>47 CFR § 64.604(c)(1).</w:t>
      </w:r>
    </w:p>
  </w:footnote>
  <w:footnote w:id="36">
    <w:p w:rsidR="00FC1FD3" w14:paraId="01245F1B" w14:textId="17FB6C00">
      <w:pPr>
        <w:pStyle w:val="FootnoteText"/>
      </w:pPr>
      <w:r>
        <w:rPr>
          <w:rStyle w:val="FootnoteReference"/>
        </w:rPr>
        <w:footnoteRef/>
      </w:r>
      <w:r>
        <w:t xml:space="preserve"> </w:t>
      </w:r>
      <w:r w:rsidRPr="008E0522" w:rsidR="008E0522">
        <w:t xml:space="preserve">The first report shall specify the date of </w:t>
      </w:r>
      <w:r w:rsidR="008E0522">
        <w:t>Bond</w:t>
      </w:r>
      <w:r w:rsidRPr="008E0522" w:rsidR="008E0522">
        <w:t xml:space="preserve">’s first TRS Fund-supported call using VRS as its commencement of service date for VRS. </w:t>
      </w:r>
      <w:r w:rsidR="008E0522">
        <w:t xml:space="preserve"> </w:t>
      </w:r>
      <w:r w:rsidRPr="008E0522" w:rsidR="008E0522">
        <w:t xml:space="preserve">For example, if </w:t>
      </w:r>
      <w:r w:rsidR="008E0522">
        <w:t>Bond</w:t>
      </w:r>
      <w:r w:rsidRPr="008E0522" w:rsidR="008E0522">
        <w:t xml:space="preserve"> begins service on November 15, 202</w:t>
      </w:r>
      <w:r w:rsidR="008E0522">
        <w:t>4</w:t>
      </w:r>
      <w:r w:rsidRPr="008E0522" w:rsidR="008E0522">
        <w:t>, the first report shall be due on January 31, 202</w:t>
      </w:r>
      <w:r w:rsidR="008E0522">
        <w:t>5</w:t>
      </w:r>
      <w:r w:rsidRPr="008E0522" w:rsidR="008E0522">
        <w:t>, and cover the period from November 15, 202</w:t>
      </w:r>
      <w:r w:rsidR="008E0522">
        <w:t>4</w:t>
      </w:r>
      <w:r w:rsidRPr="008E0522" w:rsidR="008E0522">
        <w:t>, through December 31, 202</w:t>
      </w:r>
      <w:r w:rsidR="008E0522">
        <w:t>4</w:t>
      </w:r>
      <w:r w:rsidRPr="008E0522" w:rsidR="008E0522">
        <w:t>.</w:t>
      </w:r>
      <w:r w:rsidR="00C8308A">
        <w:t xml:space="preserve"> </w:t>
      </w:r>
      <w:r w:rsidRPr="008E0522" w:rsidR="008E0522">
        <w:t xml:space="preserve"> If </w:t>
      </w:r>
      <w:r w:rsidR="00C8308A">
        <w:t>Bond</w:t>
      </w:r>
      <w:r w:rsidRPr="008E0522" w:rsidR="008E0522">
        <w:t xml:space="preserve"> commences service on December 15, 2023, the first report shall be due on April 30, 202</w:t>
      </w:r>
      <w:r w:rsidR="00C8308A">
        <w:t>5</w:t>
      </w:r>
      <w:r w:rsidRPr="008E0522" w:rsidR="008E0522">
        <w:t>, and cover the period from December 15, 202</w:t>
      </w:r>
      <w:r w:rsidR="00C8308A">
        <w:t>4</w:t>
      </w:r>
      <w:r w:rsidRPr="008E0522" w:rsidR="008E0522">
        <w:t xml:space="preserve"> through March 31, 202</w:t>
      </w:r>
      <w:r w:rsidR="00C8308A">
        <w:t>5</w:t>
      </w:r>
      <w:r w:rsidRPr="008E0522" w:rsidR="008E0522">
        <w:t>.</w:t>
      </w:r>
    </w:p>
  </w:footnote>
  <w:footnote w:id="37">
    <w:p w:rsidR="00021DF3" w:rsidRPr="00970EE4" w:rsidP="00021DF3" w14:paraId="6B7DE24D" w14:textId="08492208">
      <w:pPr>
        <w:pStyle w:val="FootnoteText"/>
      </w:pPr>
      <w:r>
        <w:rPr>
          <w:rStyle w:val="FootnoteReference"/>
        </w:rPr>
        <w:footnoteRef/>
      </w:r>
      <w:r>
        <w:t xml:space="preserve"> 47 CFR § 64.606(a)(2)(ii)(A)(</w:t>
      </w:r>
      <w:r>
        <w:rPr>
          <w:i/>
          <w:iCs/>
        </w:rPr>
        <w:t>1</w:t>
      </w:r>
      <w:r>
        <w:t>), (</w:t>
      </w:r>
      <w:r w:rsidRPr="00983E66">
        <w:rPr>
          <w:i/>
          <w:iCs/>
        </w:rPr>
        <w:t>5</w:t>
      </w:r>
      <w:r>
        <w:t>).</w:t>
      </w:r>
    </w:p>
  </w:footnote>
  <w:footnote w:id="38">
    <w:p w:rsidR="0090597A" w14:paraId="51D4F511" w14:textId="6DE937E8">
      <w:pPr>
        <w:pStyle w:val="FootnoteText"/>
      </w:pPr>
      <w:r>
        <w:rPr>
          <w:rStyle w:val="FootnoteReference"/>
        </w:rPr>
        <w:footnoteRef/>
      </w:r>
      <w:r>
        <w:t xml:space="preserve"> </w:t>
      </w:r>
      <w:r w:rsidRPr="0054296D" w:rsidR="0054296D">
        <w:rPr>
          <w:i/>
          <w:iCs/>
        </w:rPr>
        <w:t xml:space="preserve">See Internet-based TRS </w:t>
      </w:r>
      <w:r w:rsidRPr="00131AE9" w:rsidR="0054296D">
        <w:rPr>
          <w:i/>
          <w:iCs/>
        </w:rPr>
        <w:t>Certification</w:t>
      </w:r>
      <w:r w:rsidRPr="0098282A" w:rsidR="0054296D">
        <w:rPr>
          <w:i/>
          <w:iCs/>
        </w:rPr>
        <w:t xml:space="preserve"> </w:t>
      </w:r>
      <w:r w:rsidRPr="0054296D" w:rsidR="0054296D">
        <w:rPr>
          <w:i/>
          <w:iCs/>
        </w:rPr>
        <w:t>Order</w:t>
      </w:r>
      <w:r w:rsidRPr="0054296D" w:rsidR="0054296D">
        <w:t xml:space="preserve">, 26 FCC </w:t>
      </w:r>
      <w:r w:rsidRPr="0054296D" w:rsidR="0054296D">
        <w:t>Rcd</w:t>
      </w:r>
      <w:r w:rsidRPr="0054296D" w:rsidR="0054296D">
        <w:t xml:space="preserve"> at 109</w:t>
      </w:r>
      <w:r w:rsidR="004B6192">
        <w:t>1</w:t>
      </w:r>
      <w:r w:rsidR="00FF6236">
        <w:t>3</w:t>
      </w:r>
      <w:r w:rsidRPr="0054296D" w:rsidR="0054296D">
        <w:t xml:space="preserve">, para. </w:t>
      </w:r>
      <w:r w:rsidR="000E5F50">
        <w:t>3</w:t>
      </w:r>
      <w:r w:rsidR="00FF6236">
        <w:t>3</w:t>
      </w:r>
      <w:r w:rsidRPr="0054296D" w:rsidR="0054296D">
        <w:t>.</w:t>
      </w:r>
    </w:p>
  </w:footnote>
  <w:footnote w:id="39">
    <w:p w:rsidR="0090597A" w14:paraId="4CB34766" w14:textId="1807B577">
      <w:pPr>
        <w:pStyle w:val="FootnoteText"/>
      </w:pPr>
      <w:r>
        <w:rPr>
          <w:rStyle w:val="FootnoteReference"/>
        </w:rPr>
        <w:footnoteRef/>
      </w:r>
      <w:r>
        <w:t xml:space="preserve"> </w:t>
      </w:r>
      <w:r w:rsidRPr="00C11B37" w:rsidR="00C11B37">
        <w:rPr>
          <w:i/>
          <w:iCs/>
        </w:rPr>
        <w:t>See</w:t>
      </w:r>
      <w:r w:rsidRPr="00C11B37" w:rsidR="00C11B37">
        <w:t xml:space="preserve"> 47 CFR § 64.606(e)(2)</w:t>
      </w:r>
      <w:r w:rsidR="00C11B37">
        <w:t>.</w:t>
      </w:r>
    </w:p>
  </w:footnote>
  <w:footnote w:id="40">
    <w:p w:rsidR="00F51D44" w:rsidRPr="00F51D44" w14:paraId="52C3D7EE" w14:textId="0D5D4BCD">
      <w:pPr>
        <w:pStyle w:val="FootnoteText"/>
      </w:pPr>
      <w:r>
        <w:rPr>
          <w:rStyle w:val="FootnoteReference"/>
        </w:rPr>
        <w:footnoteRef/>
      </w:r>
      <w:r>
        <w:t xml:space="preserve"> </w:t>
      </w:r>
      <w:r>
        <w:rPr>
          <w:i/>
          <w:iCs/>
        </w:rPr>
        <w:t>See Internet-based TRS Certification Order</w:t>
      </w:r>
      <w:r>
        <w:t xml:space="preserve">, 26 FCC </w:t>
      </w:r>
      <w:r>
        <w:t>Rcd</w:t>
      </w:r>
      <w:r>
        <w:t xml:space="preserve"> at </w:t>
      </w:r>
      <w:r w:rsidR="006D661B">
        <w:t>10914, para</w:t>
      </w:r>
      <w:r w:rsidR="005A18E3">
        <w:t>s</w:t>
      </w:r>
      <w:r w:rsidR="006D661B">
        <w:t xml:space="preserve">. </w:t>
      </w:r>
      <w:r w:rsidR="005A18E3">
        <w:t>35-</w:t>
      </w:r>
      <w:r w:rsidR="006D661B">
        <w:t>36.</w:t>
      </w:r>
    </w:p>
  </w:footnote>
  <w:footnote w:id="41">
    <w:p w:rsidR="00FA66B4" w:rsidRPr="00536DF9" w14:paraId="004C0B83" w14:textId="5606998E">
      <w:pPr>
        <w:pStyle w:val="FootnoteText"/>
        <w:rPr>
          <w:i/>
          <w:iCs/>
        </w:rPr>
      </w:pPr>
      <w:r>
        <w:rPr>
          <w:rStyle w:val="FootnoteReference"/>
        </w:rPr>
        <w:footnoteRef/>
      </w:r>
      <w:r>
        <w:t xml:space="preserve"> </w:t>
      </w:r>
      <w:r w:rsidRPr="00C11B37" w:rsidR="00C11B37">
        <w:rPr>
          <w:i/>
          <w:iCs/>
        </w:rPr>
        <w:t>See</w:t>
      </w:r>
      <w:r w:rsidRPr="00C11B37" w:rsidR="00C11B37">
        <w:t xml:space="preserve"> </w:t>
      </w:r>
      <w:r w:rsidRPr="00C77F20" w:rsidR="00C77F20">
        <w:rPr>
          <w:i/>
          <w:iCs/>
        </w:rPr>
        <w:t xml:space="preserve">id. </w:t>
      </w:r>
      <w:r w:rsidRPr="00C11B37" w:rsidR="00C11B37">
        <w:t xml:space="preserve">at 10914-15, para. 37. </w:t>
      </w:r>
      <w:r w:rsidR="00C11B37">
        <w:t xml:space="preserve"> </w:t>
      </w:r>
      <w:r w:rsidRPr="00C11B37" w:rsidR="00C11B37">
        <w:t>If the Commission terminates a conditional certification, the provider must give at least 30 days’ notice to its customers that it will no longer offer service.</w:t>
      </w:r>
      <w:r w:rsidR="00536DF9">
        <w:t xml:space="preserve"> </w:t>
      </w:r>
      <w:r w:rsidR="00DA65FC">
        <w:t xml:space="preserve"> </w:t>
      </w:r>
      <w:r w:rsidR="00536DF9">
        <w:rPr>
          <w:i/>
          <w:iCs/>
        </w:rPr>
        <w:t>Id.</w:t>
      </w:r>
    </w:p>
  </w:footnote>
  <w:footnote w:id="42">
    <w:p w:rsidR="00970EE4" w:rsidRPr="00970EE4" w14:paraId="5EB83A72" w14:textId="290939A4">
      <w:pPr>
        <w:pStyle w:val="FootnoteText"/>
      </w:pPr>
      <w:r>
        <w:rPr>
          <w:rStyle w:val="FootnoteReference"/>
        </w:rPr>
        <w:footnoteRef/>
      </w:r>
      <w:r>
        <w:t xml:space="preserve"> </w:t>
      </w:r>
      <w:r>
        <w:rPr>
          <w:i/>
          <w:iCs/>
        </w:rPr>
        <w:t xml:space="preserve">See </w:t>
      </w:r>
      <w:r>
        <w:t>47 CFR § 64.606(a)(2)(ii)(A)(</w:t>
      </w:r>
      <w:r>
        <w:rPr>
          <w:i/>
          <w:iCs/>
        </w:rPr>
        <w:t>1</w:t>
      </w:r>
      <w:r>
        <w:t>)</w:t>
      </w:r>
      <w:r w:rsidR="007E2CEC">
        <w:t>; Application at 25.</w:t>
      </w:r>
    </w:p>
  </w:footnote>
  <w:footnote w:id="43">
    <w:p w:rsidR="006C64CD" w14:paraId="1E2FA023" w14:textId="67176E9A">
      <w:pPr>
        <w:pStyle w:val="FootnoteText"/>
      </w:pPr>
      <w:r>
        <w:rPr>
          <w:rStyle w:val="FootnoteReference"/>
        </w:rPr>
        <w:footnoteRef/>
      </w:r>
      <w:r>
        <w:t xml:space="preserve"> </w:t>
      </w:r>
      <w:r w:rsidR="00B0068E">
        <w:rPr>
          <w:i/>
          <w:iCs/>
        </w:rPr>
        <w:t xml:space="preserve">See </w:t>
      </w:r>
      <w:r w:rsidRPr="00B0068E" w:rsidR="00B0068E">
        <w:t>47 CFR § 64.606(a)(2)(ii)(A)(</w:t>
      </w:r>
      <w:r w:rsidRPr="00B0068E" w:rsidR="00B0068E">
        <w:rPr>
          <w:i/>
          <w:iCs/>
        </w:rPr>
        <w:t>5</w:t>
      </w:r>
      <w:r w:rsidRPr="00B0068E" w:rsidR="00B0068E">
        <w:t xml:space="preserve">); Application at </w:t>
      </w:r>
      <w:r w:rsidR="00E56CDE">
        <w:t>27-28.</w:t>
      </w:r>
    </w:p>
  </w:footnote>
  <w:footnote w:id="44">
    <w:p w:rsidR="0047396B" w:rsidP="0047396B" w14:paraId="7C1CF985" w14:textId="77777777">
      <w:pPr>
        <w:pStyle w:val="FootnoteText"/>
      </w:pPr>
      <w:r>
        <w:rPr>
          <w:rStyle w:val="FootnoteReference"/>
        </w:rPr>
        <w:footnoteRef/>
      </w:r>
      <w:r>
        <w:t xml:space="preserve"> 47 CFR § 1.3.</w:t>
      </w:r>
    </w:p>
  </w:footnote>
  <w:footnote w:id="45">
    <w:p w:rsidR="0047396B" w:rsidP="0047396B" w14:paraId="7E9D611E"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46">
    <w:p w:rsidR="0047396B" w:rsidP="0047396B" w14:paraId="76A3BB33"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47">
    <w:p w:rsidR="0047396B" w:rsidP="0047396B" w14:paraId="025184C0"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48">
    <w:p w:rsidR="00956888" w14:paraId="034B1503" w14:textId="26A9DAB5">
      <w:pPr>
        <w:pStyle w:val="FootnoteText"/>
      </w:pPr>
      <w:r>
        <w:rPr>
          <w:rStyle w:val="FootnoteReference"/>
        </w:rPr>
        <w:footnoteRef/>
      </w:r>
      <w:r>
        <w:t xml:space="preserve"> Application at 25.</w:t>
      </w:r>
    </w:p>
  </w:footnote>
  <w:footnote w:id="49">
    <w:p w:rsidR="00956888" w:rsidRPr="00956888" w14:paraId="4BA5DDA7" w14:textId="30479DAA">
      <w:pPr>
        <w:pStyle w:val="FootnoteText"/>
      </w:pPr>
      <w:r>
        <w:rPr>
          <w:rStyle w:val="FootnoteReference"/>
        </w:rPr>
        <w:footnoteRef/>
      </w:r>
      <w:r>
        <w:t xml:space="preserve"> </w:t>
      </w:r>
      <w:r w:rsidRPr="004050AE" w:rsidR="004050AE">
        <w:rPr>
          <w:i/>
          <w:iCs/>
        </w:rPr>
        <w:t>Id</w:t>
      </w:r>
      <w:r w:rsidR="004050AE">
        <w:t>.</w:t>
      </w:r>
      <w:r>
        <w:t xml:space="preserve"> at 25. </w:t>
      </w:r>
    </w:p>
  </w:footnote>
  <w:footnote w:id="50">
    <w:p w:rsidR="00956888" w:rsidRPr="00956888" w14:paraId="0F40A314" w14:textId="3ED5505B">
      <w:pPr>
        <w:pStyle w:val="FootnoteText"/>
      </w:pPr>
      <w:r>
        <w:rPr>
          <w:rStyle w:val="FootnoteReference"/>
        </w:rPr>
        <w:footnoteRef/>
      </w:r>
      <w:r>
        <w:t xml:space="preserve"> </w:t>
      </w:r>
      <w:r w:rsidRPr="004050AE" w:rsidR="004050AE">
        <w:rPr>
          <w:i/>
          <w:iCs/>
        </w:rPr>
        <w:t>Id</w:t>
      </w:r>
      <w:r w:rsidR="004050AE">
        <w:t>.</w:t>
      </w:r>
      <w:r>
        <w:rPr>
          <w:i/>
          <w:iCs/>
        </w:rPr>
        <w:t xml:space="preserve">, </w:t>
      </w:r>
      <w:r>
        <w:t>Ex. 3.</w:t>
      </w:r>
    </w:p>
  </w:footnote>
  <w:footnote w:id="51">
    <w:p w:rsidR="00956888" w:rsidRPr="00956888" w14:paraId="0A1125FB" w14:textId="2CD00872">
      <w:pPr>
        <w:pStyle w:val="FootnoteText"/>
      </w:pPr>
      <w:r>
        <w:rPr>
          <w:rStyle w:val="FootnoteReference"/>
        </w:rPr>
        <w:footnoteRef/>
      </w:r>
      <w:r>
        <w:t xml:space="preserve"> </w:t>
      </w:r>
      <w:r w:rsidRPr="004050AE" w:rsidR="004050AE">
        <w:rPr>
          <w:i/>
          <w:iCs/>
        </w:rPr>
        <w:t>Id</w:t>
      </w:r>
      <w:r w:rsidR="004050AE">
        <w:t>.</w:t>
      </w:r>
      <w:r>
        <w:t xml:space="preserve"> at 25.</w:t>
      </w:r>
    </w:p>
  </w:footnote>
  <w:footnote w:id="52">
    <w:p w:rsidR="00AF71A9" w:rsidRPr="004B1371" w:rsidP="00AF71A9" w14:paraId="6779E94E" w14:textId="467E1849">
      <w:pPr>
        <w:pStyle w:val="FootnoteText"/>
      </w:pPr>
      <w:r>
        <w:rPr>
          <w:rStyle w:val="FootnoteReference"/>
        </w:rPr>
        <w:footnoteRef/>
      </w:r>
      <w:r>
        <w:t xml:space="preserve"> </w:t>
      </w:r>
      <w:r>
        <w:rPr>
          <w:i/>
          <w:iCs/>
        </w:rPr>
        <w:t>See</w:t>
      </w:r>
      <w:r>
        <w:t xml:space="preserve"> 47 CFR § 64.606(a)(2)(ii)(A)(</w:t>
      </w:r>
      <w:r>
        <w:rPr>
          <w:i/>
          <w:iCs/>
        </w:rPr>
        <w:t>5</w:t>
      </w:r>
      <w:r>
        <w:t xml:space="preserve">); Application at </w:t>
      </w:r>
      <w:r w:rsidR="007D723E">
        <w:t>27-28.</w:t>
      </w:r>
      <w:r w:rsidR="00FB0AD1">
        <w:t xml:space="preserve">  </w:t>
      </w:r>
    </w:p>
  </w:footnote>
  <w:footnote w:id="53">
    <w:p w:rsidR="00AF71A9" w:rsidRPr="0053712E" w:rsidP="00AF71A9" w14:paraId="4AF84C79" w14:textId="432D7660">
      <w:pPr>
        <w:pStyle w:val="FootnoteText"/>
      </w:pPr>
      <w:r>
        <w:rPr>
          <w:rStyle w:val="FootnoteReference"/>
        </w:rPr>
        <w:footnoteRef/>
      </w:r>
      <w:r>
        <w:t xml:space="preserve"> Application, Ex. 4.</w:t>
      </w:r>
    </w:p>
  </w:footnote>
  <w:footnote w:id="54">
    <w:p w:rsidR="00AF71A9" w:rsidP="00AF71A9" w14:paraId="329A9074" w14:textId="563DAFC1">
      <w:pPr>
        <w:pStyle w:val="FootnoteText"/>
      </w:pPr>
      <w:r>
        <w:rPr>
          <w:rStyle w:val="FootnoteReference"/>
        </w:rPr>
        <w:footnoteRef/>
      </w:r>
      <w:r>
        <w:t xml:space="preserve"> </w:t>
      </w:r>
      <w:r w:rsidRPr="00C77F20" w:rsidR="00C77F20">
        <w:rPr>
          <w:i/>
          <w:iCs/>
        </w:rPr>
        <w:t>Id</w:t>
      </w:r>
      <w:r w:rsidRPr="00C77F20" w:rsidR="00C77F20">
        <w:t xml:space="preserve">. </w:t>
      </w:r>
      <w:r>
        <w:t>at 27-28.</w:t>
      </w:r>
    </w:p>
  </w:footnote>
  <w:footnote w:id="55">
    <w:p w:rsidR="00AF71A9" w:rsidP="00AF71A9" w14:paraId="6EA48B74" w14:textId="178C70C8">
      <w:pPr>
        <w:pStyle w:val="FootnoteText"/>
      </w:pPr>
      <w:r>
        <w:rPr>
          <w:rStyle w:val="FootnoteReference"/>
        </w:rPr>
        <w:footnoteRef/>
      </w:r>
      <w:r>
        <w:t xml:space="preserve"> </w:t>
      </w:r>
      <w:r w:rsidRPr="00C77F20" w:rsidR="00C77F20">
        <w:rPr>
          <w:i/>
          <w:iCs/>
        </w:rPr>
        <w:t>Id</w:t>
      </w:r>
      <w:r>
        <w:t>.</w:t>
      </w:r>
    </w:p>
  </w:footnote>
  <w:footnote w:id="56">
    <w:p w:rsidR="00163AC7" w:rsidRPr="00A535C8" w:rsidP="00163AC7" w14:paraId="1AAA107E" w14:textId="01CF7131">
      <w:pPr>
        <w:pStyle w:val="FootnoteText"/>
      </w:pPr>
      <w:r>
        <w:rPr>
          <w:rStyle w:val="FootnoteReference"/>
        </w:rPr>
        <w:footnoteRef/>
      </w:r>
      <w:r>
        <w:t xml:space="preserve"> </w:t>
      </w:r>
      <w:r>
        <w:rPr>
          <w:i/>
          <w:iCs/>
        </w:rPr>
        <w:t xml:space="preserve">See </w:t>
      </w:r>
      <w:r w:rsidRPr="00C77F20" w:rsidR="00C77F20">
        <w:rPr>
          <w:i/>
          <w:iCs/>
        </w:rPr>
        <w:t xml:space="preserve">id. </w:t>
      </w:r>
      <w:r>
        <w:t>at 25-26.</w:t>
      </w:r>
    </w:p>
  </w:footnote>
  <w:footnote w:id="57">
    <w:p w:rsidR="00163AC7" w:rsidP="00163AC7" w14:paraId="09476D45" w14:textId="77777777">
      <w:pPr>
        <w:pStyle w:val="FootnoteText"/>
      </w:pPr>
      <w:r>
        <w:rPr>
          <w:rStyle w:val="FootnoteReference"/>
        </w:rPr>
        <w:footnoteRef/>
      </w:r>
      <w:r>
        <w:t xml:space="preserve"> </w:t>
      </w:r>
      <w:r w:rsidRPr="00A64613">
        <w:rPr>
          <w:i/>
          <w:iCs/>
        </w:rPr>
        <w:t>Id</w:t>
      </w:r>
      <w:r>
        <w:t>. at 28 n.36.</w:t>
      </w:r>
    </w:p>
  </w:footnote>
  <w:footnote w:id="58">
    <w:p w:rsidR="00B9327F" w14:paraId="22E6FB92" w14:textId="508E323F">
      <w:pPr>
        <w:pStyle w:val="FootnoteText"/>
      </w:pPr>
      <w:r>
        <w:rPr>
          <w:rStyle w:val="FootnoteReference"/>
        </w:rPr>
        <w:footnoteRef/>
      </w:r>
      <w:r>
        <w:t xml:space="preserve"> </w:t>
      </w:r>
      <w:r w:rsidRPr="00B43038" w:rsidR="00B43038">
        <w:rPr>
          <w:i/>
          <w:iCs/>
        </w:rPr>
        <w:t>Id</w:t>
      </w:r>
      <w:r w:rsidRPr="00B43038" w:rsidR="00B43038">
        <w:t xml:space="preserve">. at </w:t>
      </w:r>
      <w:r w:rsidR="0025176A">
        <w:t xml:space="preserve">26, </w:t>
      </w:r>
      <w:r w:rsidRPr="00B43038" w:rsidR="00B43038">
        <w:t>28.</w:t>
      </w:r>
    </w:p>
  </w:footnote>
  <w:footnote w:id="59">
    <w:p w:rsidR="00714A25" w14:paraId="4F28062C" w14:textId="65C986A7">
      <w:pPr>
        <w:pStyle w:val="FootnoteText"/>
      </w:pPr>
      <w:r>
        <w:rPr>
          <w:rStyle w:val="FootnoteReference"/>
        </w:rPr>
        <w:footnoteRef/>
      </w:r>
      <w:r w:rsidR="00E4018C">
        <w:t xml:space="preserve"> </w:t>
      </w:r>
      <w:r w:rsidR="00E4018C">
        <w:rPr>
          <w:i/>
          <w:iCs/>
        </w:rPr>
        <w:t>See</w:t>
      </w:r>
      <w:r w:rsidR="00E4018C">
        <w:t xml:space="preserve"> </w:t>
      </w:r>
      <w:r w:rsidR="00E4018C">
        <w:rPr>
          <w:i/>
          <w:iCs/>
        </w:rPr>
        <w:t>T</w:t>
      </w:r>
      <w:r w:rsidR="007771D6">
        <w:rPr>
          <w:i/>
          <w:iCs/>
        </w:rPr>
        <w:t>ive</w:t>
      </w:r>
      <w:r w:rsidR="007771D6">
        <w:rPr>
          <w:i/>
          <w:iCs/>
        </w:rPr>
        <w:t xml:space="preserve"> VRS Certification Order,</w:t>
      </w:r>
      <w:r w:rsidR="00E4018C">
        <w:t xml:space="preserve"> 38 FCC </w:t>
      </w:r>
      <w:r w:rsidR="00E4018C">
        <w:t>Rcd</w:t>
      </w:r>
      <w:r w:rsidR="00E4018C">
        <w:t xml:space="preserve"> </w:t>
      </w:r>
      <w:r w:rsidR="007771D6">
        <w:t>at</w:t>
      </w:r>
      <w:r w:rsidR="00E4018C">
        <w:t xml:space="preserve"> 9737-38,</w:t>
      </w:r>
      <w:r w:rsidRPr="009B7F32" w:rsidR="00E4018C">
        <w:t xml:space="preserve"> </w:t>
      </w:r>
      <w:r w:rsidR="00E4018C">
        <w:t xml:space="preserve">paras. </w:t>
      </w:r>
      <w:r w:rsidRPr="009B7F32" w:rsidR="00E4018C">
        <w:t>21-22 (</w:t>
      </w:r>
      <w:r w:rsidR="00321E50">
        <w:t xml:space="preserve">granting a similarly conditioned waiver </w:t>
      </w:r>
      <w:r w:rsidRPr="009B7F32" w:rsidR="00E4018C">
        <w:t>allow</w:t>
      </w:r>
      <w:r w:rsidR="00321E50">
        <w:t>ing</w:t>
      </w:r>
      <w:r w:rsidRPr="009B7F32" w:rsidR="00E4018C">
        <w:t xml:space="preserve"> </w:t>
      </w:r>
      <w:r w:rsidR="00E4018C">
        <w:t>applicant</w:t>
      </w:r>
      <w:r w:rsidRPr="009B7F32" w:rsidR="00E4018C">
        <w:t xml:space="preserve"> to satisfy the call center lease requirements of section 64.606(a)(2)(ii)(A)(</w:t>
      </w:r>
      <w:r w:rsidRPr="009B7F32" w:rsidR="00E4018C">
        <w:rPr>
          <w:i/>
          <w:iCs/>
        </w:rPr>
        <w:t>1</w:t>
      </w:r>
      <w:r w:rsidRPr="009B7F32" w:rsidR="00E4018C">
        <w:t>) within 60 days of the effective date of the order)</w:t>
      </w:r>
      <w:r w:rsidR="00E4018C">
        <w:t>.</w:t>
      </w:r>
    </w:p>
  </w:footnote>
  <w:footnote w:id="60">
    <w:p w:rsidR="008F2866" w:rsidP="008F2866" w14:paraId="79C40C2C" w14:textId="1E3A1491">
      <w:pPr>
        <w:pStyle w:val="FootnoteText"/>
      </w:pPr>
      <w:r>
        <w:rPr>
          <w:rStyle w:val="FootnoteReference"/>
        </w:rPr>
        <w:footnoteRef/>
      </w:r>
      <w:r>
        <w:t xml:space="preserve"> </w:t>
      </w:r>
      <w:r w:rsidRPr="007371C3">
        <w:rPr>
          <w:i/>
          <w:iCs/>
        </w:rPr>
        <w:t>2011 Internet-based TRS Certification Order</w:t>
      </w:r>
      <w:r w:rsidRPr="007371C3">
        <w:t xml:space="preserve">, 26 FCC </w:t>
      </w:r>
      <w:r w:rsidRPr="007371C3">
        <w:t>Rcd</w:t>
      </w:r>
      <w:r w:rsidRPr="007371C3">
        <w:t xml:space="preserve"> at 10912, para. 30; s</w:t>
      </w:r>
      <w:r w:rsidRPr="007371C3">
        <w:rPr>
          <w:i/>
          <w:iCs/>
        </w:rPr>
        <w:t xml:space="preserve">ee also id. </w:t>
      </w:r>
      <w:r w:rsidRPr="007371C3">
        <w:t>at 10906-07, paras. 17-19 (discussing requirements for VRS ACD platforms)</w:t>
      </w:r>
      <w:r w:rsidR="007A19B0">
        <w:t xml:space="preserve">; </w:t>
      </w:r>
      <w:r w:rsidRPr="00B10DBD" w:rsidR="007A19B0">
        <w:t>47 CFR § 64.606(a)(2)(ii)</w:t>
      </w:r>
      <w:r w:rsidR="007A19B0">
        <w:t xml:space="preserve"> (stating that the information required by paragraph (ii) “</w:t>
      </w:r>
      <w:r w:rsidRPr="00F67FBF" w:rsidR="007A19B0">
        <w:t>shall demonstrate that the applicant leases, licenses or has acquired its own facilities and operates such facilities associated with TRS call centers</w:t>
      </w:r>
      <w:r w:rsidR="007A19B0">
        <w:t>”);</w:t>
      </w:r>
    </w:p>
  </w:footnote>
  <w:footnote w:id="61">
    <w:p w:rsidR="008F2866" w:rsidP="008F2866" w14:paraId="7113F5E8" w14:textId="0CAEA504">
      <w:pPr>
        <w:pStyle w:val="FootnoteText"/>
      </w:pPr>
      <w:r>
        <w:rPr>
          <w:rStyle w:val="FootnoteReference"/>
        </w:rPr>
        <w:footnoteRef/>
      </w:r>
      <w:r>
        <w:t xml:space="preserve"> </w:t>
      </w:r>
      <w:r>
        <w:rPr>
          <w:i/>
          <w:iCs/>
        </w:rPr>
        <w:t>See</w:t>
      </w:r>
      <w:r w:rsidRPr="00E10BCB">
        <w:t xml:space="preserve"> Application at 25-26</w:t>
      </w:r>
      <w:r>
        <w:t>, 28</w:t>
      </w:r>
      <w:r w:rsidR="00A527FD">
        <w:t xml:space="preserve"> &amp; </w:t>
      </w:r>
      <w:r w:rsidR="00A527FD">
        <w:t>n</w:t>
      </w:r>
      <w:r w:rsidR="007C20C0">
        <w:t>n</w:t>
      </w:r>
      <w:r>
        <w:t>.</w:t>
      </w:r>
      <w:r w:rsidR="007C20C0">
        <w:t xml:space="preserve"> 35-36.</w:t>
      </w:r>
    </w:p>
  </w:footnote>
  <w:footnote w:id="62">
    <w:p w:rsidR="00D666D6" w:rsidP="00D666D6" w14:paraId="27E6FEED" w14:textId="77777777">
      <w:pPr>
        <w:pStyle w:val="FootnoteText"/>
      </w:pPr>
      <w:r>
        <w:rPr>
          <w:rStyle w:val="FootnoteReference"/>
        </w:rPr>
        <w:footnoteRef/>
      </w:r>
      <w:r>
        <w:t xml:space="preserve"> </w:t>
      </w:r>
      <w:bookmarkStart w:id="6" w:name="_Hlk182563779"/>
      <w:r>
        <w:t xml:space="preserve">47 CFR </w:t>
      </w:r>
      <w:r w:rsidRPr="009E7676">
        <w:t>§</w:t>
      </w:r>
      <w:r>
        <w:t xml:space="preserve"> 64.604(d)(1)(iii).</w:t>
      </w:r>
      <w:bookmarkEnd w:id="6"/>
    </w:p>
  </w:footnote>
  <w:footnote w:id="63">
    <w:p w:rsidR="00E04C89" w14:paraId="5BD05F40" w14:textId="0E3611B0">
      <w:pPr>
        <w:pStyle w:val="FootnoteText"/>
      </w:pPr>
      <w:r>
        <w:rPr>
          <w:rStyle w:val="FootnoteReference"/>
        </w:rPr>
        <w:footnoteRef/>
      </w:r>
      <w:r>
        <w:t xml:space="preserve"> </w:t>
      </w:r>
      <w:r w:rsidRPr="00E04C89">
        <w:rPr>
          <w:i/>
          <w:iCs/>
        </w:rPr>
        <w:t>See</w:t>
      </w:r>
      <w:r>
        <w:t xml:space="preserve"> </w:t>
      </w:r>
      <w:bookmarkStart w:id="7" w:name="_Hlk182566478"/>
      <w:r w:rsidRPr="00C77F20" w:rsidR="00C77F20">
        <w:rPr>
          <w:i/>
          <w:iCs/>
        </w:rPr>
        <w:t xml:space="preserve">id. </w:t>
      </w:r>
      <w:r w:rsidRPr="00E04C89">
        <w:t>§ 64.60</w:t>
      </w:r>
      <w:r w:rsidR="002842D2">
        <w:t>6</w:t>
      </w:r>
      <w:r w:rsidRPr="00E04C89">
        <w:t>(</w:t>
      </w:r>
      <w:r w:rsidR="002842D2">
        <w:t>a</w:t>
      </w:r>
      <w:r w:rsidRPr="00E04C89">
        <w:t>)(</w:t>
      </w:r>
      <w:r w:rsidR="00363180">
        <w:t>2</w:t>
      </w:r>
      <w:r w:rsidRPr="00E04C89">
        <w:t>)(ii)</w:t>
      </w:r>
      <w:r w:rsidR="00363180">
        <w:t>(A)(</w:t>
      </w:r>
      <w:r w:rsidRPr="00363180" w:rsidR="00363180">
        <w:rPr>
          <w:i/>
          <w:iCs/>
        </w:rPr>
        <w:t>1</w:t>
      </w:r>
      <w:r w:rsidR="00363180">
        <w:t>)</w:t>
      </w:r>
      <w:bookmarkEnd w:id="7"/>
      <w:r w:rsidR="00363180">
        <w:t>, (</w:t>
      </w:r>
      <w:r w:rsidRPr="00363180" w:rsidR="00363180">
        <w:rPr>
          <w:i/>
          <w:iCs/>
        </w:rPr>
        <w:t>5</w:t>
      </w:r>
      <w:r w:rsidR="00363180">
        <w:t>)</w:t>
      </w:r>
      <w:r w:rsidR="003F5F7D">
        <w:t xml:space="preserve">; </w:t>
      </w:r>
      <w:r w:rsidRPr="00443712" w:rsidR="003F5F7D">
        <w:rPr>
          <w:i/>
          <w:iCs/>
        </w:rPr>
        <w:t>see also</w:t>
      </w:r>
      <w:r w:rsidR="003F5F7D">
        <w:t xml:space="preserve"> </w:t>
      </w:r>
      <w:r w:rsidRPr="003F5F7D" w:rsidR="003F5F7D">
        <w:rPr>
          <w:i/>
          <w:iCs/>
        </w:rPr>
        <w:t>id</w:t>
      </w:r>
      <w:r w:rsidR="003F5F7D">
        <w:t xml:space="preserve">. </w:t>
      </w:r>
      <w:r w:rsidRPr="003F5F7D" w:rsidR="003F5F7D">
        <w:t>§ 64.606(a)(2)(ii)(A)(</w:t>
      </w:r>
      <w:r w:rsidR="003F5F7D">
        <w:rPr>
          <w:i/>
          <w:iCs/>
        </w:rPr>
        <w:t>4</w:t>
      </w:r>
      <w:r w:rsidRPr="003F5F7D" w:rsidR="003F5F7D">
        <w:t>)</w:t>
      </w:r>
      <w:r w:rsidR="003F5F7D">
        <w:t xml:space="preserve"> (</w:t>
      </w:r>
      <w:r w:rsidR="00F200C5">
        <w:t xml:space="preserve">providing that call center functions include, but are not limited to, </w:t>
      </w:r>
      <w:r w:rsidR="00443712">
        <w:t>the functions described in the main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3B826D1" w14:textId="776A3046">
    <w:pPr>
      <w:pStyle w:val="Header"/>
      <w:rPr>
        <w:b w:val="0"/>
      </w:rPr>
    </w:pPr>
    <w:r>
      <w:tab/>
      <w:t>Federal Communications Commission</w:t>
    </w:r>
    <w:r>
      <w:tab/>
    </w:r>
    <w:r w:rsidR="00FB1688">
      <w:t>DA 24-</w:t>
    </w:r>
    <w:r w:rsidR="002429D9">
      <w:t>1173</w:t>
    </w:r>
  </w:p>
  <w:p w:rsidR="00D25FB5" w14:paraId="3AB5EA41"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6FE8A0A5"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F20D36E" w14:textId="3FCAF726">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47396B">
      <w:rPr>
        <w:spacing w:val="-2"/>
      </w:rPr>
      <w:t>DA 24-</w:t>
    </w:r>
    <w:r>
      <w:rPr>
        <w:spacing w:val="-2"/>
      </w:rPr>
      <w:t>1173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407923140">
    <w:abstractNumId w:val="1"/>
  </w:num>
  <w:num w:numId="2" w16cid:durableId="783573383">
    <w:abstractNumId w:val="5"/>
  </w:num>
  <w:num w:numId="3" w16cid:durableId="1442413404">
    <w:abstractNumId w:val="3"/>
  </w:num>
  <w:num w:numId="4" w16cid:durableId="1365403442">
    <w:abstractNumId w:val="4"/>
  </w:num>
  <w:num w:numId="5" w16cid:durableId="1228803531">
    <w:abstractNumId w:val="2"/>
  </w:num>
  <w:num w:numId="6" w16cid:durableId="1771778142">
    <w:abstractNumId w:val="0"/>
  </w:num>
  <w:num w:numId="7" w16cid:durableId="73671216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89"/>
    <w:rsid w:val="00002716"/>
    <w:rsid w:val="00005D49"/>
    <w:rsid w:val="00012FDF"/>
    <w:rsid w:val="00017414"/>
    <w:rsid w:val="00017AAE"/>
    <w:rsid w:val="00021433"/>
    <w:rsid w:val="00021DF3"/>
    <w:rsid w:val="000321C4"/>
    <w:rsid w:val="000337C4"/>
    <w:rsid w:val="0003437A"/>
    <w:rsid w:val="00036039"/>
    <w:rsid w:val="00037F90"/>
    <w:rsid w:val="00044545"/>
    <w:rsid w:val="00044C13"/>
    <w:rsid w:val="00047D28"/>
    <w:rsid w:val="00054DA1"/>
    <w:rsid w:val="00056D1E"/>
    <w:rsid w:val="000657EA"/>
    <w:rsid w:val="00065F4E"/>
    <w:rsid w:val="0006630A"/>
    <w:rsid w:val="00072042"/>
    <w:rsid w:val="00073079"/>
    <w:rsid w:val="00074C08"/>
    <w:rsid w:val="000831C6"/>
    <w:rsid w:val="00083EF2"/>
    <w:rsid w:val="000875BF"/>
    <w:rsid w:val="00090578"/>
    <w:rsid w:val="00091049"/>
    <w:rsid w:val="000913C9"/>
    <w:rsid w:val="0009161E"/>
    <w:rsid w:val="00092CE7"/>
    <w:rsid w:val="00096D8C"/>
    <w:rsid w:val="00097CC0"/>
    <w:rsid w:val="000A0126"/>
    <w:rsid w:val="000A0579"/>
    <w:rsid w:val="000A0B87"/>
    <w:rsid w:val="000A624C"/>
    <w:rsid w:val="000B1A98"/>
    <w:rsid w:val="000B2E2C"/>
    <w:rsid w:val="000C0B65"/>
    <w:rsid w:val="000C164D"/>
    <w:rsid w:val="000C17B1"/>
    <w:rsid w:val="000C21A2"/>
    <w:rsid w:val="000C2956"/>
    <w:rsid w:val="000C5291"/>
    <w:rsid w:val="000E05FE"/>
    <w:rsid w:val="000E36F4"/>
    <w:rsid w:val="000E3B99"/>
    <w:rsid w:val="000E3D42"/>
    <w:rsid w:val="000E5D15"/>
    <w:rsid w:val="000E5F50"/>
    <w:rsid w:val="000F76E3"/>
    <w:rsid w:val="000F7F7F"/>
    <w:rsid w:val="00103A49"/>
    <w:rsid w:val="00105126"/>
    <w:rsid w:val="001140A4"/>
    <w:rsid w:val="00122BD5"/>
    <w:rsid w:val="00123FC9"/>
    <w:rsid w:val="00131AE9"/>
    <w:rsid w:val="00133F79"/>
    <w:rsid w:val="00135D4A"/>
    <w:rsid w:val="00144D0B"/>
    <w:rsid w:val="0014673F"/>
    <w:rsid w:val="001473E4"/>
    <w:rsid w:val="00153D5E"/>
    <w:rsid w:val="001616B8"/>
    <w:rsid w:val="00163AC7"/>
    <w:rsid w:val="00167BC9"/>
    <w:rsid w:val="001810F8"/>
    <w:rsid w:val="00184A73"/>
    <w:rsid w:val="00194976"/>
    <w:rsid w:val="00194A66"/>
    <w:rsid w:val="0019536C"/>
    <w:rsid w:val="001975A5"/>
    <w:rsid w:val="001A4EE8"/>
    <w:rsid w:val="001A7D9D"/>
    <w:rsid w:val="001B03C8"/>
    <w:rsid w:val="001B06FE"/>
    <w:rsid w:val="001B099A"/>
    <w:rsid w:val="001B14A8"/>
    <w:rsid w:val="001B16E1"/>
    <w:rsid w:val="001B2195"/>
    <w:rsid w:val="001B7F87"/>
    <w:rsid w:val="001D2606"/>
    <w:rsid w:val="001D2F0C"/>
    <w:rsid w:val="001D3184"/>
    <w:rsid w:val="001D445B"/>
    <w:rsid w:val="001D6BCD"/>
    <w:rsid w:val="001D6BCF"/>
    <w:rsid w:val="001E01CA"/>
    <w:rsid w:val="001E1E77"/>
    <w:rsid w:val="001F0325"/>
    <w:rsid w:val="001F05A4"/>
    <w:rsid w:val="001F3869"/>
    <w:rsid w:val="00207DCF"/>
    <w:rsid w:val="00214D7A"/>
    <w:rsid w:val="00221D4C"/>
    <w:rsid w:val="0022638E"/>
    <w:rsid w:val="00230E39"/>
    <w:rsid w:val="00232385"/>
    <w:rsid w:val="002338DA"/>
    <w:rsid w:val="00234D10"/>
    <w:rsid w:val="00240A6B"/>
    <w:rsid w:val="002429D9"/>
    <w:rsid w:val="002444E7"/>
    <w:rsid w:val="00244CEC"/>
    <w:rsid w:val="0025176A"/>
    <w:rsid w:val="00251F30"/>
    <w:rsid w:val="0025746A"/>
    <w:rsid w:val="002625C0"/>
    <w:rsid w:val="00264ABC"/>
    <w:rsid w:val="00271185"/>
    <w:rsid w:val="00272FF9"/>
    <w:rsid w:val="002751CF"/>
    <w:rsid w:val="00275A42"/>
    <w:rsid w:val="00275CF5"/>
    <w:rsid w:val="0028205A"/>
    <w:rsid w:val="0028301F"/>
    <w:rsid w:val="00283E1A"/>
    <w:rsid w:val="002842D2"/>
    <w:rsid w:val="00285017"/>
    <w:rsid w:val="00292151"/>
    <w:rsid w:val="00292A97"/>
    <w:rsid w:val="00293E5E"/>
    <w:rsid w:val="00295BA8"/>
    <w:rsid w:val="002975CF"/>
    <w:rsid w:val="002A0921"/>
    <w:rsid w:val="002A2D2E"/>
    <w:rsid w:val="002A54FE"/>
    <w:rsid w:val="002A733B"/>
    <w:rsid w:val="002B1288"/>
    <w:rsid w:val="002B6623"/>
    <w:rsid w:val="002C00E8"/>
    <w:rsid w:val="002C0710"/>
    <w:rsid w:val="002C3D71"/>
    <w:rsid w:val="002D39AD"/>
    <w:rsid w:val="002D41DB"/>
    <w:rsid w:val="002D58D9"/>
    <w:rsid w:val="002D66AA"/>
    <w:rsid w:val="002D6EBA"/>
    <w:rsid w:val="002E0744"/>
    <w:rsid w:val="002E4467"/>
    <w:rsid w:val="002E45F8"/>
    <w:rsid w:val="002E66D0"/>
    <w:rsid w:val="002F1BD0"/>
    <w:rsid w:val="002F75E3"/>
    <w:rsid w:val="003013D1"/>
    <w:rsid w:val="003025E0"/>
    <w:rsid w:val="00304384"/>
    <w:rsid w:val="00306414"/>
    <w:rsid w:val="00310851"/>
    <w:rsid w:val="00310D83"/>
    <w:rsid w:val="003156F4"/>
    <w:rsid w:val="00315AA4"/>
    <w:rsid w:val="00321B70"/>
    <w:rsid w:val="00321E50"/>
    <w:rsid w:val="00323003"/>
    <w:rsid w:val="003315B6"/>
    <w:rsid w:val="00343749"/>
    <w:rsid w:val="003458ED"/>
    <w:rsid w:val="00352DEB"/>
    <w:rsid w:val="00352FE9"/>
    <w:rsid w:val="003531A7"/>
    <w:rsid w:val="003536C2"/>
    <w:rsid w:val="0035518F"/>
    <w:rsid w:val="003567E7"/>
    <w:rsid w:val="00357C8E"/>
    <w:rsid w:val="003600A1"/>
    <w:rsid w:val="003610B1"/>
    <w:rsid w:val="00363180"/>
    <w:rsid w:val="00363E90"/>
    <w:rsid w:val="003660ED"/>
    <w:rsid w:val="00367C56"/>
    <w:rsid w:val="0037024B"/>
    <w:rsid w:val="00373257"/>
    <w:rsid w:val="00373A0D"/>
    <w:rsid w:val="00373D21"/>
    <w:rsid w:val="003743B0"/>
    <w:rsid w:val="00376F05"/>
    <w:rsid w:val="00381443"/>
    <w:rsid w:val="0038184A"/>
    <w:rsid w:val="00383E70"/>
    <w:rsid w:val="0038454B"/>
    <w:rsid w:val="00384A5B"/>
    <w:rsid w:val="003861C4"/>
    <w:rsid w:val="003872EE"/>
    <w:rsid w:val="00392811"/>
    <w:rsid w:val="00393068"/>
    <w:rsid w:val="00393501"/>
    <w:rsid w:val="00394498"/>
    <w:rsid w:val="0039669F"/>
    <w:rsid w:val="003A034C"/>
    <w:rsid w:val="003A2744"/>
    <w:rsid w:val="003A385E"/>
    <w:rsid w:val="003A4A51"/>
    <w:rsid w:val="003B01DE"/>
    <w:rsid w:val="003B0550"/>
    <w:rsid w:val="003B694F"/>
    <w:rsid w:val="003B713C"/>
    <w:rsid w:val="003B7C4C"/>
    <w:rsid w:val="003C0B9A"/>
    <w:rsid w:val="003D5509"/>
    <w:rsid w:val="003D796A"/>
    <w:rsid w:val="003E0301"/>
    <w:rsid w:val="003E2E20"/>
    <w:rsid w:val="003E41CF"/>
    <w:rsid w:val="003F171C"/>
    <w:rsid w:val="003F3B47"/>
    <w:rsid w:val="003F5F7D"/>
    <w:rsid w:val="003F6364"/>
    <w:rsid w:val="003F7F39"/>
    <w:rsid w:val="0040023D"/>
    <w:rsid w:val="00403F1E"/>
    <w:rsid w:val="004050AE"/>
    <w:rsid w:val="004067A2"/>
    <w:rsid w:val="00412FC5"/>
    <w:rsid w:val="00413381"/>
    <w:rsid w:val="00413E13"/>
    <w:rsid w:val="004218AE"/>
    <w:rsid w:val="00422276"/>
    <w:rsid w:val="0042253A"/>
    <w:rsid w:val="004242F1"/>
    <w:rsid w:val="00426EEA"/>
    <w:rsid w:val="00427DDA"/>
    <w:rsid w:val="00432B8D"/>
    <w:rsid w:val="00443712"/>
    <w:rsid w:val="0044405D"/>
    <w:rsid w:val="00445A00"/>
    <w:rsid w:val="004461F8"/>
    <w:rsid w:val="00451B0F"/>
    <w:rsid w:val="00453EEC"/>
    <w:rsid w:val="00454D70"/>
    <w:rsid w:val="00463B5B"/>
    <w:rsid w:val="004704C7"/>
    <w:rsid w:val="00472796"/>
    <w:rsid w:val="0047396B"/>
    <w:rsid w:val="00483368"/>
    <w:rsid w:val="004840B7"/>
    <w:rsid w:val="00484403"/>
    <w:rsid w:val="00485F7D"/>
    <w:rsid w:val="004924A2"/>
    <w:rsid w:val="004931B1"/>
    <w:rsid w:val="00493F9E"/>
    <w:rsid w:val="00495B9C"/>
    <w:rsid w:val="00496A77"/>
    <w:rsid w:val="004A18F4"/>
    <w:rsid w:val="004A6D9F"/>
    <w:rsid w:val="004B1371"/>
    <w:rsid w:val="004B17B0"/>
    <w:rsid w:val="004B4486"/>
    <w:rsid w:val="004B4C91"/>
    <w:rsid w:val="004B6192"/>
    <w:rsid w:val="004B61C1"/>
    <w:rsid w:val="004C2EE3"/>
    <w:rsid w:val="004C45BB"/>
    <w:rsid w:val="004C5D93"/>
    <w:rsid w:val="004C62F9"/>
    <w:rsid w:val="004C66E2"/>
    <w:rsid w:val="004C7B4E"/>
    <w:rsid w:val="004D05A7"/>
    <w:rsid w:val="004D1B2E"/>
    <w:rsid w:val="004D6B0F"/>
    <w:rsid w:val="004D751C"/>
    <w:rsid w:val="004E4A22"/>
    <w:rsid w:val="004F6E90"/>
    <w:rsid w:val="00504416"/>
    <w:rsid w:val="00506238"/>
    <w:rsid w:val="0050788E"/>
    <w:rsid w:val="00511968"/>
    <w:rsid w:val="0051208D"/>
    <w:rsid w:val="00515F3E"/>
    <w:rsid w:val="00516DE2"/>
    <w:rsid w:val="005170E7"/>
    <w:rsid w:val="00517357"/>
    <w:rsid w:val="005276D2"/>
    <w:rsid w:val="00535088"/>
    <w:rsid w:val="005356B0"/>
    <w:rsid w:val="00536DF9"/>
    <w:rsid w:val="0053712E"/>
    <w:rsid w:val="0054296D"/>
    <w:rsid w:val="005516C4"/>
    <w:rsid w:val="005518C1"/>
    <w:rsid w:val="0055614C"/>
    <w:rsid w:val="00560303"/>
    <w:rsid w:val="00563629"/>
    <w:rsid w:val="00563C11"/>
    <w:rsid w:val="00564AE7"/>
    <w:rsid w:val="00564DBC"/>
    <w:rsid w:val="00566AF1"/>
    <w:rsid w:val="00566D06"/>
    <w:rsid w:val="00571E46"/>
    <w:rsid w:val="00572F00"/>
    <w:rsid w:val="00575DF3"/>
    <w:rsid w:val="0057631F"/>
    <w:rsid w:val="00577799"/>
    <w:rsid w:val="005850EC"/>
    <w:rsid w:val="00593820"/>
    <w:rsid w:val="005A00A8"/>
    <w:rsid w:val="005A032E"/>
    <w:rsid w:val="005A18E3"/>
    <w:rsid w:val="005A1C44"/>
    <w:rsid w:val="005A384C"/>
    <w:rsid w:val="005A5038"/>
    <w:rsid w:val="005A5DC4"/>
    <w:rsid w:val="005A6298"/>
    <w:rsid w:val="005B1539"/>
    <w:rsid w:val="005B33D4"/>
    <w:rsid w:val="005C01F5"/>
    <w:rsid w:val="005C2370"/>
    <w:rsid w:val="005C645B"/>
    <w:rsid w:val="005D50E5"/>
    <w:rsid w:val="005D5537"/>
    <w:rsid w:val="005E066C"/>
    <w:rsid w:val="005E14C2"/>
    <w:rsid w:val="00600209"/>
    <w:rsid w:val="00601829"/>
    <w:rsid w:val="00607BA5"/>
    <w:rsid w:val="0061180A"/>
    <w:rsid w:val="00617BE6"/>
    <w:rsid w:val="00624544"/>
    <w:rsid w:val="00625482"/>
    <w:rsid w:val="00626EB6"/>
    <w:rsid w:val="006270A3"/>
    <w:rsid w:val="00632EAC"/>
    <w:rsid w:val="0063527B"/>
    <w:rsid w:val="00652BE1"/>
    <w:rsid w:val="00654C7A"/>
    <w:rsid w:val="00655D03"/>
    <w:rsid w:val="00657909"/>
    <w:rsid w:val="00657CDE"/>
    <w:rsid w:val="00664A25"/>
    <w:rsid w:val="00665C39"/>
    <w:rsid w:val="00683388"/>
    <w:rsid w:val="00683F84"/>
    <w:rsid w:val="0068428A"/>
    <w:rsid w:val="00684CE4"/>
    <w:rsid w:val="00687017"/>
    <w:rsid w:val="0069411C"/>
    <w:rsid w:val="006A3316"/>
    <w:rsid w:val="006A405C"/>
    <w:rsid w:val="006A6A81"/>
    <w:rsid w:val="006A6FC2"/>
    <w:rsid w:val="006C246B"/>
    <w:rsid w:val="006C64CD"/>
    <w:rsid w:val="006D1C28"/>
    <w:rsid w:val="006D5807"/>
    <w:rsid w:val="006D661B"/>
    <w:rsid w:val="006E7BAF"/>
    <w:rsid w:val="006E7D40"/>
    <w:rsid w:val="006F3C8C"/>
    <w:rsid w:val="006F68EA"/>
    <w:rsid w:val="006F7393"/>
    <w:rsid w:val="00701BED"/>
    <w:rsid w:val="0070224F"/>
    <w:rsid w:val="00702E37"/>
    <w:rsid w:val="007115F7"/>
    <w:rsid w:val="00712A02"/>
    <w:rsid w:val="00714A25"/>
    <w:rsid w:val="00720599"/>
    <w:rsid w:val="00721E9D"/>
    <w:rsid w:val="00722B29"/>
    <w:rsid w:val="007272AD"/>
    <w:rsid w:val="00731525"/>
    <w:rsid w:val="00735963"/>
    <w:rsid w:val="0073686C"/>
    <w:rsid w:val="007371C3"/>
    <w:rsid w:val="00737347"/>
    <w:rsid w:val="007406FA"/>
    <w:rsid w:val="00753B4D"/>
    <w:rsid w:val="00763601"/>
    <w:rsid w:val="00772375"/>
    <w:rsid w:val="007771D6"/>
    <w:rsid w:val="00780ECE"/>
    <w:rsid w:val="00785689"/>
    <w:rsid w:val="00786199"/>
    <w:rsid w:val="0079195F"/>
    <w:rsid w:val="0079387D"/>
    <w:rsid w:val="0079754B"/>
    <w:rsid w:val="007A0689"/>
    <w:rsid w:val="007A19B0"/>
    <w:rsid w:val="007A1E6D"/>
    <w:rsid w:val="007A2A93"/>
    <w:rsid w:val="007A52AF"/>
    <w:rsid w:val="007A5497"/>
    <w:rsid w:val="007A639F"/>
    <w:rsid w:val="007A66B0"/>
    <w:rsid w:val="007A770A"/>
    <w:rsid w:val="007B0EB2"/>
    <w:rsid w:val="007B101C"/>
    <w:rsid w:val="007B52F9"/>
    <w:rsid w:val="007B5E8E"/>
    <w:rsid w:val="007C1183"/>
    <w:rsid w:val="007C20C0"/>
    <w:rsid w:val="007C29D2"/>
    <w:rsid w:val="007D0571"/>
    <w:rsid w:val="007D310F"/>
    <w:rsid w:val="007D3E92"/>
    <w:rsid w:val="007D723E"/>
    <w:rsid w:val="007E01FA"/>
    <w:rsid w:val="007E2CEC"/>
    <w:rsid w:val="007E357F"/>
    <w:rsid w:val="007E7B43"/>
    <w:rsid w:val="007F581E"/>
    <w:rsid w:val="00804630"/>
    <w:rsid w:val="00804E72"/>
    <w:rsid w:val="00807113"/>
    <w:rsid w:val="00807ECF"/>
    <w:rsid w:val="008107E2"/>
    <w:rsid w:val="00810B6F"/>
    <w:rsid w:val="008122E6"/>
    <w:rsid w:val="00813A69"/>
    <w:rsid w:val="00814DF9"/>
    <w:rsid w:val="00815241"/>
    <w:rsid w:val="00822CE0"/>
    <w:rsid w:val="00822E34"/>
    <w:rsid w:val="00832EC6"/>
    <w:rsid w:val="00834135"/>
    <w:rsid w:val="008418DD"/>
    <w:rsid w:val="00841AB1"/>
    <w:rsid w:val="00846C64"/>
    <w:rsid w:val="0084715D"/>
    <w:rsid w:val="0085638C"/>
    <w:rsid w:val="008600C7"/>
    <w:rsid w:val="00863B03"/>
    <w:rsid w:val="0086550A"/>
    <w:rsid w:val="00870E0F"/>
    <w:rsid w:val="008721C4"/>
    <w:rsid w:val="008773F5"/>
    <w:rsid w:val="00877C0D"/>
    <w:rsid w:val="008839FE"/>
    <w:rsid w:val="00886583"/>
    <w:rsid w:val="00886F26"/>
    <w:rsid w:val="0088710C"/>
    <w:rsid w:val="008934E1"/>
    <w:rsid w:val="00895C0D"/>
    <w:rsid w:val="0089776D"/>
    <w:rsid w:val="008C2A9D"/>
    <w:rsid w:val="008C374C"/>
    <w:rsid w:val="008C610C"/>
    <w:rsid w:val="008C68F1"/>
    <w:rsid w:val="008D3998"/>
    <w:rsid w:val="008D411F"/>
    <w:rsid w:val="008D4D25"/>
    <w:rsid w:val="008E02A3"/>
    <w:rsid w:val="008E0353"/>
    <w:rsid w:val="008E0522"/>
    <w:rsid w:val="008E784E"/>
    <w:rsid w:val="008F2866"/>
    <w:rsid w:val="008F5F7C"/>
    <w:rsid w:val="008F6698"/>
    <w:rsid w:val="00901FCC"/>
    <w:rsid w:val="009046E9"/>
    <w:rsid w:val="0090597A"/>
    <w:rsid w:val="0090606B"/>
    <w:rsid w:val="009109FC"/>
    <w:rsid w:val="00911653"/>
    <w:rsid w:val="00921803"/>
    <w:rsid w:val="00924BBF"/>
    <w:rsid w:val="00924FDA"/>
    <w:rsid w:val="00926503"/>
    <w:rsid w:val="00927DF0"/>
    <w:rsid w:val="009302C9"/>
    <w:rsid w:val="0094079B"/>
    <w:rsid w:val="0094629F"/>
    <w:rsid w:val="009540C1"/>
    <w:rsid w:val="00956888"/>
    <w:rsid w:val="00965E40"/>
    <w:rsid w:val="00970EE4"/>
    <w:rsid w:val="009712EA"/>
    <w:rsid w:val="009726D8"/>
    <w:rsid w:val="00972B5C"/>
    <w:rsid w:val="0097397D"/>
    <w:rsid w:val="00975B9F"/>
    <w:rsid w:val="0097777F"/>
    <w:rsid w:val="0098282A"/>
    <w:rsid w:val="00983E66"/>
    <w:rsid w:val="00984AA9"/>
    <w:rsid w:val="009851AF"/>
    <w:rsid w:val="00985301"/>
    <w:rsid w:val="009866CB"/>
    <w:rsid w:val="00987046"/>
    <w:rsid w:val="0099018D"/>
    <w:rsid w:val="00997784"/>
    <w:rsid w:val="009979D2"/>
    <w:rsid w:val="009A0236"/>
    <w:rsid w:val="009A619A"/>
    <w:rsid w:val="009A699E"/>
    <w:rsid w:val="009B166A"/>
    <w:rsid w:val="009B1EDA"/>
    <w:rsid w:val="009B26B3"/>
    <w:rsid w:val="009B401C"/>
    <w:rsid w:val="009B6836"/>
    <w:rsid w:val="009B7F32"/>
    <w:rsid w:val="009C0FE3"/>
    <w:rsid w:val="009C3031"/>
    <w:rsid w:val="009D205D"/>
    <w:rsid w:val="009D3910"/>
    <w:rsid w:val="009D7308"/>
    <w:rsid w:val="009E4B15"/>
    <w:rsid w:val="009E7676"/>
    <w:rsid w:val="009F0EE7"/>
    <w:rsid w:val="009F4194"/>
    <w:rsid w:val="009F4CA2"/>
    <w:rsid w:val="009F689D"/>
    <w:rsid w:val="009F76DB"/>
    <w:rsid w:val="009F7825"/>
    <w:rsid w:val="00A00B65"/>
    <w:rsid w:val="00A01561"/>
    <w:rsid w:val="00A0385F"/>
    <w:rsid w:val="00A05E49"/>
    <w:rsid w:val="00A10926"/>
    <w:rsid w:val="00A1101A"/>
    <w:rsid w:val="00A1673C"/>
    <w:rsid w:val="00A1789F"/>
    <w:rsid w:val="00A2118D"/>
    <w:rsid w:val="00A219FD"/>
    <w:rsid w:val="00A32C3B"/>
    <w:rsid w:val="00A35022"/>
    <w:rsid w:val="00A3730D"/>
    <w:rsid w:val="00A374BC"/>
    <w:rsid w:val="00A40C5D"/>
    <w:rsid w:val="00A41909"/>
    <w:rsid w:val="00A43BBA"/>
    <w:rsid w:val="00A45F4F"/>
    <w:rsid w:val="00A527FD"/>
    <w:rsid w:val="00A53124"/>
    <w:rsid w:val="00A535C8"/>
    <w:rsid w:val="00A55E3A"/>
    <w:rsid w:val="00A600A9"/>
    <w:rsid w:val="00A621A5"/>
    <w:rsid w:val="00A63A8C"/>
    <w:rsid w:val="00A64613"/>
    <w:rsid w:val="00A66EE6"/>
    <w:rsid w:val="00A72FAE"/>
    <w:rsid w:val="00A735E6"/>
    <w:rsid w:val="00A744AA"/>
    <w:rsid w:val="00A77340"/>
    <w:rsid w:val="00A803CC"/>
    <w:rsid w:val="00A809DA"/>
    <w:rsid w:val="00A80E64"/>
    <w:rsid w:val="00A82232"/>
    <w:rsid w:val="00A855F4"/>
    <w:rsid w:val="00A85807"/>
    <w:rsid w:val="00A91463"/>
    <w:rsid w:val="00A9615D"/>
    <w:rsid w:val="00A96F85"/>
    <w:rsid w:val="00A97A58"/>
    <w:rsid w:val="00AA55B7"/>
    <w:rsid w:val="00AA5B9E"/>
    <w:rsid w:val="00AB2407"/>
    <w:rsid w:val="00AB49E5"/>
    <w:rsid w:val="00AB53DF"/>
    <w:rsid w:val="00AB594A"/>
    <w:rsid w:val="00AB5B9E"/>
    <w:rsid w:val="00AC1404"/>
    <w:rsid w:val="00AD696E"/>
    <w:rsid w:val="00AE4E2B"/>
    <w:rsid w:val="00AF14C0"/>
    <w:rsid w:val="00AF71A9"/>
    <w:rsid w:val="00B004F3"/>
    <w:rsid w:val="00B0068E"/>
    <w:rsid w:val="00B0086A"/>
    <w:rsid w:val="00B06128"/>
    <w:rsid w:val="00B0691F"/>
    <w:rsid w:val="00B07E5C"/>
    <w:rsid w:val="00B1062F"/>
    <w:rsid w:val="00B10B4C"/>
    <w:rsid w:val="00B10DBD"/>
    <w:rsid w:val="00B12588"/>
    <w:rsid w:val="00B15394"/>
    <w:rsid w:val="00B227CA"/>
    <w:rsid w:val="00B22AE5"/>
    <w:rsid w:val="00B31492"/>
    <w:rsid w:val="00B31E4A"/>
    <w:rsid w:val="00B33CD5"/>
    <w:rsid w:val="00B42645"/>
    <w:rsid w:val="00B43038"/>
    <w:rsid w:val="00B60C29"/>
    <w:rsid w:val="00B63F3F"/>
    <w:rsid w:val="00B65EE1"/>
    <w:rsid w:val="00B770EA"/>
    <w:rsid w:val="00B77613"/>
    <w:rsid w:val="00B811F7"/>
    <w:rsid w:val="00B84A58"/>
    <w:rsid w:val="00B84DAC"/>
    <w:rsid w:val="00B918FF"/>
    <w:rsid w:val="00B9288A"/>
    <w:rsid w:val="00B931A2"/>
    <w:rsid w:val="00B9327F"/>
    <w:rsid w:val="00B93C0D"/>
    <w:rsid w:val="00B97D57"/>
    <w:rsid w:val="00BA3D4C"/>
    <w:rsid w:val="00BA5DC6"/>
    <w:rsid w:val="00BA6196"/>
    <w:rsid w:val="00BA77B9"/>
    <w:rsid w:val="00BB63EB"/>
    <w:rsid w:val="00BB75AC"/>
    <w:rsid w:val="00BC339A"/>
    <w:rsid w:val="00BC402D"/>
    <w:rsid w:val="00BC6D8C"/>
    <w:rsid w:val="00BC7C10"/>
    <w:rsid w:val="00BD3884"/>
    <w:rsid w:val="00BD3EDB"/>
    <w:rsid w:val="00BD7589"/>
    <w:rsid w:val="00BE269B"/>
    <w:rsid w:val="00BE6D8C"/>
    <w:rsid w:val="00BE794D"/>
    <w:rsid w:val="00BF0015"/>
    <w:rsid w:val="00BF75B4"/>
    <w:rsid w:val="00C011FB"/>
    <w:rsid w:val="00C06BEE"/>
    <w:rsid w:val="00C07677"/>
    <w:rsid w:val="00C10002"/>
    <w:rsid w:val="00C11A98"/>
    <w:rsid w:val="00C11B37"/>
    <w:rsid w:val="00C1646E"/>
    <w:rsid w:val="00C221C1"/>
    <w:rsid w:val="00C243C3"/>
    <w:rsid w:val="00C25100"/>
    <w:rsid w:val="00C25134"/>
    <w:rsid w:val="00C25BD7"/>
    <w:rsid w:val="00C2725E"/>
    <w:rsid w:val="00C2793C"/>
    <w:rsid w:val="00C30689"/>
    <w:rsid w:val="00C33F35"/>
    <w:rsid w:val="00C34006"/>
    <w:rsid w:val="00C36B4C"/>
    <w:rsid w:val="00C4038C"/>
    <w:rsid w:val="00C426B1"/>
    <w:rsid w:val="00C5003E"/>
    <w:rsid w:val="00C50A85"/>
    <w:rsid w:val="00C54A86"/>
    <w:rsid w:val="00C57E11"/>
    <w:rsid w:val="00C66160"/>
    <w:rsid w:val="00C66BE3"/>
    <w:rsid w:val="00C721AC"/>
    <w:rsid w:val="00C760F3"/>
    <w:rsid w:val="00C77F20"/>
    <w:rsid w:val="00C8137F"/>
    <w:rsid w:val="00C82561"/>
    <w:rsid w:val="00C8308A"/>
    <w:rsid w:val="00C8520A"/>
    <w:rsid w:val="00C90D6A"/>
    <w:rsid w:val="00CA131C"/>
    <w:rsid w:val="00CA247E"/>
    <w:rsid w:val="00CA45D0"/>
    <w:rsid w:val="00CA6D21"/>
    <w:rsid w:val="00CA6EC1"/>
    <w:rsid w:val="00CB132B"/>
    <w:rsid w:val="00CB3D0F"/>
    <w:rsid w:val="00CC72B6"/>
    <w:rsid w:val="00CD1B73"/>
    <w:rsid w:val="00CD200E"/>
    <w:rsid w:val="00CD4CB9"/>
    <w:rsid w:val="00CD528E"/>
    <w:rsid w:val="00CD5495"/>
    <w:rsid w:val="00CE40C2"/>
    <w:rsid w:val="00CE7158"/>
    <w:rsid w:val="00CF1B22"/>
    <w:rsid w:val="00CF2D53"/>
    <w:rsid w:val="00CF5346"/>
    <w:rsid w:val="00CF5FDE"/>
    <w:rsid w:val="00CF6C53"/>
    <w:rsid w:val="00CF7B78"/>
    <w:rsid w:val="00D008F1"/>
    <w:rsid w:val="00D01495"/>
    <w:rsid w:val="00D0218D"/>
    <w:rsid w:val="00D04448"/>
    <w:rsid w:val="00D04510"/>
    <w:rsid w:val="00D05FE2"/>
    <w:rsid w:val="00D10BA1"/>
    <w:rsid w:val="00D11379"/>
    <w:rsid w:val="00D23A1C"/>
    <w:rsid w:val="00D25FB5"/>
    <w:rsid w:val="00D26516"/>
    <w:rsid w:val="00D337AB"/>
    <w:rsid w:val="00D420DB"/>
    <w:rsid w:val="00D44223"/>
    <w:rsid w:val="00D51254"/>
    <w:rsid w:val="00D532A1"/>
    <w:rsid w:val="00D57638"/>
    <w:rsid w:val="00D6074E"/>
    <w:rsid w:val="00D63925"/>
    <w:rsid w:val="00D65F54"/>
    <w:rsid w:val="00D666D6"/>
    <w:rsid w:val="00D7056F"/>
    <w:rsid w:val="00D71B31"/>
    <w:rsid w:val="00D82891"/>
    <w:rsid w:val="00D84154"/>
    <w:rsid w:val="00D854B6"/>
    <w:rsid w:val="00D86ACC"/>
    <w:rsid w:val="00D87E36"/>
    <w:rsid w:val="00D928E2"/>
    <w:rsid w:val="00D9579E"/>
    <w:rsid w:val="00D964D7"/>
    <w:rsid w:val="00DA2529"/>
    <w:rsid w:val="00DA65FC"/>
    <w:rsid w:val="00DB130A"/>
    <w:rsid w:val="00DB2EBB"/>
    <w:rsid w:val="00DB3632"/>
    <w:rsid w:val="00DB5B01"/>
    <w:rsid w:val="00DC10A1"/>
    <w:rsid w:val="00DC655F"/>
    <w:rsid w:val="00DC7C58"/>
    <w:rsid w:val="00DD0B59"/>
    <w:rsid w:val="00DD11A0"/>
    <w:rsid w:val="00DD3091"/>
    <w:rsid w:val="00DD3C2C"/>
    <w:rsid w:val="00DD5E81"/>
    <w:rsid w:val="00DD7EBD"/>
    <w:rsid w:val="00DE0B0D"/>
    <w:rsid w:val="00DE1908"/>
    <w:rsid w:val="00DE216F"/>
    <w:rsid w:val="00DE29B7"/>
    <w:rsid w:val="00DE559C"/>
    <w:rsid w:val="00DE6D6E"/>
    <w:rsid w:val="00DF2025"/>
    <w:rsid w:val="00DF62B6"/>
    <w:rsid w:val="00DF67A5"/>
    <w:rsid w:val="00E0127F"/>
    <w:rsid w:val="00E03017"/>
    <w:rsid w:val="00E04C89"/>
    <w:rsid w:val="00E04FBE"/>
    <w:rsid w:val="00E07225"/>
    <w:rsid w:val="00E101B7"/>
    <w:rsid w:val="00E10BCB"/>
    <w:rsid w:val="00E14B1F"/>
    <w:rsid w:val="00E174B4"/>
    <w:rsid w:val="00E2258C"/>
    <w:rsid w:val="00E33543"/>
    <w:rsid w:val="00E35381"/>
    <w:rsid w:val="00E3601A"/>
    <w:rsid w:val="00E4018C"/>
    <w:rsid w:val="00E436A7"/>
    <w:rsid w:val="00E44F98"/>
    <w:rsid w:val="00E510FA"/>
    <w:rsid w:val="00E5409F"/>
    <w:rsid w:val="00E56CDE"/>
    <w:rsid w:val="00E5730E"/>
    <w:rsid w:val="00E658BF"/>
    <w:rsid w:val="00E75272"/>
    <w:rsid w:val="00E80A1A"/>
    <w:rsid w:val="00E843F8"/>
    <w:rsid w:val="00E84640"/>
    <w:rsid w:val="00E84EEC"/>
    <w:rsid w:val="00E87A06"/>
    <w:rsid w:val="00E90ADB"/>
    <w:rsid w:val="00E93E12"/>
    <w:rsid w:val="00E940B8"/>
    <w:rsid w:val="00E96024"/>
    <w:rsid w:val="00EA5240"/>
    <w:rsid w:val="00EA73CD"/>
    <w:rsid w:val="00EB2671"/>
    <w:rsid w:val="00EB6159"/>
    <w:rsid w:val="00EB65E0"/>
    <w:rsid w:val="00EB6A8D"/>
    <w:rsid w:val="00EC4C1C"/>
    <w:rsid w:val="00EE3F06"/>
    <w:rsid w:val="00EE4F35"/>
    <w:rsid w:val="00EE6488"/>
    <w:rsid w:val="00EE6ABD"/>
    <w:rsid w:val="00EE7F0E"/>
    <w:rsid w:val="00EF4132"/>
    <w:rsid w:val="00EF7E2A"/>
    <w:rsid w:val="00F02091"/>
    <w:rsid w:val="00F021FA"/>
    <w:rsid w:val="00F03BF9"/>
    <w:rsid w:val="00F043B6"/>
    <w:rsid w:val="00F05D86"/>
    <w:rsid w:val="00F0741F"/>
    <w:rsid w:val="00F10332"/>
    <w:rsid w:val="00F163AB"/>
    <w:rsid w:val="00F200C5"/>
    <w:rsid w:val="00F218C2"/>
    <w:rsid w:val="00F24506"/>
    <w:rsid w:val="00F24B80"/>
    <w:rsid w:val="00F277FF"/>
    <w:rsid w:val="00F3385D"/>
    <w:rsid w:val="00F4625A"/>
    <w:rsid w:val="00F47F76"/>
    <w:rsid w:val="00F50F11"/>
    <w:rsid w:val="00F5164F"/>
    <w:rsid w:val="00F51D44"/>
    <w:rsid w:val="00F52325"/>
    <w:rsid w:val="00F52887"/>
    <w:rsid w:val="00F536FC"/>
    <w:rsid w:val="00F559D7"/>
    <w:rsid w:val="00F5631C"/>
    <w:rsid w:val="00F6084F"/>
    <w:rsid w:val="00F6156F"/>
    <w:rsid w:val="00F62395"/>
    <w:rsid w:val="00F62E97"/>
    <w:rsid w:val="00F64209"/>
    <w:rsid w:val="00F67FBF"/>
    <w:rsid w:val="00F719DC"/>
    <w:rsid w:val="00F73C09"/>
    <w:rsid w:val="00F7414F"/>
    <w:rsid w:val="00F74847"/>
    <w:rsid w:val="00F81800"/>
    <w:rsid w:val="00F81D5A"/>
    <w:rsid w:val="00F8298A"/>
    <w:rsid w:val="00F84550"/>
    <w:rsid w:val="00F904FE"/>
    <w:rsid w:val="00F912AF"/>
    <w:rsid w:val="00F912F0"/>
    <w:rsid w:val="00F921B5"/>
    <w:rsid w:val="00F929C3"/>
    <w:rsid w:val="00F92CFF"/>
    <w:rsid w:val="00F93BF5"/>
    <w:rsid w:val="00FA66B4"/>
    <w:rsid w:val="00FA7488"/>
    <w:rsid w:val="00FB0AD1"/>
    <w:rsid w:val="00FB1017"/>
    <w:rsid w:val="00FB1688"/>
    <w:rsid w:val="00FB3E9D"/>
    <w:rsid w:val="00FB3EF6"/>
    <w:rsid w:val="00FB76C9"/>
    <w:rsid w:val="00FC1FD3"/>
    <w:rsid w:val="00FC4BB1"/>
    <w:rsid w:val="00FC57BC"/>
    <w:rsid w:val="00FC60C4"/>
    <w:rsid w:val="00FC6FCF"/>
    <w:rsid w:val="00FC79CF"/>
    <w:rsid w:val="00FD28CC"/>
    <w:rsid w:val="00FD36BF"/>
    <w:rsid w:val="00FE1FB1"/>
    <w:rsid w:val="00FE1FE2"/>
    <w:rsid w:val="00FE438E"/>
    <w:rsid w:val="00FE7E46"/>
    <w:rsid w:val="00FF2086"/>
    <w:rsid w:val="00FF62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A8D6F7"/>
  <w15:chartTrackingRefBased/>
  <w15:docId w15:val="{B4F1B4B1-3184-4E82-B52F-8EA26183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autoRedefine/>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Ref,Style 1"/>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Heading1Char">
    <w:name w:val="Heading 1 Char"/>
    <w:link w:val="Heading1"/>
    <w:rsid w:val="0047396B"/>
    <w:rPr>
      <w:rFonts w:ascii="Times New Roman Bold" w:hAnsi="Times New Roman Bold"/>
      <w:b/>
      <w:caps/>
      <w:snapToGrid w:val="0"/>
      <w:kern w:val="28"/>
      <w:sz w:val="22"/>
    </w:rPr>
  </w:style>
  <w:style w:type="character" w:customStyle="1" w:styleId="FootnoteTextChar">
    <w:name w:val="Footnote Text Char"/>
    <w:link w:val="FootnoteText"/>
    <w:rsid w:val="0047396B"/>
  </w:style>
  <w:style w:type="character" w:customStyle="1" w:styleId="ParaNumChar">
    <w:name w:val="ParaNum Char"/>
    <w:link w:val="ParaNum"/>
    <w:locked/>
    <w:rsid w:val="0047396B"/>
    <w:rPr>
      <w:snapToGrid w:val="0"/>
      <w:kern w:val="28"/>
      <w:sz w:val="22"/>
    </w:rPr>
  </w:style>
  <w:style w:type="character" w:styleId="UnresolvedMention">
    <w:name w:val="Unresolved Mention"/>
    <w:uiPriority w:val="99"/>
    <w:semiHidden/>
    <w:unhideWhenUsed/>
    <w:rsid w:val="00886F26"/>
    <w:rPr>
      <w:color w:val="605E5C"/>
      <w:shd w:val="clear" w:color="auto" w:fill="E1DFDD"/>
    </w:rPr>
  </w:style>
  <w:style w:type="paragraph" w:styleId="Revision">
    <w:name w:val="Revision"/>
    <w:hidden/>
    <w:uiPriority w:val="99"/>
    <w:semiHidden/>
    <w:rsid w:val="009F0EE7"/>
    <w:rPr>
      <w:snapToGrid w:val="0"/>
      <w:kern w:val="28"/>
      <w:sz w:val="22"/>
    </w:rPr>
  </w:style>
  <w:style w:type="character" w:styleId="CommentReference">
    <w:name w:val="annotation reference"/>
    <w:rsid w:val="00AB5B9E"/>
    <w:rPr>
      <w:sz w:val="16"/>
      <w:szCs w:val="16"/>
    </w:rPr>
  </w:style>
  <w:style w:type="paragraph" w:styleId="CommentText">
    <w:name w:val="annotation text"/>
    <w:basedOn w:val="Normal"/>
    <w:link w:val="CommentTextChar"/>
    <w:rsid w:val="00AB5B9E"/>
    <w:rPr>
      <w:sz w:val="20"/>
    </w:rPr>
  </w:style>
  <w:style w:type="character" w:customStyle="1" w:styleId="CommentTextChar">
    <w:name w:val="Comment Text Char"/>
    <w:link w:val="CommentText"/>
    <w:rsid w:val="00AB5B9E"/>
    <w:rPr>
      <w:snapToGrid w:val="0"/>
      <w:kern w:val="28"/>
    </w:rPr>
  </w:style>
  <w:style w:type="paragraph" w:styleId="CommentSubject">
    <w:name w:val="annotation subject"/>
    <w:basedOn w:val="CommentText"/>
    <w:next w:val="CommentText"/>
    <w:link w:val="CommentSubjectChar"/>
    <w:rsid w:val="00AB5B9E"/>
    <w:rPr>
      <w:b/>
      <w:bCs/>
    </w:rPr>
  </w:style>
  <w:style w:type="character" w:customStyle="1" w:styleId="CommentSubjectChar">
    <w:name w:val="Comment Subject Char"/>
    <w:link w:val="CommentSubject"/>
    <w:rsid w:val="00AB5B9E"/>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fcc504@fcc.gov" TargetMode="External" /><Relationship Id="rId7" Type="http://schemas.openxmlformats.org/officeDocument/2006/relationships/hyperlink" Target="mailto:William.Wallac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529075858473/1"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