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211803" w:rsidRPr="00275A42" w:rsidP="00211803" w14:paraId="35E1C0D3" w14:textId="77777777">
      <w:pPr>
        <w:tabs>
          <w:tab w:val="center" w:pos="4680"/>
          <w:tab w:val="left" w:pos="7708"/>
        </w:tabs>
        <w:rPr>
          <w:b/>
        </w:rPr>
      </w:pPr>
      <w:r w:rsidRPr="00D87E36">
        <w:rPr>
          <w:b/>
          <w:kern w:val="0"/>
        </w:rPr>
        <w:tab/>
        <w:t>Before</w:t>
      </w:r>
      <w:r w:rsidRPr="00275A42">
        <w:rPr>
          <w:b/>
        </w:rPr>
        <w:t xml:space="preserve"> the</w:t>
      </w:r>
      <w:r w:rsidRPr="00275A42">
        <w:rPr>
          <w:b/>
        </w:rPr>
        <w:tab/>
      </w:r>
    </w:p>
    <w:p w:rsidR="00211803" w:rsidRPr="00D87E36" w:rsidP="00211803" w14:paraId="30AF3306" w14:textId="77777777">
      <w:pPr>
        <w:jc w:val="center"/>
        <w:rPr>
          <w:b/>
          <w:bCs/>
          <w:caps/>
        </w:rPr>
      </w:pPr>
      <w:r w:rsidRPr="00D87E36">
        <w:rPr>
          <w:b/>
          <w:bCs/>
          <w:caps/>
        </w:rPr>
        <w:t>F</w:t>
      </w:r>
      <w:r w:rsidRPr="00D87E36">
        <w:rPr>
          <w:b/>
          <w:bCs/>
        </w:rPr>
        <w:t>ederal Communications Commission</w:t>
      </w:r>
    </w:p>
    <w:p w:rsidR="00211803" w:rsidRPr="00D87E36" w:rsidP="00211803" w14:paraId="4C4534E3" w14:textId="77777777">
      <w:pPr>
        <w:jc w:val="center"/>
        <w:rPr>
          <w:b/>
          <w:bCs/>
          <w:caps/>
        </w:rPr>
      </w:pPr>
      <w:r w:rsidRPr="00D87E36">
        <w:rPr>
          <w:b/>
          <w:bCs/>
        </w:rPr>
        <w:t>Washington, D.C. 20554</w:t>
      </w:r>
    </w:p>
    <w:p w:rsidR="00211803" w:rsidRPr="00275A42" w:rsidP="00211803" w14:paraId="160ABBCA" w14:textId="77777777"/>
    <w:p w:rsidR="00211803" w:rsidRPr="00275A42" w:rsidP="00211803" w14:paraId="34D2E743" w14:textId="77777777"/>
    <w:tbl>
      <w:tblPr>
        <w:tblW w:w="0" w:type="auto"/>
        <w:tblLayout w:type="fixed"/>
        <w:tblLook w:val="0000"/>
      </w:tblPr>
      <w:tblGrid>
        <w:gridCol w:w="4698"/>
        <w:gridCol w:w="630"/>
        <w:gridCol w:w="4248"/>
      </w:tblGrid>
      <w:tr w14:paraId="1952985C" w14:textId="77777777" w:rsidTr="00E9074A">
        <w:tblPrEx>
          <w:tblW w:w="0" w:type="auto"/>
          <w:tblLayout w:type="fixed"/>
          <w:tblLook w:val="0000"/>
        </w:tblPrEx>
        <w:tc>
          <w:tcPr>
            <w:tcW w:w="4698" w:type="dxa"/>
          </w:tcPr>
          <w:p w:rsidR="00211803" w:rsidRPr="00275A42" w:rsidP="00E9074A" w14:paraId="19FEB5A2" w14:textId="77777777">
            <w:pPr>
              <w:tabs>
                <w:tab w:val="center" w:pos="4680"/>
              </w:tabs>
              <w:suppressAutoHyphens/>
              <w:rPr>
                <w:spacing w:val="-2"/>
              </w:rPr>
            </w:pPr>
            <w:r w:rsidRPr="00275A42">
              <w:rPr>
                <w:spacing w:val="-2"/>
              </w:rPr>
              <w:t>In the Matter of</w:t>
            </w:r>
          </w:p>
          <w:p w:rsidR="00211803" w:rsidRPr="00275A42" w:rsidP="00E9074A" w14:paraId="5B8AB57B" w14:textId="77777777">
            <w:pPr>
              <w:tabs>
                <w:tab w:val="center" w:pos="4680"/>
              </w:tabs>
              <w:suppressAutoHyphens/>
              <w:rPr>
                <w:spacing w:val="-2"/>
              </w:rPr>
            </w:pPr>
          </w:p>
          <w:p w:rsidR="00211803" w:rsidRPr="00275A42" w:rsidP="00E9074A" w14:paraId="73612146" w14:textId="77777777">
            <w:pPr>
              <w:tabs>
                <w:tab w:val="center" w:pos="4680"/>
              </w:tabs>
              <w:suppressAutoHyphens/>
              <w:rPr>
                <w:spacing w:val="-2"/>
              </w:rPr>
            </w:pPr>
            <w:r w:rsidRPr="00275A42">
              <w:t>Telecommunications Relay Services and Speech-to-Speech Services for Individuals with Hearing and Speech Disabilities</w:t>
            </w:r>
          </w:p>
        </w:tc>
        <w:tc>
          <w:tcPr>
            <w:tcW w:w="630" w:type="dxa"/>
          </w:tcPr>
          <w:p w:rsidR="00211803" w:rsidRPr="00275A42" w:rsidP="00E9074A" w14:paraId="7046625A" w14:textId="77777777">
            <w:pPr>
              <w:tabs>
                <w:tab w:val="center" w:pos="4680"/>
              </w:tabs>
              <w:suppressAutoHyphens/>
              <w:rPr>
                <w:b/>
                <w:spacing w:val="-2"/>
              </w:rPr>
            </w:pPr>
            <w:r w:rsidRPr="00275A42">
              <w:rPr>
                <w:b/>
                <w:spacing w:val="-2"/>
              </w:rPr>
              <w:t>)</w:t>
            </w:r>
          </w:p>
          <w:p w:rsidR="00211803" w:rsidRPr="00275A42" w:rsidP="00E9074A" w14:paraId="57381480" w14:textId="77777777">
            <w:pPr>
              <w:tabs>
                <w:tab w:val="center" w:pos="4680"/>
              </w:tabs>
              <w:suppressAutoHyphens/>
              <w:rPr>
                <w:b/>
                <w:spacing w:val="-2"/>
              </w:rPr>
            </w:pPr>
            <w:r w:rsidRPr="00275A42">
              <w:rPr>
                <w:b/>
                <w:spacing w:val="-2"/>
              </w:rPr>
              <w:t>)</w:t>
            </w:r>
          </w:p>
          <w:p w:rsidR="00211803" w:rsidRPr="00275A42" w:rsidP="00E9074A" w14:paraId="1D774B71" w14:textId="77777777">
            <w:pPr>
              <w:tabs>
                <w:tab w:val="center" w:pos="4680"/>
              </w:tabs>
              <w:suppressAutoHyphens/>
              <w:rPr>
                <w:b/>
                <w:spacing w:val="-2"/>
              </w:rPr>
            </w:pPr>
            <w:r w:rsidRPr="00275A42">
              <w:rPr>
                <w:b/>
                <w:spacing w:val="-2"/>
              </w:rPr>
              <w:t>)</w:t>
            </w:r>
          </w:p>
          <w:p w:rsidR="00211803" w:rsidRPr="00275A42" w:rsidP="00E9074A" w14:paraId="0495F8D5" w14:textId="77777777">
            <w:pPr>
              <w:tabs>
                <w:tab w:val="center" w:pos="4680"/>
              </w:tabs>
              <w:suppressAutoHyphens/>
              <w:rPr>
                <w:b/>
                <w:spacing w:val="-2"/>
              </w:rPr>
            </w:pPr>
            <w:r w:rsidRPr="00275A42">
              <w:rPr>
                <w:b/>
                <w:spacing w:val="-2"/>
              </w:rPr>
              <w:t>)</w:t>
            </w:r>
          </w:p>
          <w:p w:rsidR="00211803" w:rsidRPr="00275A42" w:rsidP="00E9074A" w14:paraId="0877C180" w14:textId="77777777">
            <w:pPr>
              <w:tabs>
                <w:tab w:val="center" w:pos="4680"/>
              </w:tabs>
              <w:suppressAutoHyphens/>
              <w:rPr>
                <w:b/>
                <w:spacing w:val="-2"/>
              </w:rPr>
            </w:pPr>
            <w:r w:rsidRPr="00275A42">
              <w:rPr>
                <w:b/>
                <w:spacing w:val="-2"/>
              </w:rPr>
              <w:t>)</w:t>
            </w:r>
          </w:p>
          <w:p w:rsidR="00211803" w:rsidRPr="00CB1AD8" w:rsidP="00E9074A" w14:paraId="7546EEDD" w14:textId="77777777">
            <w:pPr>
              <w:tabs>
                <w:tab w:val="center" w:pos="4680"/>
              </w:tabs>
              <w:suppressAutoHyphens/>
              <w:rPr>
                <w:b/>
                <w:spacing w:val="-2"/>
              </w:rPr>
            </w:pPr>
            <w:r w:rsidRPr="00275A42">
              <w:rPr>
                <w:b/>
                <w:spacing w:val="-2"/>
              </w:rPr>
              <w:t>)</w:t>
            </w:r>
          </w:p>
        </w:tc>
        <w:tc>
          <w:tcPr>
            <w:tcW w:w="4248" w:type="dxa"/>
          </w:tcPr>
          <w:p w:rsidR="00211803" w:rsidRPr="00275A42" w:rsidP="00E9074A" w14:paraId="3D468A4C" w14:textId="77777777">
            <w:pPr>
              <w:tabs>
                <w:tab w:val="center" w:pos="4680"/>
              </w:tabs>
              <w:suppressAutoHyphens/>
              <w:rPr>
                <w:spacing w:val="-2"/>
              </w:rPr>
            </w:pPr>
          </w:p>
          <w:p w:rsidR="00211803" w:rsidRPr="00275A42" w:rsidP="00E9074A" w14:paraId="563462BF" w14:textId="77777777">
            <w:pPr>
              <w:tabs>
                <w:tab w:val="center" w:pos="4680"/>
              </w:tabs>
              <w:suppressAutoHyphens/>
              <w:rPr>
                <w:spacing w:val="-2"/>
              </w:rPr>
            </w:pPr>
          </w:p>
          <w:p w:rsidR="00211803" w:rsidRPr="00275A42" w:rsidP="00E9074A" w14:paraId="32BD0AC3" w14:textId="77777777">
            <w:pPr>
              <w:tabs>
                <w:tab w:val="center" w:pos="4680"/>
              </w:tabs>
              <w:suppressAutoHyphens/>
              <w:rPr>
                <w:spacing w:val="-2"/>
              </w:rPr>
            </w:pPr>
            <w:r w:rsidRPr="00275A42">
              <w:rPr>
                <w:spacing w:val="-2"/>
              </w:rPr>
              <w:t>CG Docket No. 03-123</w:t>
            </w:r>
          </w:p>
        </w:tc>
      </w:tr>
    </w:tbl>
    <w:p w:rsidR="00211803" w:rsidRPr="00275A42" w:rsidP="00211803" w14:paraId="10ABB9C5" w14:textId="77777777"/>
    <w:p w:rsidR="00211803" w:rsidRPr="00D87E36" w:rsidP="00211803" w14:paraId="270284D2" w14:textId="77777777">
      <w:pPr>
        <w:jc w:val="center"/>
        <w:rPr>
          <w:b/>
          <w:bCs/>
          <w:caps/>
        </w:rPr>
      </w:pPr>
      <w:bookmarkStart w:id="0" w:name="_Hlk30164013"/>
      <w:r w:rsidRPr="00D87E36">
        <w:rPr>
          <w:b/>
          <w:bCs/>
          <w:caps/>
        </w:rPr>
        <w:t xml:space="preserve">Order </w:t>
      </w:r>
    </w:p>
    <w:bookmarkEnd w:id="0"/>
    <w:p w:rsidR="00211803" w:rsidRPr="00275A42" w:rsidP="00211803" w14:paraId="26AE465B" w14:textId="77777777">
      <w:pPr>
        <w:tabs>
          <w:tab w:val="left" w:pos="-720"/>
        </w:tabs>
        <w:suppressAutoHyphens/>
        <w:rPr>
          <w:spacing w:val="-2"/>
        </w:rPr>
      </w:pPr>
    </w:p>
    <w:p w:rsidR="00211803" w:rsidRPr="00275A42" w:rsidP="00211803" w14:paraId="06CDD147" w14:textId="77777777">
      <w:pPr>
        <w:tabs>
          <w:tab w:val="left" w:pos="720"/>
          <w:tab w:val="right" w:pos="9360"/>
        </w:tabs>
        <w:suppressAutoHyphens/>
        <w:rPr>
          <w:spacing w:val="-2"/>
        </w:rPr>
      </w:pPr>
      <w:r w:rsidRPr="00275A42">
        <w:rPr>
          <w:b/>
          <w:spacing w:val="-2"/>
        </w:rPr>
        <w:t xml:space="preserve">Adopted:  </w:t>
      </w:r>
      <w:r w:rsidRPr="00BC4D63">
        <w:rPr>
          <w:b/>
          <w:spacing w:val="-2"/>
        </w:rPr>
        <w:t>January 17, 2024</w:t>
      </w:r>
      <w:r w:rsidRPr="00275A42">
        <w:rPr>
          <w:b/>
          <w:spacing w:val="-2"/>
        </w:rPr>
        <w:tab/>
        <w:t xml:space="preserve">Released:  </w:t>
      </w:r>
      <w:r w:rsidRPr="00BC4D63">
        <w:rPr>
          <w:b/>
          <w:spacing w:val="-2"/>
        </w:rPr>
        <w:t>January 17, 2024</w:t>
      </w:r>
    </w:p>
    <w:p w:rsidR="00211803" w:rsidRPr="00275A42" w:rsidP="00211803" w14:paraId="20E23775" w14:textId="77777777"/>
    <w:p w:rsidR="00211803" w:rsidRPr="00275A42" w:rsidP="00211803" w14:paraId="217652DB" w14:textId="77777777">
      <w:pPr>
        <w:rPr>
          <w:spacing w:val="-2"/>
        </w:rPr>
      </w:pPr>
      <w:r w:rsidRPr="00275A42">
        <w:t xml:space="preserve">By the </w:t>
      </w:r>
      <w:bookmarkStart w:id="1" w:name="_Hlk30164027"/>
      <w:r w:rsidRPr="00275A42">
        <w:rPr>
          <w:spacing w:val="-2"/>
        </w:rPr>
        <w:t>Chief, Consumer and Governmental Affairs Bureau:</w:t>
      </w:r>
      <w:bookmarkEnd w:id="1"/>
    </w:p>
    <w:p w:rsidR="00211803" w:rsidRPr="00275A42" w:rsidP="00211803" w14:paraId="53555CBF" w14:textId="77777777">
      <w:pPr>
        <w:rPr>
          <w:spacing w:val="-2"/>
        </w:rPr>
      </w:pPr>
    </w:p>
    <w:p w:rsidR="00211803" w:rsidRPr="00D87E36" w:rsidP="00211803" w14:paraId="0CD3E647" w14:textId="77777777">
      <w:pPr>
        <w:pStyle w:val="Heading1"/>
      </w:pPr>
      <w:r w:rsidRPr="00D87E36">
        <w:t>Introduction</w:t>
      </w:r>
    </w:p>
    <w:p w:rsidR="00211803" w:rsidRPr="00275A42" w:rsidP="00211803" w14:paraId="3835F1EF" w14:textId="77777777">
      <w:pPr>
        <w:pStyle w:val="ParaNum"/>
      </w:pPr>
      <w:bookmarkStart w:id="2" w:name="_Hlk30164380"/>
      <w:r w:rsidRPr="00275A42">
        <w:t>The Consumer and Governmental Affairs Bureau (</w:t>
      </w:r>
      <w:r>
        <w:t xml:space="preserve">CGB or </w:t>
      </w:r>
      <w:r w:rsidRPr="00275A42">
        <w:t>Bureau) of the Federal Communications Commission (</w:t>
      </w:r>
      <w:r>
        <w:t xml:space="preserve">FCC or </w:t>
      </w:r>
      <w:r w:rsidRPr="00275A42">
        <w:t xml:space="preserve">Commission) grants conditional certification to </w:t>
      </w:r>
      <w:r w:rsidRPr="00275A42">
        <w:t>NexTalk</w:t>
      </w:r>
      <w:r w:rsidRPr="00275A42">
        <w:t>, Inc. (</w:t>
      </w:r>
      <w:r w:rsidRPr="00275A42">
        <w:t>NexTalk</w:t>
      </w:r>
      <w:r w:rsidRPr="00F9773F">
        <w:t>), to</w:t>
      </w:r>
      <w:r w:rsidRPr="00275A42">
        <w:t xml:space="preserve"> provide Internet Protocol Captioned Telephone Service (IP CTS) </w:t>
      </w:r>
      <w:r>
        <w:t>on a fully automatic basis,</w:t>
      </w:r>
      <w:r w:rsidRPr="00951CAB">
        <w:t xml:space="preserve"> pending verification that its actual provision of IP CTS meets or exceeds the Commission’s minimum standards</w:t>
      </w:r>
      <w:r w:rsidRPr="00275A42">
        <w:t>.</w:t>
      </w:r>
      <w:r>
        <w:rPr>
          <w:sz w:val="20"/>
          <w:vertAlign w:val="superscript"/>
        </w:rPr>
        <w:footnoteReference w:id="3"/>
      </w:r>
      <w:r w:rsidRPr="00275A42">
        <w:t xml:space="preserve">  </w:t>
      </w:r>
      <w:r w:rsidRPr="007C768D">
        <w:t xml:space="preserve">This grant of conditional certification authorizes </w:t>
      </w:r>
      <w:r w:rsidRPr="00B9356C">
        <w:t>NexTalk</w:t>
      </w:r>
      <w:r w:rsidRPr="007C768D">
        <w:t xml:space="preserve"> to provide TRS Fund-supported IP CTS through January </w:t>
      </w:r>
      <w:r>
        <w:t>20</w:t>
      </w:r>
      <w:r w:rsidRPr="007C768D">
        <w:t>, 202</w:t>
      </w:r>
      <w:r>
        <w:t>6</w:t>
      </w:r>
      <w:r w:rsidRPr="007C768D">
        <w:t>, or the date of grant or denial of full certification, whichever occurs earlier.</w:t>
      </w:r>
      <w:r>
        <w:t xml:space="preserve">  </w:t>
      </w:r>
      <w:r w:rsidRPr="00275A42">
        <w:t>The</w:t>
      </w:r>
      <w:r>
        <w:t xml:space="preserve"> Bureau </w:t>
      </w:r>
      <w:r w:rsidRPr="00275A42">
        <w:t xml:space="preserve">also </w:t>
      </w:r>
      <w:r>
        <w:t xml:space="preserve">addresses </w:t>
      </w:r>
      <w:r>
        <w:t>NexTalk’s</w:t>
      </w:r>
      <w:r w:rsidRPr="00275A42">
        <w:t xml:space="preserve"> request for waiver of </w:t>
      </w:r>
      <w:r>
        <w:t xml:space="preserve">certain TRS </w:t>
      </w:r>
      <w:r w:rsidRPr="00275A42">
        <w:t>rule</w:t>
      </w:r>
      <w:r>
        <w:t>s.</w:t>
      </w:r>
      <w:r w:rsidRPr="00275A42">
        <w:t xml:space="preserve"> </w:t>
      </w:r>
    </w:p>
    <w:bookmarkEnd w:id="2"/>
    <w:p w:rsidR="00211803" w:rsidRPr="00D87E36" w:rsidP="00211803" w14:paraId="088F23E3" w14:textId="77777777">
      <w:pPr>
        <w:pStyle w:val="Heading1"/>
      </w:pPr>
      <w:r w:rsidRPr="00D87E36">
        <w:t>Background</w:t>
      </w:r>
    </w:p>
    <w:p w:rsidR="00211803" w:rsidP="00211803" w14:paraId="76606892" w14:textId="77777777">
      <w:pPr>
        <w:pStyle w:val="ParaNum"/>
      </w:pPr>
      <w:r>
        <w:t>NexTalk</w:t>
      </w:r>
      <w:r w:rsidRPr="00275A42">
        <w:t xml:space="preserve"> </w:t>
      </w:r>
      <w:r>
        <w:t xml:space="preserve">requests </w:t>
      </w:r>
      <w:r w:rsidRPr="00275A42">
        <w:t xml:space="preserve">certification to provide IP CTS </w:t>
      </w:r>
      <w:r>
        <w:t>on a fully automatic basis</w:t>
      </w:r>
      <w:r w:rsidRPr="00275A42">
        <w:t xml:space="preserve"> (i.e., </w:t>
      </w:r>
      <w:r>
        <w:t>using automatic speech recognition (ASR) only</w:t>
      </w:r>
      <w:r>
        <w:rPr>
          <w:rStyle w:val="FootnoteReference"/>
        </w:rPr>
        <w:footnoteReference w:id="4"/>
      </w:r>
      <w:r>
        <w:t xml:space="preserve"> for captioning of all calls, </w:t>
      </w:r>
      <w:r w:rsidRPr="00275A42">
        <w:t xml:space="preserve">without any reliance on </w:t>
      </w:r>
      <w:r>
        <w:t>communications assistants (</w:t>
      </w:r>
      <w:r w:rsidRPr="00275A42">
        <w:t>CAs)</w:t>
      </w:r>
      <w:r>
        <w:t>).</w:t>
      </w:r>
      <w:r>
        <w:rPr>
          <w:rStyle w:val="FootnoteReference"/>
        </w:rPr>
        <w:footnoteReference w:id="5"/>
      </w:r>
      <w:r>
        <w:t xml:space="preserve">  </w:t>
      </w:r>
      <w:r>
        <w:t>NexTalk</w:t>
      </w:r>
      <w:r>
        <w:t xml:space="preserve"> also </w:t>
      </w:r>
      <w:r w:rsidRPr="00275A42">
        <w:t>request</w:t>
      </w:r>
      <w:r>
        <w:t>s</w:t>
      </w:r>
      <w:r w:rsidRPr="00275A42">
        <w:t xml:space="preserve"> waiver of certain mandatory minimum TRS </w:t>
      </w:r>
      <w:r w:rsidRPr="00275A42">
        <w:t>standards.</w:t>
      </w:r>
      <w:r>
        <w:rPr>
          <w:rStyle w:val="FootnoteReference"/>
        </w:rPr>
        <w:footnoteReference w:id="6"/>
      </w:r>
      <w:r w:rsidRPr="00275A42">
        <w:t xml:space="preserve">  </w:t>
      </w:r>
      <w:r w:rsidRPr="00275A42">
        <w:t>NexTalk’s</w:t>
      </w:r>
      <w:r w:rsidRPr="00275A42">
        <w:t xml:space="preserve"> proposed ASR-only IP CTS will be delivered via an over-the-top (OTT) </w:t>
      </w:r>
      <w:r>
        <w:t>application</w:t>
      </w:r>
      <w:r w:rsidRPr="00275A42">
        <w:t xml:space="preserve">—branded </w:t>
      </w:r>
      <w:r w:rsidRPr="00275A42">
        <w:t>SpeechPath</w:t>
      </w:r>
      <w:r>
        <w:t xml:space="preserve">, and “developed by and exclusively for </w:t>
      </w:r>
      <w:r>
        <w:t>NexTalk</w:t>
      </w:r>
      <w:r>
        <w:t>”</w:t>
      </w:r>
      <w:r>
        <w:rPr>
          <w:rStyle w:val="FootnoteReference"/>
        </w:rPr>
        <w:footnoteReference w:id="7"/>
      </w:r>
      <w:r w:rsidRPr="00275A42">
        <w:t>—that will be available to download and install on Windows-based, Internet-connected devices.</w:t>
      </w:r>
      <w:r>
        <w:rPr>
          <w:rStyle w:val="FootnoteReference"/>
        </w:rPr>
        <w:footnoteReference w:id="8"/>
      </w:r>
      <w:r w:rsidRPr="00275A42">
        <w:t xml:space="preserve">  </w:t>
      </w:r>
      <w:r w:rsidRPr="00275A42">
        <w:t>NexTalk</w:t>
      </w:r>
      <w:r w:rsidRPr="00275A42">
        <w:t xml:space="preserve"> will assign users a ten-digit number to send and receive calls.</w:t>
      </w:r>
      <w:r>
        <w:rPr>
          <w:rStyle w:val="FootnoteReference"/>
        </w:rPr>
        <w:footnoteReference w:id="9"/>
      </w:r>
      <w:r w:rsidRPr="00275A42">
        <w:t xml:space="preserve">  </w:t>
      </w:r>
      <w:r w:rsidRPr="00275A42">
        <w:t>NexTalk</w:t>
      </w:r>
      <w:r w:rsidRPr="00275A42">
        <w:t xml:space="preserve"> contends that its ASR-only captioning approach improves upon traditional TRS solutions due to ASR’s significantly higher accuracy, faster speed of answer and transcription speed, greater privacy, and lower captioning latency.</w:t>
      </w:r>
      <w:r>
        <w:rPr>
          <w:rStyle w:val="FootnoteReference"/>
        </w:rPr>
        <w:footnoteReference w:id="10"/>
      </w:r>
      <w:r w:rsidRPr="00275A42">
        <w:t xml:space="preserve">  </w:t>
      </w:r>
      <w:r w:rsidRPr="002E0965">
        <w:t xml:space="preserve"> </w:t>
      </w:r>
    </w:p>
    <w:p w:rsidR="00211803" w:rsidRPr="00275A42" w:rsidP="00211803" w14:paraId="6B989037" w14:textId="77777777">
      <w:pPr>
        <w:pStyle w:val="ParaNum"/>
      </w:pPr>
      <w:r w:rsidRPr="00275A42">
        <w:t xml:space="preserve">On February 17, 2022, the Bureau </w:t>
      </w:r>
      <w:r>
        <w:t>sought</w:t>
      </w:r>
      <w:r w:rsidRPr="00275A42">
        <w:t xml:space="preserve"> comment on </w:t>
      </w:r>
      <w:r w:rsidRPr="00275A42">
        <w:t>NexTalk’s</w:t>
      </w:r>
      <w:r w:rsidRPr="00275A42">
        <w:t xml:space="preserve"> application and waiver request.</w:t>
      </w:r>
      <w:r>
        <w:rPr>
          <w:sz w:val="20"/>
          <w:vertAlign w:val="superscript"/>
        </w:rPr>
        <w:footnoteReference w:id="11"/>
      </w:r>
      <w:r w:rsidRPr="00275A42">
        <w:t xml:space="preserve">  </w:t>
      </w:r>
      <w:r>
        <w:t>A coalition of a</w:t>
      </w:r>
      <w:r w:rsidRPr="00354EBF">
        <w:rPr>
          <w:iCs/>
        </w:rPr>
        <w:t xml:space="preserve">ccessibility </w:t>
      </w:r>
      <w:r>
        <w:rPr>
          <w:iCs/>
        </w:rPr>
        <w:t>a</w:t>
      </w:r>
      <w:r w:rsidRPr="00354EBF">
        <w:rPr>
          <w:iCs/>
        </w:rPr>
        <w:t xml:space="preserve">dvocacy and </w:t>
      </w:r>
      <w:r>
        <w:rPr>
          <w:iCs/>
        </w:rPr>
        <w:t>r</w:t>
      </w:r>
      <w:r w:rsidRPr="00354EBF">
        <w:rPr>
          <w:iCs/>
        </w:rPr>
        <w:t xml:space="preserve">esearch </w:t>
      </w:r>
      <w:r>
        <w:rPr>
          <w:iCs/>
        </w:rPr>
        <w:t>o</w:t>
      </w:r>
      <w:r w:rsidRPr="00354EBF">
        <w:rPr>
          <w:iCs/>
        </w:rPr>
        <w:t>rganizations</w:t>
      </w:r>
      <w:r>
        <w:rPr>
          <w:iCs/>
        </w:rPr>
        <w:t xml:space="preserve"> (AARO)</w:t>
      </w:r>
      <w:r>
        <w:t xml:space="preserve"> </w:t>
      </w:r>
      <w:r w:rsidRPr="00275A42">
        <w:t>filed comments</w:t>
      </w:r>
      <w:r>
        <w:t>.</w:t>
      </w:r>
      <w:r>
        <w:rPr>
          <w:rStyle w:val="FootnoteReference"/>
        </w:rPr>
        <w:footnoteReference w:id="12"/>
      </w:r>
      <w:r>
        <w:t xml:space="preserve">  While not opposing </w:t>
      </w:r>
      <w:r>
        <w:t>NexTalk’s</w:t>
      </w:r>
      <w:r>
        <w:t xml:space="preserve"> application, AARO argues that all providers of ASR-only IP CTS should be required to </w:t>
      </w:r>
      <w:r w:rsidRPr="00F516AF">
        <w:t xml:space="preserve">offer a CA-assisted mode and </w:t>
      </w:r>
      <w:r>
        <w:t>to allow users to switch from ASR-only to CA-assisted mode</w:t>
      </w:r>
      <w:r w:rsidRPr="00F5677D">
        <w:t xml:space="preserve"> during a call</w:t>
      </w:r>
      <w:r>
        <w:t>.</w:t>
      </w:r>
      <w:r>
        <w:rPr>
          <w:rStyle w:val="FootnoteReference"/>
        </w:rPr>
        <w:footnoteReference w:id="13"/>
      </w:r>
      <w:r>
        <w:t xml:space="preserve">  AARO also states a general concern regarding the need to establish metrics for IP CTS service quality.</w:t>
      </w:r>
      <w:r>
        <w:rPr>
          <w:rStyle w:val="FootnoteReference"/>
        </w:rPr>
        <w:footnoteReference w:id="14"/>
      </w:r>
      <w:r w:rsidRPr="00275A42">
        <w:t xml:space="preserve"> </w:t>
      </w:r>
      <w:r>
        <w:t xml:space="preserve"> </w:t>
      </w:r>
      <w:r w:rsidRPr="00275A42">
        <w:t>NexTalk</w:t>
      </w:r>
      <w:r w:rsidRPr="00275A42">
        <w:t xml:space="preserve"> filed </w:t>
      </w:r>
      <w:r>
        <w:t xml:space="preserve">a </w:t>
      </w:r>
      <w:r w:rsidRPr="00275A42">
        <w:t>reply</w:t>
      </w:r>
      <w:r>
        <w:t>.</w:t>
      </w:r>
      <w:r>
        <w:rPr>
          <w:rStyle w:val="FootnoteReference"/>
        </w:rPr>
        <w:footnoteReference w:id="15"/>
      </w:r>
      <w:r w:rsidRPr="00275A42">
        <w:t xml:space="preserve">  </w:t>
      </w:r>
    </w:p>
    <w:p w:rsidR="00211803" w:rsidRPr="00275A42" w:rsidP="00211803" w14:paraId="56E16C77" w14:textId="77777777">
      <w:pPr>
        <w:pStyle w:val="ParaNum"/>
      </w:pPr>
      <w:r>
        <w:t>NexTalk’s</w:t>
      </w:r>
      <w:r w:rsidRPr="007776EC">
        <w:t xml:space="preserve"> platform was tested for caption delay and accuracy by the Commission’s National Test Lab</w:t>
      </w:r>
      <w:r>
        <w:t xml:space="preserve"> (NTL)</w:t>
      </w:r>
      <w:r w:rsidRPr="007776EC">
        <w:t>.</w:t>
      </w:r>
      <w:r>
        <w:rPr>
          <w:rStyle w:val="FootnoteReference"/>
        </w:rPr>
        <w:footnoteReference w:id="16"/>
      </w:r>
    </w:p>
    <w:p w:rsidR="00211803" w:rsidRPr="00D87E36" w:rsidP="00211803" w14:paraId="210AED05" w14:textId="77777777">
      <w:pPr>
        <w:pStyle w:val="Heading1"/>
      </w:pPr>
      <w:r w:rsidRPr="00D87E36">
        <w:t>Certification</w:t>
      </w:r>
    </w:p>
    <w:p w:rsidR="00211803" w:rsidRPr="00275A42" w:rsidP="00211803" w14:paraId="3B339FD9" w14:textId="77777777">
      <w:pPr>
        <w:pStyle w:val="ParaNum"/>
      </w:pPr>
      <w:r w:rsidRPr="00275A42">
        <w:t xml:space="preserve">We conditionally grant the application </w:t>
      </w:r>
      <w:r>
        <w:t>subject to</w:t>
      </w:r>
      <w:r w:rsidRPr="001A0C17">
        <w:t xml:space="preserve"> verification</w:t>
      </w:r>
      <w:r w:rsidRPr="00275A42">
        <w:t xml:space="preserve">—based on actual operating experience—that </w:t>
      </w:r>
      <w:r w:rsidRPr="00275A42">
        <w:t>NexTalk’s</w:t>
      </w:r>
      <w:r w:rsidRPr="00275A42">
        <w:t xml:space="preserve"> provision of IP CTS will meet or exceed the minimum TRS standards.</w:t>
      </w:r>
      <w:r>
        <w:rPr>
          <w:sz w:val="20"/>
          <w:vertAlign w:val="superscript"/>
        </w:rPr>
        <w:footnoteReference w:id="17"/>
      </w:r>
      <w:r w:rsidRPr="00275A42">
        <w:t xml:space="preserve">  </w:t>
      </w:r>
    </w:p>
    <w:p w:rsidR="00211803" w:rsidRPr="00275A42" w:rsidP="00211803" w14:paraId="4688292A" w14:textId="77777777">
      <w:pPr>
        <w:pStyle w:val="ParaNum"/>
        <w:widowControl/>
      </w:pPr>
      <w:r w:rsidRPr="00275A42">
        <w:rPr>
          <w:i/>
          <w:iCs/>
        </w:rPr>
        <w:t>Sufficiency of the Application</w:t>
      </w:r>
      <w:r w:rsidRPr="00275A42">
        <w:t xml:space="preserve">.  </w:t>
      </w:r>
      <w:r w:rsidRPr="00275A42">
        <w:t>NexTalk’s</w:t>
      </w:r>
      <w:r w:rsidRPr="00275A42">
        <w:t xml:space="preserve"> application </w:t>
      </w:r>
      <w:r>
        <w:t xml:space="preserve">is </w:t>
      </w:r>
      <w:r w:rsidRPr="00275A42">
        <w:t xml:space="preserve">facially sufficient to satisfy the Commission’s certification requirements.  The application </w:t>
      </w:r>
      <w:r>
        <w:t xml:space="preserve">and supporting information </w:t>
      </w:r>
      <w:r w:rsidRPr="00275A42">
        <w:t xml:space="preserve">provide a sufficient </w:t>
      </w:r>
      <w:r w:rsidRPr="00275A42">
        <w:t xml:space="preserve">explanation, with documentary and other evidence, as to how the applicant will </w:t>
      </w:r>
      <w:r w:rsidRPr="00845380">
        <w:t>provide IP CTS</w:t>
      </w:r>
      <w:r>
        <w:t xml:space="preserve"> and</w:t>
      </w:r>
      <w:r w:rsidRPr="00845380">
        <w:t xml:space="preserve"> </w:t>
      </w:r>
      <w:r w:rsidRPr="00275A42">
        <w:t>meet all minimum standards</w:t>
      </w:r>
      <w:r>
        <w:t xml:space="preserve"> relevant to consideration of its application</w:t>
      </w:r>
      <w:r w:rsidRPr="00275A42">
        <w:t>.</w:t>
      </w:r>
      <w:r>
        <w:rPr>
          <w:sz w:val="20"/>
          <w:vertAlign w:val="superscript"/>
        </w:rPr>
        <w:footnoteReference w:id="18"/>
      </w:r>
      <w:r w:rsidRPr="00275A42">
        <w:t xml:space="preserve">  </w:t>
      </w:r>
      <w:r w:rsidRPr="00C303E9">
        <w:t>NexTalk</w:t>
      </w:r>
      <w:r w:rsidRPr="00105126">
        <w:t xml:space="preserve"> </w:t>
      </w:r>
      <w:r w:rsidRPr="00A679D3">
        <w:t xml:space="preserve">also provides a description of its complaint procedures, confirmation that it will file annual compliance reports demonstrating continued compliance with the TRS rules, and a </w:t>
      </w:r>
      <w:r>
        <w:t>certification by</w:t>
      </w:r>
      <w:r w:rsidRPr="00A679D3">
        <w:t xml:space="preserve"> a senior executive as to the accuracy and completeness of the information provided.</w:t>
      </w:r>
      <w:r>
        <w:rPr>
          <w:vertAlign w:val="superscript"/>
        </w:rPr>
        <w:footnoteReference w:id="19"/>
      </w:r>
      <w:r w:rsidRPr="00A679D3">
        <w:t xml:space="preserve">  Further, as discussed below, the application and supporting information, including the results of independent testing</w:t>
      </w:r>
      <w:r>
        <w:t xml:space="preserve"> of caption delay and accuracy</w:t>
      </w:r>
      <w:r w:rsidRPr="00A679D3">
        <w:t>,</w:t>
      </w:r>
      <w:r>
        <w:rPr>
          <w:vertAlign w:val="superscript"/>
        </w:rPr>
        <w:footnoteReference w:id="20"/>
      </w:r>
      <w:r w:rsidRPr="00A679D3">
        <w:t xml:space="preserve"> </w:t>
      </w:r>
      <w:r>
        <w:t xml:space="preserve">sufficiently </w:t>
      </w:r>
      <w:r w:rsidRPr="00275A42">
        <w:t xml:space="preserve">support </w:t>
      </w:r>
      <w:r>
        <w:t>NexTalk’s</w:t>
      </w:r>
      <w:r w:rsidRPr="00275A42">
        <w:t xml:space="preserve"> </w:t>
      </w:r>
      <w:r>
        <w:t xml:space="preserve">specific </w:t>
      </w:r>
      <w:r w:rsidRPr="00275A42">
        <w:t xml:space="preserve">claims regarding </w:t>
      </w:r>
      <w:r>
        <w:t xml:space="preserve">its </w:t>
      </w:r>
      <w:r w:rsidRPr="004A0568">
        <w:t xml:space="preserve">use of ASR and the efficacy of such use in meeting </w:t>
      </w:r>
      <w:r w:rsidRPr="00275A42">
        <w:t xml:space="preserve">the Commission’s minimum TRS standards </w:t>
      </w:r>
      <w:r>
        <w:t xml:space="preserve">for </w:t>
      </w:r>
      <w:r w:rsidRPr="008362BA">
        <w:t>speed of answer, service continuity, caption delay, accuracy, readability, verbatim transcription, privacy, and emergency call handling.</w:t>
      </w:r>
      <w:r>
        <w:rPr>
          <w:vertAlign w:val="superscript"/>
        </w:rPr>
        <w:footnoteReference w:id="21"/>
      </w:r>
      <w:r w:rsidRPr="008362BA">
        <w:t xml:space="preserve">  </w:t>
      </w:r>
    </w:p>
    <w:p w:rsidR="00211803" w:rsidRPr="00105126" w:rsidP="00211803" w14:paraId="70A00839" w14:textId="77777777">
      <w:pPr>
        <w:pStyle w:val="ParaNum"/>
      </w:pPr>
      <w:r w:rsidRPr="00275A42">
        <w:rPr>
          <w:i/>
          <w:iCs/>
        </w:rPr>
        <w:t xml:space="preserve">Speed of </w:t>
      </w:r>
      <w:r>
        <w:rPr>
          <w:i/>
          <w:iCs/>
        </w:rPr>
        <w:t>A</w:t>
      </w:r>
      <w:r w:rsidRPr="00275A42">
        <w:rPr>
          <w:i/>
          <w:iCs/>
        </w:rPr>
        <w:t>nswer</w:t>
      </w:r>
      <w:r w:rsidRPr="00105126">
        <w:rPr>
          <w:i/>
          <w:iCs/>
        </w:rPr>
        <w:t>.</w:t>
      </w:r>
      <w:r w:rsidRPr="00105126">
        <w:t xml:space="preserve"> </w:t>
      </w:r>
      <w:r>
        <w:t xml:space="preserve"> </w:t>
      </w:r>
      <w:r w:rsidRPr="001F3E7D">
        <w:t>NexTalk</w:t>
      </w:r>
      <w:r w:rsidRPr="00275A42">
        <w:t xml:space="preserve"> has </w:t>
      </w:r>
      <w:r w:rsidRPr="00E151CD">
        <w:t xml:space="preserve">made a sufficient showing that with its chosen ASR technology, it </w:t>
      </w:r>
      <w:r w:rsidRPr="00275A42">
        <w:t xml:space="preserve">will </w:t>
      </w:r>
      <w:r>
        <w:t xml:space="preserve">meet or </w:t>
      </w:r>
      <w:r w:rsidRPr="00275A42">
        <w:t>exceed the minimum TRS standards relating to speed of answer.</w:t>
      </w:r>
      <w:r>
        <w:rPr>
          <w:sz w:val="20"/>
          <w:vertAlign w:val="superscript"/>
        </w:rPr>
        <w:footnoteReference w:id="22"/>
      </w:r>
      <w:r w:rsidRPr="00275A42">
        <w:t xml:space="preserve">  </w:t>
      </w:r>
      <w:r>
        <w:t>NexTalk</w:t>
      </w:r>
      <w:r w:rsidRPr="00702959">
        <w:t xml:space="preserve"> notes that because it employs no CAs,</w:t>
      </w:r>
      <w:r>
        <w:t xml:space="preserve"> there are no queues while waiting for a CA,</w:t>
      </w:r>
      <w:r>
        <w:rPr>
          <w:rStyle w:val="FootnoteReference"/>
        </w:rPr>
        <w:footnoteReference w:id="23"/>
      </w:r>
      <w:r w:rsidRPr="00702959">
        <w:t xml:space="preserve"> and adds that </w:t>
      </w:r>
      <w:r w:rsidRPr="00275A42">
        <w:t>NexTalk</w:t>
      </w:r>
      <w:r w:rsidRPr="00275A42">
        <w:t xml:space="preserve"> </w:t>
      </w:r>
      <w:r>
        <w:t xml:space="preserve">usually answers </w:t>
      </w:r>
      <w:r w:rsidRPr="00275A42">
        <w:t xml:space="preserve">99.99% of </w:t>
      </w:r>
      <w:r>
        <w:t xml:space="preserve">calls </w:t>
      </w:r>
      <w:r w:rsidRPr="00275A42">
        <w:t xml:space="preserve">placed </w:t>
      </w:r>
      <w:r>
        <w:t xml:space="preserve">by </w:t>
      </w:r>
      <w:r w:rsidRPr="00275A42">
        <w:t>user</w:t>
      </w:r>
      <w:r>
        <w:t>s</w:t>
      </w:r>
      <w:r w:rsidRPr="00275A42">
        <w:t xml:space="preserve"> within two seconds.</w:t>
      </w:r>
      <w:r>
        <w:rPr>
          <w:sz w:val="20"/>
          <w:vertAlign w:val="superscript"/>
        </w:rPr>
        <w:footnoteReference w:id="24"/>
      </w:r>
      <w:r w:rsidRPr="00275A42">
        <w:t xml:space="preserve">  When the call is connected, the IP CTS user</w:t>
      </w:r>
      <w:r>
        <w:t xml:space="preserve"> will </w:t>
      </w:r>
      <w:r w:rsidRPr="00275A42">
        <w:t>see transcriptions “virtually instantaneously.”</w:t>
      </w:r>
      <w:r>
        <w:rPr>
          <w:rStyle w:val="FootnoteReference"/>
        </w:rPr>
        <w:footnoteReference w:id="25"/>
      </w:r>
      <w:r w:rsidRPr="00275A42">
        <w:t xml:space="preserve">  Based on these statements and the applicant’s explanation of its service architecture,</w:t>
      </w:r>
      <w:r>
        <w:rPr>
          <w:rStyle w:val="FootnoteReference"/>
        </w:rPr>
        <w:footnoteReference w:id="26"/>
      </w:r>
      <w:r w:rsidRPr="00275A42">
        <w:t xml:space="preserve"> we conclude</w:t>
      </w:r>
      <w:r>
        <w:t xml:space="preserve"> that </w:t>
      </w:r>
      <w:r w:rsidRPr="00275A42">
        <w:t>NexTalk</w:t>
      </w:r>
      <w:r w:rsidRPr="00275A42">
        <w:t xml:space="preserve"> has sufficiently supported its claims</w:t>
      </w:r>
      <w:r>
        <w:t xml:space="preserve"> that </w:t>
      </w:r>
      <w:r w:rsidRPr="00275A42">
        <w:t>its</w:t>
      </w:r>
      <w:r>
        <w:t xml:space="preserve"> speed of answer </w:t>
      </w:r>
      <w:r w:rsidRPr="00275A42">
        <w:t>will exceed the current IP CTS standard</w:t>
      </w:r>
      <w:r>
        <w:t>.</w:t>
      </w:r>
      <w:r w:rsidRPr="00105126">
        <w:t xml:space="preserve"> </w:t>
      </w:r>
    </w:p>
    <w:p w:rsidR="00211803" w:rsidRPr="00275A42" w:rsidP="00211803" w14:paraId="466855FD" w14:textId="77777777">
      <w:pPr>
        <w:pStyle w:val="ParaNum"/>
      </w:pPr>
      <w:r w:rsidRPr="003B7B34">
        <w:rPr>
          <w:i/>
          <w:iCs/>
        </w:rPr>
        <w:t>Service Continuity</w:t>
      </w:r>
      <w:r>
        <w:t xml:space="preserve">.  </w:t>
      </w:r>
      <w:r w:rsidRPr="00105126">
        <w:t xml:space="preserve">We also find that </w:t>
      </w:r>
      <w:r>
        <w:t>NexTalk</w:t>
      </w:r>
      <w:r w:rsidRPr="00275A42">
        <w:t xml:space="preserve"> has sufficiently </w:t>
      </w:r>
      <w:r>
        <w:t>demonstrated that it will be able to maintain service continuity.  IP CTS providers must have redundancy features functionally equivalent to the equipment in telephone company central offices.</w:t>
      </w:r>
      <w:r>
        <w:rPr>
          <w:rStyle w:val="FootnoteReference"/>
        </w:rPr>
        <w:footnoteReference w:id="27"/>
      </w:r>
      <w:r>
        <w:t xml:space="preserve">  </w:t>
      </w:r>
      <w:r>
        <w:t>NexTalk’s</w:t>
      </w:r>
      <w:r>
        <w:t xml:space="preserve"> application states that the company will operate its service 24 hours per day, every day, and utilizes commercial data centers with Fortune 100 companies that provide redundancy and service guarantees, and offer the requisite uninterruptible power for emergency use.</w:t>
      </w:r>
      <w:r>
        <w:rPr>
          <w:rStyle w:val="FootnoteReference"/>
        </w:rPr>
        <w:footnoteReference w:id="28"/>
      </w:r>
      <w:r>
        <w:t xml:space="preserve">  </w:t>
      </w:r>
    </w:p>
    <w:p w:rsidR="00211803" w:rsidRPr="00275A42" w:rsidP="00211803" w14:paraId="2BB79850" w14:textId="77777777">
      <w:pPr>
        <w:pStyle w:val="ParaNum"/>
      </w:pPr>
      <w:r w:rsidRPr="00275A42">
        <w:rPr>
          <w:i/>
          <w:iCs/>
        </w:rPr>
        <w:t xml:space="preserve">Caption </w:t>
      </w:r>
      <w:r>
        <w:rPr>
          <w:i/>
          <w:iCs/>
        </w:rPr>
        <w:t>Speed/D</w:t>
      </w:r>
      <w:r w:rsidRPr="00275A42">
        <w:rPr>
          <w:i/>
          <w:iCs/>
        </w:rPr>
        <w:t xml:space="preserve">elay.  </w:t>
      </w:r>
      <w:r w:rsidRPr="003B7B34">
        <w:t>There is sufficient</w:t>
      </w:r>
      <w:r>
        <w:t xml:space="preserve"> support</w:t>
      </w:r>
      <w:r>
        <w:rPr>
          <w:i/>
          <w:iCs/>
        </w:rPr>
        <w:t xml:space="preserve"> </w:t>
      </w:r>
      <w:r>
        <w:t xml:space="preserve">for </w:t>
      </w:r>
      <w:r>
        <w:t>NexTalk’s</w:t>
      </w:r>
      <w:r w:rsidRPr="00052E79">
        <w:t xml:space="preserve"> claim that its ASR platform will transcribe captions in real time and in compliance with the current TRS standards relating to captioning speed, or delay.</w:t>
      </w:r>
      <w:r>
        <w:rPr>
          <w:sz w:val="20"/>
          <w:vertAlign w:val="superscript"/>
        </w:rPr>
        <w:footnoteReference w:id="29"/>
      </w:r>
      <w:r w:rsidRPr="00052E79">
        <w:t xml:space="preserve">  </w:t>
      </w:r>
      <w:r>
        <w:t xml:space="preserve">In performance </w:t>
      </w:r>
      <w:r w:rsidRPr="00D87E36">
        <w:t>testing by NTL</w:t>
      </w:r>
      <w:r>
        <w:t xml:space="preserve">, </w:t>
      </w:r>
      <w:r>
        <w:t>NexTalk</w:t>
      </w:r>
      <w:r w:rsidRPr="00275A42">
        <w:t>’s</w:t>
      </w:r>
      <w:r w:rsidRPr="00275A42">
        <w:t xml:space="preserve"> median caption delay</w:t>
      </w:r>
      <w:r>
        <w:t xml:space="preserve"> for two </w:t>
      </w:r>
      <w:r>
        <w:t>call scenarios was</w:t>
      </w:r>
      <w:r w:rsidRPr="00261A7F">
        <w:rPr>
          <w:szCs w:val="22"/>
        </w:rPr>
        <w:t xml:space="preserve"> </w:t>
      </w:r>
      <w:r>
        <w:t>0.9</w:t>
      </w:r>
      <w:r w:rsidRPr="00261A7F">
        <w:rPr>
          <w:szCs w:val="22"/>
        </w:rPr>
        <w:t xml:space="preserve"> </w:t>
      </w:r>
      <w:r w:rsidRPr="00275A42">
        <w:t>s</w:t>
      </w:r>
      <w:r>
        <w:t>econds, compared to an aggregate average of 1.8 to 2.4 seconds for other IP CTS providers.</w:t>
      </w:r>
      <w:r>
        <w:rPr>
          <w:sz w:val="20"/>
          <w:vertAlign w:val="superscript"/>
        </w:rPr>
        <w:footnoteReference w:id="30"/>
      </w:r>
      <w:r>
        <w:t xml:space="preserve">  Additionally, NTL testing supports </w:t>
      </w:r>
      <w:r>
        <w:t>NexTalk’s</w:t>
      </w:r>
      <w:r>
        <w:t xml:space="preserve"> assertion that </w:t>
      </w:r>
      <w:r w:rsidRPr="00275A42">
        <w:t>captions will be transcribed in real time and in compliance with the typing speed standard of 60 words per minute.</w:t>
      </w:r>
      <w:r>
        <w:rPr>
          <w:sz w:val="20"/>
          <w:vertAlign w:val="superscript"/>
        </w:rPr>
        <w:footnoteReference w:id="31"/>
      </w:r>
      <w:r w:rsidRPr="00275A42">
        <w:t xml:space="preserve">  </w:t>
      </w:r>
    </w:p>
    <w:p w:rsidR="00211803" w:rsidRPr="009B1EA2" w:rsidP="00211803" w14:paraId="3D5B00E4" w14:textId="77777777">
      <w:pPr>
        <w:pStyle w:val="ParaNum"/>
      </w:pPr>
      <w:r w:rsidRPr="00F61281">
        <w:rPr>
          <w:i/>
          <w:iCs/>
        </w:rPr>
        <w:t>Accuracy and Readability</w:t>
      </w:r>
      <w:r w:rsidRPr="00275A42">
        <w:t>.  Although the TRS rules do not currently provide quantitative standards for accuracy and readability, the typing, grammar, and spelling of captions must be “competent,” and conversations must be transcribed “verbatim,” with no intentional alteration of content unless a user specifically requests summarization.</w:t>
      </w:r>
      <w:r>
        <w:rPr>
          <w:sz w:val="20"/>
          <w:vertAlign w:val="superscript"/>
        </w:rPr>
        <w:footnoteReference w:id="32"/>
      </w:r>
      <w:r w:rsidRPr="00275A42">
        <w:t xml:space="preserve"> </w:t>
      </w:r>
      <w:r>
        <w:t xml:space="preserve"> </w:t>
      </w:r>
      <w:r w:rsidRPr="00A9636E">
        <w:t xml:space="preserve">We find sufficient record evidence that </w:t>
      </w:r>
      <w:r w:rsidRPr="00275A42">
        <w:t>NexTalk’s</w:t>
      </w:r>
      <w:r w:rsidRPr="00F61281">
        <w:rPr>
          <w:szCs w:val="22"/>
        </w:rPr>
        <w:t xml:space="preserve"> </w:t>
      </w:r>
      <w:r w:rsidRPr="00275A42">
        <w:t xml:space="preserve">service </w:t>
      </w:r>
      <w:r w:rsidRPr="00A9636E">
        <w:t>will meet or exceed the Commission’s competence and “verbatim” requirements.</w:t>
      </w:r>
      <w:r>
        <w:t xml:space="preserve">  A</w:t>
      </w:r>
      <w:r w:rsidRPr="00275A42">
        <w:t xml:space="preserve">ccording to its application, </w:t>
      </w:r>
      <w:r w:rsidRPr="00275A42">
        <w:t>NexTalk’s</w:t>
      </w:r>
      <w:r w:rsidRPr="00275A42">
        <w:t xml:space="preserve"> </w:t>
      </w:r>
      <w:r w:rsidRPr="00275A42">
        <w:t>SpeechPath</w:t>
      </w:r>
      <w:r w:rsidRPr="00275A42">
        <w:t xml:space="preserve"> software has been in use since 2018 and boasts an “incredibly high degree of accuracy.</w:t>
      </w:r>
      <w:r w:rsidRPr="007E4CCB">
        <w:t>”</w:t>
      </w:r>
      <w:r>
        <w:rPr>
          <w:rStyle w:val="FootnoteReference"/>
        </w:rPr>
        <w:footnoteReference w:id="33"/>
      </w:r>
      <w:r w:rsidRPr="007E4CCB">
        <w:t xml:space="preserve">  </w:t>
      </w:r>
      <w:r>
        <w:t>NexTalk</w:t>
      </w:r>
      <w:r>
        <w:t xml:space="preserve"> also states that </w:t>
      </w:r>
      <w:r>
        <w:t>SpeechPath</w:t>
      </w:r>
      <w:r>
        <w:t xml:space="preserve"> “has </w:t>
      </w:r>
      <w:r w:rsidRPr="00906A90">
        <w:t>more than a 90% accuracy rate right out of the box based on internal testing,</w:t>
      </w:r>
      <w:r>
        <w:t>”</w:t>
      </w:r>
      <w:r>
        <w:rPr>
          <w:rStyle w:val="FootnoteReference"/>
        </w:rPr>
        <w:footnoteReference w:id="34"/>
      </w:r>
      <w:r>
        <w:t xml:space="preserve"> and that in a recorded video demonstration it made only one word error in 50 words of text.</w:t>
      </w:r>
      <w:r>
        <w:rPr>
          <w:rStyle w:val="FootnoteReference"/>
        </w:rPr>
        <w:footnoteReference w:id="35"/>
      </w:r>
      <w:r>
        <w:t xml:space="preserve">  </w:t>
      </w:r>
      <w:r w:rsidRPr="007E4CCB">
        <w:t xml:space="preserve">NTL’s testing generally supports </w:t>
      </w:r>
      <w:r w:rsidRPr="007E4CCB">
        <w:t>NexTalk’s</w:t>
      </w:r>
      <w:r w:rsidRPr="007E4CCB">
        <w:t xml:space="preserve"> claim</w:t>
      </w:r>
      <w:r>
        <w:t>s</w:t>
      </w:r>
      <w:r w:rsidRPr="00B244C9">
        <w:t>.</w:t>
      </w:r>
      <w:r w:rsidRPr="00275A42">
        <w:t xml:space="preserve">  </w:t>
      </w:r>
      <w:r>
        <w:t xml:space="preserve">In testing by NTL, </w:t>
      </w:r>
      <w:r w:rsidRPr="00556851">
        <w:t>NexTalk’s</w:t>
      </w:r>
      <w:r w:rsidRPr="00105126">
        <w:t xml:space="preserve"> </w:t>
      </w:r>
      <w:r>
        <w:t xml:space="preserve">median </w:t>
      </w:r>
      <w:r w:rsidRPr="00105126">
        <w:t>Word Error Rate</w:t>
      </w:r>
      <w:r>
        <w:t>s for three</w:t>
      </w:r>
      <w:r w:rsidRPr="00105126">
        <w:t xml:space="preserve"> call scenarios</w:t>
      </w:r>
      <w:r>
        <w:t xml:space="preserve"> ranged </w:t>
      </w:r>
      <w:r w:rsidRPr="00105126">
        <w:t xml:space="preserve">from </w:t>
      </w:r>
      <w:r>
        <w:t>0.8% to 7.6%</w:t>
      </w:r>
      <w:r w:rsidRPr="00105126">
        <w:t xml:space="preserve">, </w:t>
      </w:r>
      <w:r>
        <w:t xml:space="preserve">comparable to other IP CTS providers’ </w:t>
      </w:r>
      <w:r w:rsidRPr="00F61281">
        <w:rPr>
          <w:szCs w:val="22"/>
        </w:rPr>
        <w:t xml:space="preserve">aggregated </w:t>
      </w:r>
      <w:r w:rsidRPr="00105126">
        <w:t>Word Error Rate</w:t>
      </w:r>
      <w:r>
        <w:t xml:space="preserve"> results, which </w:t>
      </w:r>
      <w:r w:rsidRPr="00105126">
        <w:t xml:space="preserve">ranged from </w:t>
      </w:r>
      <w:r>
        <w:t>2.0% to 7.4% for the same call scenarios</w:t>
      </w:r>
      <w:r w:rsidRPr="00105126">
        <w:t>.</w:t>
      </w:r>
      <w:r>
        <w:rPr>
          <w:rStyle w:val="FootnoteReference"/>
        </w:rPr>
        <w:footnoteReference w:id="36"/>
      </w:r>
      <w:r w:rsidRPr="00105126">
        <w:t xml:space="preserve">  </w:t>
      </w:r>
    </w:p>
    <w:p w:rsidR="00211803" w:rsidRPr="00275A42" w:rsidP="00211803" w14:paraId="673DFDC6" w14:textId="77777777">
      <w:pPr>
        <w:pStyle w:val="ParaNum"/>
        <w:widowControl/>
      </w:pPr>
      <w:r w:rsidRPr="00275A42">
        <w:rPr>
          <w:i/>
        </w:rPr>
        <w:t>Privacy</w:t>
      </w:r>
      <w:r w:rsidRPr="00275A42">
        <w:rPr>
          <w:iCs/>
        </w:rPr>
        <w:t xml:space="preserve">.  </w:t>
      </w:r>
      <w:r>
        <w:t>The</w:t>
      </w:r>
      <w:r w:rsidRPr="00C24381">
        <w:t xml:space="preserve"> Commission’s </w:t>
      </w:r>
      <w:r w:rsidRPr="00275A42">
        <w:t xml:space="preserve">confidentiality requirements </w:t>
      </w:r>
      <w:r>
        <w:t xml:space="preserve">for TRS call content prohibit the disclosure or retention of </w:t>
      </w:r>
      <w:r w:rsidRPr="00275A42">
        <w:t>call content for any purpose, either locally or in the cloud.</w:t>
      </w:r>
      <w:r>
        <w:rPr>
          <w:sz w:val="20"/>
          <w:vertAlign w:val="superscript"/>
        </w:rPr>
        <w:footnoteReference w:id="37"/>
      </w:r>
      <w:r w:rsidRPr="00C24381">
        <w:t xml:space="preserve"> </w:t>
      </w:r>
      <w:r w:rsidRPr="00275A42">
        <w:t xml:space="preserve"> </w:t>
      </w:r>
      <w:r w:rsidRPr="008F0076">
        <w:t xml:space="preserve">In addition, </w:t>
      </w:r>
      <w:r w:rsidRPr="008F0076">
        <w:t>providers must protect the privacy of customer information.</w:t>
      </w:r>
      <w:r>
        <w:rPr>
          <w:vertAlign w:val="superscript"/>
        </w:rPr>
        <w:footnoteReference w:id="38"/>
      </w:r>
      <w:r w:rsidRPr="008F0076">
        <w:t xml:space="preserve">  </w:t>
      </w:r>
      <w:r>
        <w:t xml:space="preserve">The Commission’s </w:t>
      </w:r>
      <w:r w:rsidRPr="00294CBA">
        <w:t xml:space="preserve">rules obligate a provider to protect call content and customer information regardless of the specific persons or entities (e.g., </w:t>
      </w:r>
      <w:r>
        <w:t>CAs</w:t>
      </w:r>
      <w:r w:rsidRPr="00294CBA">
        <w:t>, other employees, vendors, or agents) that a provider may designate to handle such information on its behalf.</w:t>
      </w:r>
      <w:r>
        <w:rPr>
          <w:vertAlign w:val="superscript"/>
        </w:rPr>
        <w:footnoteReference w:id="39"/>
      </w:r>
      <w:r w:rsidRPr="00294CBA">
        <w:t xml:space="preserve">  </w:t>
      </w:r>
      <w:r w:rsidRPr="00275A42">
        <w:t>NexTalk</w:t>
      </w:r>
      <w:r>
        <w:t xml:space="preserve"> </w:t>
      </w:r>
      <w:r w:rsidRPr="00275A42">
        <w:t>adequately</w:t>
      </w:r>
      <w:r w:rsidRPr="00105126">
        <w:t xml:space="preserve"> describes how </w:t>
      </w:r>
      <w:r>
        <w:t>it</w:t>
      </w:r>
      <w:r w:rsidRPr="00105126">
        <w:t xml:space="preserve"> will comply with the Commission’s TRS confidentiality requirements</w:t>
      </w:r>
      <w:r w:rsidRPr="00297E34">
        <w:t xml:space="preserve"> </w:t>
      </w:r>
      <w:r w:rsidRPr="00275A42">
        <w:t>and customer proprietary network information (CPNI) rules</w:t>
      </w:r>
      <w:r w:rsidRPr="00105126">
        <w:t>.</w:t>
      </w:r>
      <w:r>
        <w:rPr>
          <w:rStyle w:val="FootnoteReference"/>
        </w:rPr>
        <w:footnoteReference w:id="40"/>
      </w:r>
      <w:r w:rsidRPr="00275A42">
        <w:t xml:space="preserve"> </w:t>
      </w:r>
      <w:r>
        <w:rPr>
          <w:szCs w:val="22"/>
        </w:rPr>
        <w:t xml:space="preserve"> Among other things, </w:t>
      </w:r>
      <w:r w:rsidRPr="00275A42">
        <w:t>NexTalk</w:t>
      </w:r>
      <w:r w:rsidRPr="00275A42">
        <w:t xml:space="preserve"> explains that its </w:t>
      </w:r>
      <w:r w:rsidRPr="00275A42">
        <w:t>SpeechPath</w:t>
      </w:r>
      <w:r w:rsidRPr="00275A42">
        <w:t xml:space="preserve"> system uses 256-bit encryption on all calls and does not record, store, or cache the content of any call after the call ends, although users may choose to record the conversations themselves.</w:t>
      </w:r>
      <w:r>
        <w:rPr>
          <w:rStyle w:val="FootnoteReference"/>
        </w:rPr>
        <w:footnoteReference w:id="41"/>
      </w:r>
      <w:r w:rsidRPr="00275A42">
        <w:t xml:space="preserve">  </w:t>
      </w:r>
      <w:r>
        <w:t>NexTalk</w:t>
      </w:r>
      <w:r>
        <w:t xml:space="preserve"> also states that it will train employees, agents, and contractors on CPNI compliance, and establish</w:t>
      </w:r>
      <w:r w:rsidRPr="001C56D3">
        <w:rPr>
          <w:szCs w:val="22"/>
        </w:rPr>
        <w:t xml:space="preserve"> systems for </w:t>
      </w:r>
      <w:r>
        <w:t>verifying</w:t>
      </w:r>
      <w:r w:rsidRPr="001C56D3">
        <w:rPr>
          <w:szCs w:val="22"/>
        </w:rPr>
        <w:t xml:space="preserve"> customer </w:t>
      </w:r>
      <w:r>
        <w:t>approval prior to using, disclosing, or permitting access to a customer’s</w:t>
      </w:r>
      <w:r w:rsidRPr="001C56D3">
        <w:rPr>
          <w:snapToGrid/>
          <w:kern w:val="0"/>
          <w:szCs w:val="22"/>
        </w:rPr>
        <w:t xml:space="preserve"> CPNI </w:t>
      </w:r>
      <w:r>
        <w:t>and otherwise ensuring compliance with all CPNI rules</w:t>
      </w:r>
      <w:r w:rsidRPr="001C56D3">
        <w:rPr>
          <w:snapToGrid/>
          <w:kern w:val="0"/>
          <w:szCs w:val="22"/>
        </w:rPr>
        <w:t>.</w:t>
      </w:r>
      <w:r>
        <w:rPr>
          <w:rStyle w:val="FootnoteReference"/>
          <w:kern w:val="0"/>
          <w:szCs w:val="22"/>
        </w:rPr>
        <w:footnoteReference w:id="42"/>
      </w:r>
      <w:r>
        <w:rPr>
          <w:snapToGrid/>
          <w:kern w:val="0"/>
          <w:szCs w:val="22"/>
        </w:rPr>
        <w:t xml:space="preserve">  </w:t>
      </w:r>
    </w:p>
    <w:p w:rsidR="00211803" w:rsidRPr="00275A42" w:rsidP="00211803" w14:paraId="503D71B1" w14:textId="77777777">
      <w:pPr>
        <w:pStyle w:val="ParaNum"/>
      </w:pPr>
      <w:bookmarkStart w:id="15" w:name="_Hlk30460284"/>
      <w:r w:rsidRPr="00F71CBE">
        <w:rPr>
          <w:i/>
        </w:rPr>
        <w:t>Emergency Call Handling</w:t>
      </w:r>
      <w:r w:rsidRPr="00F71CBE">
        <w:t>.  Under the Commission’s TRS standard for emergency call handling, an IP CTS provider must ensure that 911 calls are given priority over non-911 calls.</w:t>
      </w:r>
      <w:r>
        <w:rPr>
          <w:vertAlign w:val="superscript"/>
        </w:rPr>
        <w:footnoteReference w:id="43"/>
      </w:r>
      <w:r w:rsidRPr="00F71CBE">
        <w:t xml:space="preserve">  In addition, when responsible for placing or routing voice calls to the public switched telephone network, an IP CTS provider must ensure that the call is routed, and required caller information delivered to the appropriate public safety answering point (PSAP).</w:t>
      </w:r>
      <w:r>
        <w:rPr>
          <w:vertAlign w:val="superscript"/>
        </w:rPr>
        <w:footnoteReference w:id="44"/>
      </w:r>
      <w:r w:rsidRPr="00F71CBE">
        <w:t xml:space="preserve">  </w:t>
      </w:r>
      <w:r w:rsidRPr="00CC014E">
        <w:t>NexTalk</w:t>
      </w:r>
      <w:r w:rsidRPr="00CC014E">
        <w:t xml:space="preserve"> </w:t>
      </w:r>
      <w:r>
        <w:t xml:space="preserve">sufficiently establishes </w:t>
      </w:r>
      <w:r w:rsidRPr="00275A42">
        <w:t xml:space="preserve">that </w:t>
      </w:r>
      <w:r>
        <w:t xml:space="preserve">it will handle </w:t>
      </w:r>
      <w:r w:rsidRPr="00275A42">
        <w:t xml:space="preserve">emergency calls in accordance with </w:t>
      </w:r>
      <w:r>
        <w:t xml:space="preserve">these </w:t>
      </w:r>
      <w:r w:rsidRPr="00275A42">
        <w:t>rules.</w:t>
      </w:r>
      <w:r>
        <w:rPr>
          <w:sz w:val="20"/>
          <w:vertAlign w:val="superscript"/>
        </w:rPr>
        <w:footnoteReference w:id="45"/>
      </w:r>
      <w:r w:rsidRPr="00275A42">
        <w:t xml:space="preserve"> </w:t>
      </w:r>
      <w:r w:rsidRPr="00F71CBE">
        <w:rPr>
          <w:sz w:val="23"/>
          <w:szCs w:val="23"/>
        </w:rPr>
        <w:t xml:space="preserve"> </w:t>
      </w:r>
      <w:r w:rsidRPr="00BA64A9">
        <w:rPr>
          <w:sz w:val="23"/>
          <w:szCs w:val="23"/>
        </w:rPr>
        <w:t xml:space="preserve">Because </w:t>
      </w:r>
      <w:r w:rsidRPr="00CC014E">
        <w:t>NexTalk</w:t>
      </w:r>
      <w:r w:rsidRPr="00BA64A9">
        <w:rPr>
          <w:sz w:val="23"/>
          <w:szCs w:val="23"/>
        </w:rPr>
        <w:t xml:space="preserve"> does not use CAs, </w:t>
      </w:r>
      <w:r>
        <w:rPr>
          <w:sz w:val="23"/>
          <w:szCs w:val="23"/>
        </w:rPr>
        <w:t>there is no delay related to ensuring the availability of a CA, and thus no prioritizing issue</w:t>
      </w:r>
      <w:r w:rsidRPr="00BA64A9">
        <w:rPr>
          <w:sz w:val="23"/>
          <w:szCs w:val="23"/>
        </w:rPr>
        <w:t>.</w:t>
      </w:r>
      <w:r>
        <w:rPr>
          <w:sz w:val="23"/>
          <w:szCs w:val="23"/>
          <w:vertAlign w:val="superscript"/>
        </w:rPr>
        <w:footnoteReference w:id="46"/>
      </w:r>
      <w:r w:rsidRPr="00BA64A9">
        <w:rPr>
          <w:sz w:val="23"/>
          <w:szCs w:val="23"/>
        </w:rPr>
        <w:t xml:space="preserve">  </w:t>
      </w:r>
      <w:r w:rsidRPr="00F71CBE">
        <w:rPr>
          <w:sz w:val="23"/>
          <w:szCs w:val="23"/>
        </w:rPr>
        <w:t xml:space="preserve">According to </w:t>
      </w:r>
      <w:r>
        <w:t>the application</w:t>
      </w:r>
      <w:r w:rsidRPr="00275A42">
        <w:t xml:space="preserve">, </w:t>
      </w:r>
      <w:r>
        <w:t>NexTalk</w:t>
      </w:r>
      <w:r w:rsidRPr="00275A42">
        <w:t xml:space="preserve"> </w:t>
      </w:r>
      <w:r>
        <w:t xml:space="preserve">routes emergency </w:t>
      </w:r>
      <w:r w:rsidRPr="00F71CBE">
        <w:rPr>
          <w:sz w:val="23"/>
          <w:szCs w:val="23"/>
        </w:rPr>
        <w:t>calls to the appropriate PSAP</w:t>
      </w:r>
      <w:r w:rsidRPr="00275A42">
        <w:t xml:space="preserve"> based on the user’s Registered Location information</w:t>
      </w:r>
      <w:r>
        <w:t>,</w:t>
      </w:r>
      <w:r w:rsidRPr="00211803">
        <w:rPr>
          <w:rFonts w:eastAsia="Calibri"/>
          <w:snapToGrid/>
          <w:kern w:val="0"/>
          <w:szCs w:val="22"/>
        </w:rPr>
        <w:t xml:space="preserve"> </w:t>
      </w:r>
      <w:r>
        <w:t>and the</w:t>
      </w:r>
      <w:r w:rsidRPr="00F71CBE">
        <w:t xml:space="preserve"> telephone number assigned to</w:t>
      </w:r>
      <w:r>
        <w:t xml:space="preserve"> </w:t>
      </w:r>
      <w:r w:rsidRPr="00F71CBE">
        <w:t>the user is automatically transmitted</w:t>
      </w:r>
      <w:r>
        <w:t xml:space="preserve"> </w:t>
      </w:r>
      <w:r w:rsidRPr="00F71CBE">
        <w:t>with the E911 call as the callback</w:t>
      </w:r>
      <w:r>
        <w:t xml:space="preserve"> </w:t>
      </w:r>
      <w:r w:rsidRPr="00F71CBE">
        <w:t>number</w:t>
      </w:r>
      <w:r>
        <w:t>, enabling captioning to occur on a callback</w:t>
      </w:r>
      <w:r w:rsidRPr="00275A42">
        <w:t>.</w:t>
      </w:r>
      <w:r>
        <w:rPr>
          <w:sz w:val="20"/>
          <w:vertAlign w:val="superscript"/>
        </w:rPr>
        <w:footnoteReference w:id="47"/>
      </w:r>
      <w:r w:rsidRPr="00275A42">
        <w:t xml:space="preserve">  </w:t>
      </w:r>
      <w:bookmarkEnd w:id="15"/>
    </w:p>
    <w:p w:rsidR="00211803" w:rsidRPr="00D226A0" w:rsidP="00211803" w14:paraId="603F6831" w14:textId="77777777">
      <w:pPr>
        <w:pStyle w:val="ParaNum"/>
      </w:pPr>
      <w:r w:rsidRPr="001D1C01">
        <w:rPr>
          <w:i/>
          <w:iCs/>
        </w:rPr>
        <w:t xml:space="preserve">Response to </w:t>
      </w:r>
      <w:r>
        <w:rPr>
          <w:i/>
          <w:iCs/>
        </w:rPr>
        <w:t xml:space="preserve">Additional Concerns Raised in </w:t>
      </w:r>
      <w:r w:rsidRPr="001D1C01">
        <w:rPr>
          <w:i/>
          <w:iCs/>
        </w:rPr>
        <w:t>Comments</w:t>
      </w:r>
      <w:r w:rsidRPr="00275A42">
        <w:t xml:space="preserve">.  </w:t>
      </w:r>
      <w:r w:rsidRPr="001D1C01">
        <w:rPr>
          <w:rFonts w:eastAsia="Calibri"/>
        </w:rPr>
        <w:t>Consistent with the Bureau’s prior orders</w:t>
      </w:r>
      <w:r>
        <w:rPr>
          <w:rFonts w:eastAsia="Calibri"/>
        </w:rPr>
        <w:t xml:space="preserve"> granting conditional certification for the provision of IP CTS without any reliance on CAs</w:t>
      </w:r>
      <w:r w:rsidRPr="001D1C01">
        <w:rPr>
          <w:rFonts w:eastAsia="Calibri"/>
        </w:rPr>
        <w:t>,</w:t>
      </w:r>
      <w:r>
        <w:rPr>
          <w:rFonts w:eastAsia="Calibri"/>
          <w:vertAlign w:val="superscript"/>
        </w:rPr>
        <w:footnoteReference w:id="48"/>
      </w:r>
      <w:r w:rsidRPr="00977E9A">
        <w:rPr>
          <w:rFonts w:eastAsia="Calibri"/>
        </w:rPr>
        <w:t xml:space="preserve"> </w:t>
      </w:r>
      <w:r w:rsidRPr="00977E9A">
        <w:rPr>
          <w:rFonts w:eastAsia="Calibri"/>
        </w:rPr>
        <w:t xml:space="preserve">we decline </w:t>
      </w:r>
      <w:r w:rsidRPr="00CC014E">
        <w:rPr>
          <w:rFonts w:eastAsia="Calibri"/>
        </w:rPr>
        <w:t xml:space="preserve">AARO’s request </w:t>
      </w:r>
      <w:r>
        <w:rPr>
          <w:rFonts w:eastAsia="Calibri"/>
        </w:rPr>
        <w:t xml:space="preserve">that we </w:t>
      </w:r>
      <w:r w:rsidRPr="00977E9A">
        <w:rPr>
          <w:rFonts w:eastAsia="Calibri"/>
        </w:rPr>
        <w:t xml:space="preserve">require </w:t>
      </w:r>
      <w:r w:rsidRPr="00977E9A">
        <w:rPr>
          <w:rFonts w:eastAsia="Calibri"/>
        </w:rPr>
        <w:t>NexTalk</w:t>
      </w:r>
      <w:r w:rsidRPr="00977E9A">
        <w:rPr>
          <w:rFonts w:eastAsia="Calibri"/>
        </w:rPr>
        <w:t xml:space="preserve"> </w:t>
      </w:r>
      <w:r>
        <w:rPr>
          <w:rFonts w:eastAsia="Calibri"/>
        </w:rPr>
        <w:t>to provide CA-assisted captioning as an option for users.</w:t>
      </w:r>
      <w:r>
        <w:rPr>
          <w:rFonts w:eastAsia="Calibri"/>
          <w:vertAlign w:val="superscript"/>
        </w:rPr>
        <w:footnoteReference w:id="49"/>
      </w:r>
      <w:r w:rsidRPr="00251C73">
        <w:rPr>
          <w:rFonts w:eastAsia="Calibri"/>
        </w:rPr>
        <w:t xml:space="preserve">  </w:t>
      </w:r>
      <w:r>
        <w:t>W</w:t>
      </w:r>
      <w:r w:rsidRPr="003E0313">
        <w:t xml:space="preserve">e are bound </w:t>
      </w:r>
      <w:r>
        <w:t>by</w:t>
      </w:r>
      <w:r w:rsidRPr="003E0313">
        <w:t xml:space="preserve"> the Commission’s determination that the capabilities of ASR are sufficient to warrant its recognition as a TRS Fund-supported alternative to CA-assisted IP CTS.</w:t>
      </w:r>
      <w:r>
        <w:rPr>
          <w:rStyle w:val="FootnoteReference"/>
        </w:rPr>
        <w:footnoteReference w:id="50"/>
      </w:r>
      <w:r w:rsidRPr="003E0313">
        <w:t xml:space="preserve">  </w:t>
      </w:r>
      <w:r w:rsidRPr="001D1C01">
        <w:rPr>
          <w:rFonts w:eastAsia="Calibri"/>
        </w:rPr>
        <w:t>Whether to impose a requirement</w:t>
      </w:r>
      <w:r>
        <w:rPr>
          <w:rFonts w:eastAsia="Calibri"/>
        </w:rPr>
        <w:t xml:space="preserve"> to offer both ASR-only and CA-assisted captioning modes</w:t>
      </w:r>
      <w:r w:rsidRPr="001D1C01">
        <w:rPr>
          <w:rFonts w:eastAsia="Calibri"/>
        </w:rPr>
        <w:t xml:space="preserve"> is a policy determination for the Commission to make.</w:t>
      </w:r>
      <w:r w:rsidRPr="003B2BCD">
        <w:rPr>
          <w:sz w:val="20"/>
          <w:vertAlign w:val="superscript"/>
        </w:rPr>
        <w:t xml:space="preserve"> </w:t>
      </w:r>
    </w:p>
    <w:p w:rsidR="00211803" w:rsidRPr="00275A42" w:rsidP="00211803" w14:paraId="7B8D1848" w14:textId="77777777">
      <w:pPr>
        <w:pStyle w:val="ParaNum"/>
      </w:pPr>
      <w:r w:rsidRPr="00470E8A">
        <w:rPr>
          <w:i/>
          <w:iCs/>
        </w:rPr>
        <w:t>Conditional Certification</w:t>
      </w:r>
      <w:r w:rsidRPr="00275A42">
        <w:t xml:space="preserve">.  </w:t>
      </w:r>
      <w:r>
        <w:t xml:space="preserve">We </w:t>
      </w:r>
      <w:r w:rsidRPr="00275A42">
        <w:t>grant</w:t>
      </w:r>
      <w:r>
        <w:t xml:space="preserve"> </w:t>
      </w:r>
      <w:r>
        <w:t>NexTalk</w:t>
      </w:r>
      <w:r>
        <w:t xml:space="preserve"> </w:t>
      </w:r>
      <w:r w:rsidRPr="00275A42">
        <w:t xml:space="preserve">certification on a conditional basis, </w:t>
      </w:r>
      <w:r>
        <w:t xml:space="preserve">to provide IP CTS for a period </w:t>
      </w:r>
      <w:r w:rsidRPr="00470E8A">
        <w:t>not to exceed two years from the effective date of</w:t>
      </w:r>
      <w:r>
        <w:t xml:space="preserve"> </w:t>
      </w:r>
      <w:r w:rsidRPr="00470E8A">
        <w:t>this order,</w:t>
      </w:r>
      <w:r>
        <w:t xml:space="preserve"> </w:t>
      </w:r>
      <w:r w:rsidRPr="00275A42">
        <w:t xml:space="preserve">pending further verification </w:t>
      </w:r>
      <w:r w:rsidRPr="00BF084B">
        <w:t>based on actual performance that its service complies</w:t>
      </w:r>
      <w:r>
        <w:t xml:space="preserve"> </w:t>
      </w:r>
      <w:r w:rsidRPr="00275A42">
        <w:t>with the Commission’s minimum TRS standards.  Because</w:t>
      </w:r>
      <w:r>
        <w:t xml:space="preserve"> </w:t>
      </w:r>
      <w:r>
        <w:t>NexTalk</w:t>
      </w:r>
      <w:r>
        <w:t xml:space="preserve"> is a new applicant with no previous experience in the provision of TRS</w:t>
      </w:r>
      <w:r w:rsidRPr="00275A42">
        <w:t xml:space="preserve">, </w:t>
      </w:r>
      <w:r>
        <w:t xml:space="preserve">and will rely solely on fully automatic captioning, </w:t>
      </w:r>
      <w:r w:rsidRPr="00275A42">
        <w:t xml:space="preserve">we believe the best course is to collect additional information, through observing </w:t>
      </w:r>
      <w:r w:rsidRPr="00275A42">
        <w:t>NexTalk’s</w:t>
      </w:r>
      <w:r w:rsidRPr="00275A42">
        <w:t xml:space="preserve"> </w:t>
      </w:r>
      <w:r>
        <w:t>service in</w:t>
      </w:r>
      <w:r w:rsidRPr="00275A42">
        <w:t xml:space="preserve"> operation, to confirm that this service will meet or exceed the minimum TRS standards.</w:t>
      </w:r>
      <w:r>
        <w:rPr>
          <w:sz w:val="20"/>
          <w:vertAlign w:val="superscript"/>
        </w:rPr>
        <w:footnoteReference w:id="51"/>
      </w:r>
      <w:r w:rsidRPr="00275A42">
        <w:t xml:space="preserve">  </w:t>
      </w:r>
    </w:p>
    <w:p w:rsidR="00211803" w:rsidRPr="00275A42" w:rsidP="00211803" w14:paraId="6EE9855A" w14:textId="77777777">
      <w:pPr>
        <w:pStyle w:val="ParaNum"/>
      </w:pPr>
      <w:r w:rsidRPr="00275A42">
        <w:t xml:space="preserve">To assist the Bureau in its final determination </w:t>
      </w:r>
      <w:r>
        <w:t xml:space="preserve">of </w:t>
      </w:r>
      <w:r>
        <w:t>NexTalk</w:t>
      </w:r>
      <w:r w:rsidRPr="00275A42">
        <w:t>’s</w:t>
      </w:r>
      <w:r w:rsidRPr="00275A42">
        <w:t xml:space="preserve"> </w:t>
      </w:r>
      <w:r w:rsidRPr="0066066E">
        <w:t>qualifications to provide IP CTS</w:t>
      </w:r>
      <w:r w:rsidRPr="00275A42">
        <w:t xml:space="preserve">, we require </w:t>
      </w:r>
      <w:r w:rsidRPr="00E61CC1">
        <w:t>NexTalk</w:t>
      </w:r>
      <w:r>
        <w:t xml:space="preserve"> to provide </w:t>
      </w:r>
      <w:r w:rsidRPr="00275A42">
        <w:t>quarterly reports of consumer complaints</w:t>
      </w:r>
      <w:r>
        <w:t>,</w:t>
      </w:r>
      <w:r w:rsidRPr="00275A42">
        <w:t xml:space="preserve"> filed with the Commission in the same format and with the same degree of detail required in the log of consumer complaints that providers must file annually with the Commission.</w:t>
      </w:r>
      <w:r>
        <w:rPr>
          <w:sz w:val="20"/>
          <w:vertAlign w:val="superscript"/>
        </w:rPr>
        <w:footnoteReference w:id="52"/>
      </w:r>
      <w:r w:rsidRPr="00275A42">
        <w:t xml:space="preserve">  The first report shall be due</w:t>
      </w:r>
      <w:r w:rsidRPr="00A41413">
        <w:t xml:space="preserve"> </w:t>
      </w:r>
      <w:r w:rsidRPr="003F53DC">
        <w:t>May 1, 2024, and shall cover the period from the commencement of service through March 30, 2024.</w:t>
      </w:r>
      <w:r>
        <w:rPr>
          <w:sz w:val="20"/>
          <w:vertAlign w:val="superscript"/>
        </w:rPr>
        <w:footnoteReference w:id="53"/>
      </w:r>
      <w:r w:rsidRPr="003F53DC">
        <w:t xml:space="preserve">  Each subsequent report shall be filed on the first day of the second month of each calendar quarter and shall cover the preceding calendar quarter.  For example, the second report shall be due August 1, 2024, and shall cover the period from April 1 through June 30, 2024.</w:t>
      </w:r>
      <w:r w:rsidRPr="00275A42">
        <w:t xml:space="preserve">  </w:t>
      </w:r>
      <w:r w:rsidRPr="00275A42">
        <w:t>NexTalk</w:t>
      </w:r>
      <w:r w:rsidRPr="00275A42">
        <w:t xml:space="preserve"> shall continue to file reports on a quarterly schedule until </w:t>
      </w:r>
      <w:r w:rsidRPr="00075913">
        <w:t>the expiration of this conditional certification</w:t>
      </w:r>
      <w:r w:rsidRPr="00275A42">
        <w:t xml:space="preserve">, or until Commission action granting or denying full certification, whichever occurs earlier.   </w:t>
      </w:r>
    </w:p>
    <w:p w:rsidR="00211803" w:rsidRPr="00275A42" w:rsidP="00211803" w14:paraId="0FADD000" w14:textId="77777777">
      <w:pPr>
        <w:pStyle w:val="ParaNum"/>
      </w:pPr>
      <w:r w:rsidRPr="00275A42">
        <w:t xml:space="preserve">Pending a decision on full certification, the Bureau may request additional information in order to complete our review of </w:t>
      </w:r>
      <w:r w:rsidRPr="00275A42">
        <w:t>NexTalk’s</w:t>
      </w:r>
      <w:r w:rsidRPr="00275A42">
        <w:t xml:space="preserve"> application, such as the results and protocols for performance tests conducted by </w:t>
      </w:r>
      <w:r w:rsidRPr="00275A42">
        <w:t>NexTalk</w:t>
      </w:r>
      <w:r w:rsidRPr="00275A42">
        <w:t xml:space="preserve"> or independent third parties.</w:t>
      </w:r>
      <w:r>
        <w:rPr>
          <w:sz w:val="20"/>
          <w:vertAlign w:val="superscript"/>
        </w:rPr>
        <w:footnoteReference w:id="54"/>
      </w:r>
      <w:r w:rsidRPr="00275A42">
        <w:t xml:space="preserve">  We also require </w:t>
      </w:r>
      <w:r w:rsidRPr="00275A42">
        <w:t>NexTalk</w:t>
      </w:r>
      <w:r w:rsidRPr="00275A42">
        <w:t xml:space="preserve"> to report promptly </w:t>
      </w:r>
      <w:r w:rsidRPr="00275A42">
        <w:t xml:space="preserve">any changes in the information previously provided to the Commission in its application and supplemental filings, including, for example, any changes in service agreements and suppliers, procedures for registering and screening prospective users, or the manner in which </w:t>
      </w:r>
      <w:r w:rsidRPr="00275A42">
        <w:t>NexTalk</w:t>
      </w:r>
      <w:r w:rsidRPr="00275A42">
        <w:t xml:space="preserve"> provides service.  </w:t>
      </w:r>
    </w:p>
    <w:p w:rsidR="00211803" w:rsidRPr="00275A42" w:rsidP="00211803" w14:paraId="1A113EAF" w14:textId="77777777">
      <w:pPr>
        <w:pStyle w:val="ParaNum"/>
      </w:pPr>
      <w:r w:rsidRPr="00275A42">
        <w:t xml:space="preserve">Pursuant to this grant of conditional certification, </w:t>
      </w:r>
      <w:r w:rsidRPr="00275A42">
        <w:t>NexTalk</w:t>
      </w:r>
      <w:r w:rsidRPr="00275A42">
        <w:t xml:space="preserve"> may provide Fund-supported IP CTS in the manner described in its application, for a period not to exceed </w:t>
      </w:r>
      <w:r>
        <w:t xml:space="preserve">two </w:t>
      </w:r>
      <w:r w:rsidRPr="00275A42">
        <w:t>years</w:t>
      </w:r>
      <w:r w:rsidRPr="005339D5">
        <w:rPr>
          <w:rFonts w:ascii="TimesNewRomanPSMT" w:hAnsi="TimesNewRomanPSMT" w:cs="TimesNewRomanPSMT"/>
          <w:snapToGrid/>
          <w:kern w:val="0"/>
          <w:szCs w:val="22"/>
        </w:rPr>
        <w:t xml:space="preserve"> </w:t>
      </w:r>
      <w:r w:rsidRPr="005339D5">
        <w:t>from the effective</w:t>
      </w:r>
      <w:r>
        <w:t xml:space="preserve"> </w:t>
      </w:r>
      <w:r w:rsidRPr="005339D5">
        <w:t>date of this order</w:t>
      </w:r>
      <w:r w:rsidRPr="00275A42">
        <w:t xml:space="preserve">, pending a final determination of </w:t>
      </w:r>
      <w:r w:rsidRPr="00105126">
        <w:t>its</w:t>
      </w:r>
      <w:r w:rsidRPr="00275A42">
        <w:t xml:space="preserve"> qualifications.  This conditional certification is issued without prejudice to such final determination, which is dependent on verification of the information provided in </w:t>
      </w:r>
      <w:r w:rsidRPr="00275A42">
        <w:t>NexTalk’s</w:t>
      </w:r>
      <w:r w:rsidRPr="00275A42">
        <w:t xml:space="preserve"> application and supplemental filings, as well as the additional information provided pursuant to this order, and on the veracity of the applicant’s representations that it will provide service in compliance with all pertinent Commission requirements.  To assist in reaching a final determination, the Bureau </w:t>
      </w:r>
      <w:r w:rsidRPr="00DD54ED">
        <w:t xml:space="preserve">may conduct one or more unannounced site visits to </w:t>
      </w:r>
      <w:r w:rsidRPr="00E61CC1">
        <w:t>NexTalk’s</w:t>
      </w:r>
      <w:r w:rsidRPr="00E61CC1">
        <w:t xml:space="preserve"> </w:t>
      </w:r>
      <w:r w:rsidRPr="00DD54ED">
        <w:t xml:space="preserve">premises and </w:t>
      </w:r>
      <w:r w:rsidRPr="00275A42">
        <w:t xml:space="preserve">may request additional documentation relating to </w:t>
      </w:r>
      <w:r w:rsidRPr="00275A42">
        <w:t>NexTalk’s</w:t>
      </w:r>
      <w:r w:rsidRPr="00275A42">
        <w:t xml:space="preserve"> provision of IP CTS.  Conversion to full certification will be granted if, based on a review of the applicant’s documentation and other relevant information, the Commission finds that </w:t>
      </w:r>
      <w:r w:rsidRPr="00275A42">
        <w:t>NexTalk</w:t>
      </w:r>
      <w:r w:rsidRPr="00275A42">
        <w:t xml:space="preserve"> is in compliance with applicable Commission rules and orders and is qualified to receive compensation from the Fund for the provision of IP CTS.  If, at any time during the period in which </w:t>
      </w:r>
      <w:r w:rsidRPr="00275A42">
        <w:t>NexTalk</w:t>
      </w:r>
      <w:r w:rsidRPr="00275A42">
        <w:t xml:space="preserve"> is operating pursuant to this conditional certification, the Commission determines that </w:t>
      </w:r>
      <w:r w:rsidRPr="00275A42">
        <w:t>NexTalk</w:t>
      </w:r>
      <w:r w:rsidRPr="00275A42">
        <w:t xml:space="preserve"> has failed to provide sufficient supporting documentation for any of the assertions in its application, determines that any of those assertions cannot be supported, or finds evidence of any apparent rule violation, fraud, waste, or abuse, the Commission will take appropriate action, which may include the denial of </w:t>
      </w:r>
      <w:r w:rsidRPr="00275A42">
        <w:t>NexTalk’s</w:t>
      </w:r>
      <w:r w:rsidRPr="00105126">
        <w:t xml:space="preserve"> </w:t>
      </w:r>
      <w:r w:rsidRPr="00275A42">
        <w:t xml:space="preserve">application.  In the event of such denial, </w:t>
      </w:r>
      <w:r w:rsidRPr="00275A42">
        <w:t>NexTalk’s</w:t>
      </w:r>
      <w:r w:rsidRPr="00275A42">
        <w:t xml:space="preserve"> conditional certification will automatically terminate thirty-five (35) days after such denial.</w:t>
      </w:r>
      <w:r>
        <w:rPr>
          <w:vertAlign w:val="superscript"/>
        </w:rPr>
        <w:footnoteReference w:id="55"/>
      </w:r>
      <w:r w:rsidRPr="00275A42">
        <w:t xml:space="preserve">  </w:t>
      </w:r>
    </w:p>
    <w:p w:rsidR="00211803" w:rsidP="00450F09" w14:paraId="229E7945" w14:textId="77777777">
      <w:pPr>
        <w:pStyle w:val="ParaNum"/>
        <w:widowControl/>
      </w:pPr>
      <w:r w:rsidRPr="00275A42">
        <w:rPr>
          <w:i/>
          <w:iCs/>
        </w:rPr>
        <w:t>Preventing Misuse</w:t>
      </w:r>
      <w:r w:rsidRPr="00275A42">
        <w:t>.</w:t>
      </w:r>
      <w:bookmarkStart w:id="18" w:name="_Hlk37850162"/>
      <w:r w:rsidRPr="00275A42">
        <w:t xml:space="preserve">  We remind </w:t>
      </w:r>
      <w:r w:rsidRPr="00275A42">
        <w:t>NexTalk</w:t>
      </w:r>
      <w:r w:rsidRPr="00275A42">
        <w:t xml:space="preserve"> and all other TRS providers that IP CTS is intended to provide a service functionally equivalent to voice telephone service, and must not be provided as a substitute for transcription </w:t>
      </w:r>
      <w:r>
        <w:t>of in-person meetings or conversations</w:t>
      </w:r>
      <w:r w:rsidRPr="00275A42">
        <w:t>.</w:t>
      </w:r>
      <w:r>
        <w:rPr>
          <w:sz w:val="20"/>
          <w:vertAlign w:val="superscript"/>
        </w:rPr>
        <w:footnoteReference w:id="56"/>
      </w:r>
      <w:r w:rsidRPr="00275A42">
        <w:t xml:space="preserve">  </w:t>
      </w:r>
      <w:bookmarkEnd w:id="18"/>
      <w:r w:rsidRPr="00275A42">
        <w:t xml:space="preserve">Further, although our rules do not prohibit </w:t>
      </w:r>
      <w:r w:rsidRPr="00275A42">
        <w:t>NexTalk</w:t>
      </w:r>
      <w:r w:rsidRPr="00275A42">
        <w:t xml:space="preserve"> from enabling </w:t>
      </w:r>
      <w:r w:rsidRPr="00E977CA">
        <w:t xml:space="preserve">its registered </w:t>
      </w:r>
      <w:r>
        <w:t xml:space="preserve">users to </w:t>
      </w:r>
      <w:r w:rsidRPr="00A5649F">
        <w:t>save the captions as they appear on a device,</w:t>
      </w:r>
      <w:r>
        <w:t xml:space="preserve"> </w:t>
      </w:r>
      <w:r w:rsidRPr="00275A42">
        <w:t xml:space="preserve">they do prohibit </w:t>
      </w:r>
      <w:bookmarkStart w:id="19" w:name="_Hlk37689558"/>
      <w:r w:rsidRPr="00275A42">
        <w:t xml:space="preserve">an IP CTS provider itself from retaining call transcripts or subsequently providing </w:t>
      </w:r>
      <w:r w:rsidRPr="00275A42">
        <w:t>transcripts to IP CTS users beyond the duration of the call.</w:t>
      </w:r>
      <w:bookmarkEnd w:id="19"/>
      <w:r>
        <w:rPr>
          <w:sz w:val="20"/>
          <w:vertAlign w:val="superscript"/>
        </w:rPr>
        <w:footnoteReference w:id="57"/>
      </w:r>
      <w:r w:rsidRPr="00275A42">
        <w:t xml:space="preserve">  We also remind </w:t>
      </w:r>
      <w:r w:rsidRPr="00275A42">
        <w:t>NexTalk</w:t>
      </w:r>
      <w:r w:rsidRPr="00275A42">
        <w:t xml:space="preserve"> that its marketing of this service must conform with the Commission’s rules.</w:t>
      </w:r>
      <w:r>
        <w:rPr>
          <w:sz w:val="20"/>
          <w:vertAlign w:val="superscript"/>
        </w:rPr>
        <w:footnoteReference w:id="58"/>
      </w:r>
      <w:r w:rsidRPr="00275A42">
        <w:t xml:space="preserve"> </w:t>
      </w:r>
    </w:p>
    <w:p w:rsidR="00211803" w:rsidP="00211803" w14:paraId="349F20A9" w14:textId="77777777">
      <w:pPr>
        <w:pStyle w:val="ParaNum"/>
        <w:tabs>
          <w:tab w:val="left" w:pos="1440"/>
        </w:tabs>
      </w:pPr>
      <w:r w:rsidRPr="006B6C74">
        <w:rPr>
          <w:i/>
          <w:iCs/>
        </w:rPr>
        <w:t>Compensation.</w:t>
      </w:r>
      <w:r>
        <w:t xml:space="preserve">  Providers of IP CTS are currently compensated under a single formula, in the amount of $1.30 per minute.  The Commission has sought comment on modifying this formula and is expected to adopt a revised compensation plan by June 30, 2024.</w:t>
      </w:r>
      <w:r>
        <w:rPr>
          <w:rStyle w:val="FootnoteReference"/>
        </w:rPr>
        <w:footnoteReference w:id="59"/>
      </w:r>
      <w:r>
        <w:t xml:space="preserve">  Newly certified IP CTS providers should not assume or expect that the current compensation formula will remain applicable or that any revised formula(s) will necessarily allow them to recover their cost of service, even if</w:t>
      </w:r>
      <w:r w:rsidRPr="001F591F">
        <w:t xml:space="preserve"> </w:t>
      </w:r>
      <w:r>
        <w:t>they serve a special population or use a new, more expensive method of providing service.</w:t>
      </w:r>
      <w:r>
        <w:rPr>
          <w:rStyle w:val="FootnoteReference"/>
        </w:rPr>
        <w:footnoteReference w:id="60"/>
      </w:r>
      <w:r>
        <w:t xml:space="preserve"> </w:t>
      </w:r>
    </w:p>
    <w:p w:rsidR="00211803" w:rsidRPr="00275A42" w:rsidP="00211803" w14:paraId="57B4D001" w14:textId="77777777">
      <w:pPr>
        <w:pStyle w:val="Heading1"/>
      </w:pPr>
      <w:r w:rsidRPr="00D87E36">
        <w:t xml:space="preserve">Request for </w:t>
      </w:r>
      <w:r w:rsidRPr="00D87E36">
        <w:rPr>
          <w:rFonts w:ascii="Times New Roman" w:hAnsi="Times New Roman"/>
        </w:rPr>
        <w:t>Waivers</w:t>
      </w:r>
    </w:p>
    <w:p w:rsidR="00211803" w:rsidRPr="00275A42" w:rsidP="00211803" w14:paraId="4E9CA3AF" w14:textId="77777777">
      <w:pPr>
        <w:pStyle w:val="ParaNum"/>
      </w:pPr>
      <w:r>
        <w:t>For the reasons stated below, t</w:t>
      </w:r>
      <w:r w:rsidRPr="00275A42">
        <w:t xml:space="preserve">he Bureau grants one of </w:t>
      </w:r>
      <w:r w:rsidRPr="00275A42">
        <w:t>NexTalk’s</w:t>
      </w:r>
      <w:r w:rsidRPr="00275A42">
        <w:t xml:space="preserve"> request</w:t>
      </w:r>
      <w:r>
        <w:t xml:space="preserve">s for waiver </w:t>
      </w:r>
      <w:r w:rsidRPr="00275A42">
        <w:t>and dismisses the other.</w:t>
      </w:r>
      <w:r>
        <w:rPr>
          <w:sz w:val="20"/>
          <w:vertAlign w:val="superscript"/>
        </w:rPr>
        <w:footnoteReference w:id="61"/>
      </w:r>
      <w:r w:rsidRPr="00275A42">
        <w:t xml:space="preserve">  </w:t>
      </w:r>
    </w:p>
    <w:p w:rsidR="00211803" w:rsidRPr="00275A42" w:rsidP="00211803" w14:paraId="6A404AEF" w14:textId="77777777">
      <w:pPr>
        <w:pStyle w:val="ParaNum"/>
      </w:pPr>
      <w:r w:rsidRPr="00275A42">
        <w:rPr>
          <w:i/>
        </w:rPr>
        <w:t>Waiver standard</w:t>
      </w:r>
      <w:r w:rsidRPr="00275A42">
        <w:t>.  A Commission rule may be waived for “good cause shown.”</w:t>
      </w:r>
      <w:r>
        <w:rPr>
          <w:sz w:val="20"/>
          <w:vertAlign w:val="superscript"/>
        </w:rPr>
        <w:footnoteReference w:id="62"/>
      </w:r>
      <w:r w:rsidRPr="00275A42">
        <w:t xml:space="preserve">  In particular, a waiver is appropriate where the particular facts make strict compliance inconsistent with the public interest.</w:t>
      </w:r>
      <w:r>
        <w:rPr>
          <w:sz w:val="20"/>
          <w:vertAlign w:val="superscript"/>
        </w:rPr>
        <w:footnoteReference w:id="63"/>
      </w:r>
      <w:r w:rsidRPr="00275A42">
        <w:t xml:space="preserve">  In addition, we may take into account considerations of hardship, equity, or more effective implementation of overall policy on an individual basis.</w:t>
      </w:r>
      <w:r>
        <w:rPr>
          <w:sz w:val="20"/>
          <w:vertAlign w:val="superscript"/>
        </w:rPr>
        <w:footnoteReference w:id="64"/>
      </w:r>
      <w:r w:rsidRPr="00275A42">
        <w:t xml:space="preserve">  Such a waiver is appropriate if special circumstances warrant a deviation from the general rule and such deviation will serve the public interest.</w:t>
      </w:r>
      <w:r>
        <w:rPr>
          <w:sz w:val="20"/>
          <w:vertAlign w:val="superscript"/>
        </w:rPr>
        <w:footnoteReference w:id="65"/>
      </w:r>
    </w:p>
    <w:p w:rsidR="00211803" w:rsidP="00211803" w14:paraId="3F87B546" w14:textId="77777777">
      <w:pPr>
        <w:pStyle w:val="ParaNum"/>
      </w:pPr>
      <w:r w:rsidRPr="00EE245A">
        <w:rPr>
          <w:i/>
        </w:rPr>
        <w:t>Discussion</w:t>
      </w:r>
      <w:r w:rsidRPr="00275A42">
        <w:t xml:space="preserve">.  </w:t>
      </w:r>
      <w:bookmarkStart w:id="22" w:name="_Hlk30456369"/>
      <w:r w:rsidRPr="00275A42">
        <w:t>NexTalk</w:t>
      </w:r>
      <w:r w:rsidRPr="00275A42">
        <w:t xml:space="preserve"> seeks waiver of </w:t>
      </w:r>
      <w:r>
        <w:t xml:space="preserve">sections </w:t>
      </w:r>
      <w:r w:rsidRPr="00275A42">
        <w:t>64.604(c)(5)(</w:t>
      </w:r>
      <w:r>
        <w:t>iii</w:t>
      </w:r>
      <w:r w:rsidRPr="00275A42">
        <w:t>)(D)(</w:t>
      </w:r>
      <w:r w:rsidRPr="00E61CC1">
        <w:rPr>
          <w:i/>
          <w:iCs/>
        </w:rPr>
        <w:t>2</w:t>
      </w:r>
      <w:r w:rsidRPr="00275A42">
        <w:t>)(</w:t>
      </w:r>
      <w:r w:rsidRPr="00E61CC1">
        <w:rPr>
          <w:i/>
          <w:iCs/>
        </w:rPr>
        <w:t>ii</w:t>
      </w:r>
      <w:r w:rsidRPr="00275A42">
        <w:t>) and (</w:t>
      </w:r>
      <w:r w:rsidRPr="00E61CC1">
        <w:rPr>
          <w:i/>
          <w:iCs/>
        </w:rPr>
        <w:t>x</w:t>
      </w:r>
      <w:r>
        <w:t xml:space="preserve">) of the Commission’s rules, which </w:t>
      </w:r>
      <w:r w:rsidRPr="00275A42">
        <w:t>require, respectively,</w:t>
      </w:r>
      <w:r>
        <w:t xml:space="preserve"> that </w:t>
      </w:r>
      <w:r w:rsidRPr="00275A42">
        <w:t>TRS providers seeking compensation from the TRS Fund must submit, for each call, a CA identification number</w:t>
      </w:r>
      <w:r>
        <w:rPr>
          <w:rStyle w:val="FootnoteReference"/>
        </w:rPr>
        <w:footnoteReference w:id="66"/>
      </w:r>
      <w:r w:rsidRPr="00275A42">
        <w:t xml:space="preserve"> and </w:t>
      </w:r>
      <w:r>
        <w:t xml:space="preserve">the </w:t>
      </w:r>
      <w:r w:rsidRPr="00275A42">
        <w:t>URL through which a call was initiated.</w:t>
      </w:r>
      <w:r>
        <w:rPr>
          <w:rStyle w:val="FootnoteReference"/>
        </w:rPr>
        <w:footnoteReference w:id="67"/>
      </w:r>
      <w:r w:rsidRPr="00275A42">
        <w:t xml:space="preserve">  We have previously held that when captions</w:t>
      </w:r>
      <w:r>
        <w:t xml:space="preserve"> are </w:t>
      </w:r>
      <w:r w:rsidRPr="00275A42">
        <w:t xml:space="preserve">provided via ASR, an IP CTS provider can </w:t>
      </w:r>
      <w:r w:rsidRPr="00275A42">
        <w:t>comply</w:t>
      </w:r>
      <w:r>
        <w:t xml:space="preserve"> with </w:t>
      </w:r>
      <w:r w:rsidRPr="00275A42">
        <w:t>the CA identification number requirement by providing an identification number for</w:t>
      </w:r>
      <w:r>
        <w:t xml:space="preserve"> its ASR</w:t>
      </w:r>
      <w:r w:rsidRPr="00275A42">
        <w:t xml:space="preserve"> system in the CA identification number field,</w:t>
      </w:r>
      <w:r>
        <w:t xml:space="preserve"> or </w:t>
      </w:r>
      <w:r w:rsidRPr="00275A42">
        <w:t>by providing other ASR-identifying information as the administrator directs.</w:t>
      </w:r>
      <w:r>
        <w:rPr>
          <w:rStyle w:val="FootnoteReference"/>
        </w:rPr>
        <w:footnoteReference w:id="68"/>
      </w:r>
      <w:r w:rsidRPr="00275A42">
        <w:t xml:space="preserve">  Accordingly, no waiver is needed. </w:t>
      </w:r>
    </w:p>
    <w:p w:rsidR="00211803" w:rsidP="00211803" w14:paraId="54422156" w14:textId="77777777">
      <w:pPr>
        <w:pStyle w:val="ParaNum"/>
      </w:pPr>
      <w:r>
        <w:t xml:space="preserve">As for </w:t>
      </w:r>
      <w:r w:rsidRPr="00275A42">
        <w:t xml:space="preserve">the requirement that the URL address through which the call was initiated be included in a provider’s reports to the TRS Fund administrator for compensation of call minutes, </w:t>
      </w:r>
      <w:r>
        <w:t>we have explained in prior orders</w:t>
      </w:r>
      <w:r>
        <w:rPr>
          <w:rStyle w:val="FootnoteReference"/>
        </w:rPr>
        <w:footnoteReference w:id="69"/>
      </w:r>
      <w:r>
        <w:t xml:space="preserve"> that </w:t>
      </w:r>
      <w:r w:rsidRPr="00275A42">
        <w:t>there is a difference between the rule as codified,</w:t>
      </w:r>
      <w:r>
        <w:rPr>
          <w:rStyle w:val="FootnoteReference"/>
        </w:rPr>
        <w:footnoteReference w:id="70"/>
      </w:r>
      <w:r w:rsidRPr="00275A42">
        <w:t xml:space="preserve"> which states that the specified call data is required from all TRS providers, and the Report and Order adopting the rule, which states that the rule applies to VRS providers.</w:t>
      </w:r>
      <w:r>
        <w:rPr>
          <w:rStyle w:val="FootnoteReference"/>
        </w:rPr>
        <w:footnoteReference w:id="71"/>
      </w:r>
      <w:r w:rsidRPr="00275A42">
        <w:t xml:space="preserve">  We have not interpreted the rule as requiring IP CTS providers to submit a URL address for each call.</w:t>
      </w:r>
      <w:r>
        <w:rPr>
          <w:rStyle w:val="FootnoteReference"/>
        </w:rPr>
        <w:footnoteReference w:id="72"/>
      </w:r>
      <w:r w:rsidRPr="00275A42">
        <w:t xml:space="preserve">  However, to the extent a waiver is required, we grant it, because the Report and Order indicates that the URL address requirement was intended to apply only to VRS providers.</w:t>
      </w:r>
      <w:r>
        <w:t xml:space="preserve"> </w:t>
      </w:r>
      <w:bookmarkEnd w:id="22"/>
    </w:p>
    <w:p w:rsidR="00211803" w:rsidRPr="00D87E36" w:rsidP="001F6D5B" w14:paraId="0805B118" w14:textId="77777777">
      <w:pPr>
        <w:pStyle w:val="Heading1"/>
      </w:pPr>
      <w:r w:rsidRPr="00D87E36">
        <w:t>Procedural Matters</w:t>
      </w:r>
    </w:p>
    <w:p w:rsidR="00211803" w:rsidRPr="00275A42" w:rsidP="00211803" w14:paraId="5D6798D2" w14:textId="77777777">
      <w:pPr>
        <w:pStyle w:val="ParaNum"/>
      </w:pPr>
      <w:r w:rsidRPr="00275A42">
        <w:rPr>
          <w:i/>
        </w:rPr>
        <w:t>People with Disabilities</w:t>
      </w:r>
      <w:r w:rsidRPr="00275A42">
        <w:t>:  To request materials in accessible formats for people with disabilities (Braille, large print, electronic files, audio format), send an e-mail to fcc504@fcc.gov or call the Consumer &amp; Governmental Affairs Bureau at 202-418-0530 (voice) or 202-418-0432 (TTY).</w:t>
      </w:r>
    </w:p>
    <w:p w:rsidR="00211803" w:rsidRPr="00275A42" w:rsidP="00211803" w14:paraId="6A5E857B" w14:textId="77777777">
      <w:pPr>
        <w:pStyle w:val="ParaNum"/>
      </w:pPr>
      <w:r w:rsidRPr="00275A42">
        <w:rPr>
          <w:i/>
        </w:rPr>
        <w:t xml:space="preserve">Additional Information.  </w:t>
      </w:r>
      <w:r w:rsidRPr="00275A42">
        <w:t xml:space="preserve">For further information regarding this item, please contact Ike Ofobike, Disability Rights Office, Consumer and Governmental Affairs Bureau, at 202-418-1028 or by e-mail to </w:t>
      </w:r>
      <w:hyperlink r:id="rId5" w:history="1">
        <w:r w:rsidRPr="00275A42">
          <w:rPr>
            <w:rStyle w:val="Hyperlink"/>
          </w:rPr>
          <w:t>Ike.Ofobike@fcc.gov</w:t>
        </w:r>
      </w:hyperlink>
      <w:r w:rsidRPr="00275A42">
        <w:t xml:space="preserve">. </w:t>
      </w:r>
    </w:p>
    <w:p w:rsidR="00211803" w:rsidRPr="00D87E36" w:rsidP="001F6D5B" w14:paraId="4733ADAE" w14:textId="77777777">
      <w:pPr>
        <w:pStyle w:val="Heading1"/>
      </w:pPr>
      <w:r w:rsidRPr="00D87E36">
        <w:t>Ordering Clauses</w:t>
      </w:r>
    </w:p>
    <w:p w:rsidR="00211803" w:rsidRPr="00275A42" w:rsidP="00211803" w14:paraId="249AB891" w14:textId="77777777">
      <w:pPr>
        <w:pStyle w:val="ParaNum"/>
      </w:pPr>
      <w:r w:rsidRPr="00275A42">
        <w:t>Accordingly, IT IS ORDERED that, pursuant to sections 1, 2, 4(</w:t>
      </w:r>
      <w:r w:rsidRPr="00275A42">
        <w:t>i</w:t>
      </w:r>
      <w:r w:rsidRPr="00275A42">
        <w:t>), 4(j), and 225 of the Communications Act of 1934, as amended, 47 U.S.C. §§ 151, 152, 154(</w:t>
      </w:r>
      <w:r w:rsidRPr="00275A42">
        <w:t>i</w:t>
      </w:r>
      <w:r w:rsidRPr="00275A42">
        <w:t xml:space="preserve">), 154(j), 225, sections 0.141, 0.361, 1.3, and 64.606(b)(2) of the Commission’s rules, 47 CFR §§ 0.141, 0.361, 1.3, 64.606(b)(2), and the authority delegated by paragraph 60 of the Commission’s </w:t>
      </w:r>
      <w:r w:rsidRPr="00275A42">
        <w:rPr>
          <w:i/>
        </w:rPr>
        <w:t>2018 ASR Declaratory Ruling</w:t>
      </w:r>
      <w:r w:rsidRPr="00275A42">
        <w:t xml:space="preserve">, the application of </w:t>
      </w:r>
      <w:r w:rsidRPr="00275A42">
        <w:t>NexTalk</w:t>
      </w:r>
      <w:r w:rsidRPr="00275A42">
        <w:t>, Inc., for certification to provide IP CTS is GRANTED as conditioned in this Order.</w:t>
      </w:r>
    </w:p>
    <w:p w:rsidR="00211803" w:rsidRPr="00275A42" w:rsidP="00211803" w14:paraId="5EA749AC" w14:textId="73BA60D7">
      <w:pPr>
        <w:pStyle w:val="ParaNum"/>
      </w:pPr>
      <w:r w:rsidRPr="00275A42">
        <w:t xml:space="preserve">IT IS </w:t>
      </w:r>
      <w:r w:rsidRPr="00105126">
        <w:t>FURTHER</w:t>
      </w:r>
      <w:r w:rsidRPr="00275A42">
        <w:t xml:space="preserve"> ORDERED that</w:t>
      </w:r>
      <w:r w:rsidR="001F6D5B">
        <w:t>,</w:t>
      </w:r>
      <w:r w:rsidRPr="00275A42">
        <w:t xml:space="preserve"> </w:t>
      </w:r>
      <w:r w:rsidRPr="00275A42">
        <w:t>NexTalk</w:t>
      </w:r>
      <w:r>
        <w:t>’s</w:t>
      </w:r>
      <w:r>
        <w:t xml:space="preserve"> </w:t>
      </w:r>
      <w:r w:rsidRPr="00275A42">
        <w:t>Request for Waiver is GRANTED IN PART and DISMISSED IN PART</w:t>
      </w:r>
      <w:r>
        <w:t>, as discussed herein</w:t>
      </w:r>
      <w:r w:rsidRPr="00275A42">
        <w:t xml:space="preserve">.   </w:t>
      </w:r>
    </w:p>
    <w:p w:rsidR="00211803" w:rsidRPr="00275A42" w:rsidP="00EE4B91" w14:paraId="52C231C3" w14:textId="77777777">
      <w:pPr>
        <w:pStyle w:val="ParaNum"/>
      </w:pPr>
      <w:r w:rsidRPr="00275A42">
        <w:t xml:space="preserve">IT IS FURTHER ORDERED that, pursuant to section 1.102(b)(1) of the </w:t>
      </w:r>
      <w:r w:rsidRPr="00105126">
        <w:t>Commission’s</w:t>
      </w:r>
      <w:r w:rsidRPr="00275A42">
        <w:t xml:space="preserve"> rules, 47 CFR § 1.102(b)(1), this Order SHALL BE EFFECTIVE upon release.</w:t>
      </w:r>
    </w:p>
    <w:p w:rsidR="00211803" w:rsidRPr="00275A42" w:rsidP="00211803" w14:paraId="7EFBDD5A" w14:textId="77777777">
      <w:r w:rsidRPr="00275A42">
        <w:tab/>
      </w:r>
      <w:r w:rsidRPr="00275A42">
        <w:tab/>
      </w:r>
      <w:r w:rsidRPr="00275A42">
        <w:tab/>
      </w:r>
      <w:r w:rsidRPr="00275A42">
        <w:tab/>
      </w:r>
      <w:r w:rsidRPr="00275A42">
        <w:tab/>
      </w:r>
      <w:r w:rsidRPr="00275A42">
        <w:tab/>
      </w:r>
      <w:bookmarkStart w:id="23" w:name="_Hlk58583255"/>
      <w:r w:rsidRPr="00275A42">
        <w:t>FEDERAL COMMUNICATIONS COMMISSION</w:t>
      </w:r>
    </w:p>
    <w:p w:rsidR="00211803" w:rsidRPr="00275A42" w:rsidP="00211803" w14:paraId="1F67CBE5" w14:textId="77777777"/>
    <w:p w:rsidR="00211803" w:rsidRPr="00275A42" w:rsidP="00211803" w14:paraId="6C05CFF4" w14:textId="77777777"/>
    <w:p w:rsidR="00211803" w:rsidRPr="00275A42" w:rsidP="00211803" w14:paraId="3607B396" w14:textId="77777777"/>
    <w:p w:rsidR="00211803" w:rsidRPr="00275A42" w:rsidP="00211803" w14:paraId="6081435A" w14:textId="77777777"/>
    <w:p w:rsidR="00211803" w:rsidRPr="00275A42" w:rsidP="00211803" w14:paraId="5A01C6EF" w14:textId="77777777">
      <w:r w:rsidRPr="00275A42">
        <w:tab/>
      </w:r>
      <w:r w:rsidRPr="00275A42">
        <w:tab/>
      </w:r>
      <w:r w:rsidRPr="00275A42">
        <w:tab/>
      </w:r>
      <w:r w:rsidRPr="00275A42">
        <w:tab/>
      </w:r>
      <w:r w:rsidRPr="00275A42">
        <w:tab/>
      </w:r>
      <w:r w:rsidRPr="00275A42">
        <w:tab/>
        <w:t>Alejandro Roark, Chief</w:t>
      </w:r>
    </w:p>
    <w:p w:rsidR="00211803" w:rsidP="00211803" w14:paraId="1139A69A" w14:textId="77777777">
      <w:r w:rsidRPr="00275A42">
        <w:tab/>
      </w:r>
      <w:r w:rsidRPr="00275A42">
        <w:tab/>
      </w:r>
      <w:r w:rsidRPr="00275A42">
        <w:tab/>
      </w:r>
      <w:r w:rsidRPr="00275A42">
        <w:tab/>
      </w:r>
      <w:r w:rsidRPr="00275A42">
        <w:tab/>
      </w:r>
      <w:r w:rsidRPr="00275A42">
        <w:tab/>
        <w:t>Consumer and Governmental Affairs Bureau</w:t>
      </w:r>
      <w:bookmarkEnd w:id="23"/>
    </w:p>
    <w:p w:rsidR="00412FC5" w:rsidRPr="00211803" w:rsidP="00211803" w14:paraId="6BB92B5F" w14:textId="77777777"/>
    <w:sectPr w:rsidSect="00211803">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1E6C04E4"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31045C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211803" w14:paraId="7E2E43EA" w14:textId="6BA35B4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6AA954C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1803" w14:paraId="593C2773" w14:textId="77777777">
      <w:r>
        <w:separator/>
      </w:r>
    </w:p>
  </w:footnote>
  <w:footnote w:type="continuationSeparator" w:id="1">
    <w:p w:rsidR="00211803" w:rsidP="00C721AC" w14:paraId="7FC54D17" w14:textId="77777777">
      <w:pPr>
        <w:spacing w:before="120"/>
        <w:rPr>
          <w:sz w:val="20"/>
        </w:rPr>
      </w:pPr>
      <w:r>
        <w:rPr>
          <w:sz w:val="20"/>
        </w:rPr>
        <w:t xml:space="preserve">(Continued from previous page)  </w:t>
      </w:r>
      <w:r>
        <w:rPr>
          <w:sz w:val="20"/>
        </w:rPr>
        <w:separator/>
      </w:r>
    </w:p>
  </w:footnote>
  <w:footnote w:type="continuationNotice" w:id="2">
    <w:p w:rsidR="00211803" w:rsidP="00C721AC" w14:paraId="50205AD1" w14:textId="77777777">
      <w:pPr>
        <w:jc w:val="right"/>
        <w:rPr>
          <w:sz w:val="20"/>
        </w:rPr>
      </w:pPr>
      <w:r>
        <w:rPr>
          <w:sz w:val="20"/>
        </w:rPr>
        <w:t>(continued….)</w:t>
      </w:r>
    </w:p>
  </w:footnote>
  <w:footnote w:id="3">
    <w:p w:rsidR="00211803" w:rsidRPr="000B3A53" w:rsidP="00211803" w14:paraId="6F850AD8" w14:textId="77777777">
      <w:pPr>
        <w:pStyle w:val="FootnoteText"/>
      </w:pPr>
      <w:r>
        <w:rPr>
          <w:rStyle w:val="FootnoteReference"/>
        </w:rPr>
        <w:footnoteRef/>
      </w:r>
      <w:r>
        <w:t xml:space="preserve"> </w:t>
      </w:r>
      <w:r w:rsidRPr="00307063">
        <w:rPr>
          <w:i/>
          <w:iCs/>
        </w:rPr>
        <w:t>See</w:t>
      </w:r>
      <w:r w:rsidRPr="00560802">
        <w:t xml:space="preserve"> </w:t>
      </w:r>
      <w:r w:rsidRPr="00307063">
        <w:rPr>
          <w:i/>
        </w:rPr>
        <w:t>Structure and Practices of the Video Relay Service Program</w:t>
      </w:r>
      <w:r w:rsidRPr="00307063">
        <w:t xml:space="preserve">, CG Docket No. 10-51, Second Report and Order and Order, </w:t>
      </w:r>
      <w:bookmarkStart w:id="3" w:name="_Hlk88124364"/>
      <w:r w:rsidRPr="00307063">
        <w:t xml:space="preserve">26 FCC </w:t>
      </w:r>
      <w:r w:rsidRPr="00307063">
        <w:t>Rcd</w:t>
      </w:r>
      <w:r w:rsidRPr="00307063">
        <w:t xml:space="preserve"> 10898, 10914-15, para. 37 (2011) (</w:t>
      </w:r>
      <w:r w:rsidRPr="00307063">
        <w:rPr>
          <w:i/>
        </w:rPr>
        <w:t>2011 Internet-based TRS Certification Order</w:t>
      </w:r>
      <w:r w:rsidRPr="00307063">
        <w:t xml:space="preserve">) </w:t>
      </w:r>
      <w:bookmarkEnd w:id="3"/>
      <w:r w:rsidRPr="00307063">
        <w:t>(authorizing conditional certification)</w:t>
      </w:r>
      <w:r>
        <w:t>.  IP CTS is an Internet-based telecommunications relay service (TRS) that</w:t>
      </w:r>
      <w:r w:rsidRPr="0004726E">
        <w:rPr>
          <w:rFonts w:eastAsia="Calibri"/>
        </w:rPr>
        <w:t xml:space="preserve"> </w:t>
      </w:r>
      <w:r>
        <w:rPr>
          <w:rFonts w:eastAsia="Calibri"/>
        </w:rPr>
        <w:t xml:space="preserve">allows </w:t>
      </w:r>
      <w:r w:rsidRPr="00071F30">
        <w:rPr>
          <w:rFonts w:eastAsia="Calibri"/>
        </w:rPr>
        <w:t>individuals with hearing loss to both read captions and use their residual hearing to understand a telephone conversation</w:t>
      </w:r>
      <w:r>
        <w:rPr>
          <w:rFonts w:eastAsia="Calibri"/>
        </w:rPr>
        <w:t xml:space="preserve">.  </w:t>
      </w:r>
      <w:r w:rsidRPr="00AC6CC7">
        <w:rPr>
          <w:i/>
        </w:rPr>
        <w:t>See</w:t>
      </w:r>
      <w:r>
        <w:t xml:space="preserve"> </w:t>
      </w:r>
      <w:r w:rsidRPr="003F1DEA">
        <w:t>47 CFR § 64.601(a)(</w:t>
      </w:r>
      <w:r>
        <w:t>23</w:t>
      </w:r>
      <w:r w:rsidRPr="003F1DEA">
        <w:t>)</w:t>
      </w:r>
      <w:r>
        <w:t xml:space="preserve"> (defining IP CTS)</w:t>
      </w:r>
      <w:r w:rsidRPr="003F1DEA">
        <w:t xml:space="preserve">.  </w:t>
      </w:r>
      <w:r w:rsidRPr="002F4A42">
        <w:t xml:space="preserve">Captions </w:t>
      </w:r>
      <w:r>
        <w:t xml:space="preserve">may </w:t>
      </w:r>
      <w:r w:rsidRPr="002F4A42">
        <w:t>be displayed on a specialized IP CTS device or an off-the-shelf computer, tablet</w:t>
      </w:r>
      <w:r>
        <w:t>,</w:t>
      </w:r>
      <w:r w:rsidRPr="002F4A42">
        <w:t xml:space="preserve"> or smartphone.</w:t>
      </w:r>
      <w:r>
        <w:t xml:space="preserve">  </w:t>
      </w:r>
      <w:r>
        <w:rPr>
          <w:rFonts w:eastAsia="Calibri"/>
        </w:rPr>
        <w:t>I</w:t>
      </w:r>
      <w:r>
        <w:t xml:space="preserve">nternet-based TRS providers obtain certification from the Commission to be eligible to receive compensation from the TRS Fund.  </w:t>
      </w:r>
      <w:r w:rsidRPr="002C0211">
        <w:rPr>
          <w:i/>
          <w:iCs/>
        </w:rPr>
        <w:t>Id</w:t>
      </w:r>
      <w:r>
        <w:t>. § 64.606.</w:t>
      </w:r>
    </w:p>
  </w:footnote>
  <w:footnote w:id="4">
    <w:p w:rsidR="00211803" w:rsidP="00211803" w14:paraId="5DFDF32F" w14:textId="77777777">
      <w:pPr>
        <w:pStyle w:val="FootnoteText"/>
      </w:pPr>
      <w:r>
        <w:rPr>
          <w:rStyle w:val="FootnoteReference"/>
        </w:rPr>
        <w:footnoteRef/>
      </w:r>
      <w:r>
        <w:t xml:space="preserve"> </w:t>
      </w:r>
      <w:r w:rsidRPr="00F06BF8">
        <w:t xml:space="preserve">The Commission has determined that the provision of IP CTS using only automatic speech recognition (ASR) to generate captions, without the involvement of a Communications Assistant (CA), is eligible for compensation from the TRS Fund if provided in compliance with applicable mandatory minimum TRS standards.  </w:t>
      </w:r>
      <w:r w:rsidRPr="00F06BF8">
        <w:rPr>
          <w:i/>
        </w:rPr>
        <w:t xml:space="preserve">See </w:t>
      </w:r>
      <w:r w:rsidRPr="00F06BF8">
        <w:rPr>
          <w:i/>
          <w:iCs/>
        </w:rPr>
        <w:t>Misuse of Internet Protocol (IP) Captioned Telephone Service</w:t>
      </w:r>
      <w:r w:rsidRPr="00F06BF8">
        <w:rPr>
          <w:iCs/>
        </w:rPr>
        <w:t>;</w:t>
      </w:r>
      <w:r w:rsidRPr="00F06BF8">
        <w:rPr>
          <w:i/>
          <w:iCs/>
        </w:rPr>
        <w:t xml:space="preserve"> Telecommunications Relay Services and Speech-to-Speech Services for Individuals with Hearing and Speech Disabilities</w:t>
      </w:r>
      <w:r w:rsidRPr="00F06BF8">
        <w:rPr>
          <w:iCs/>
        </w:rPr>
        <w:t xml:space="preserve">, CG Docket Nos. 13-24 and 03-123, Report and Order, Declaratory Ruling, Further Notice of Proposed Rulemaking, and Notice of Inquiry, 33 FCC </w:t>
      </w:r>
      <w:r w:rsidRPr="00F06BF8">
        <w:rPr>
          <w:iCs/>
        </w:rPr>
        <w:t>Rcd</w:t>
      </w:r>
      <w:r w:rsidRPr="00F06BF8">
        <w:rPr>
          <w:iCs/>
        </w:rPr>
        <w:t xml:space="preserve"> 5800</w:t>
      </w:r>
      <w:r>
        <w:rPr>
          <w:iCs/>
        </w:rPr>
        <w:t>,</w:t>
      </w:r>
      <w:r w:rsidRPr="00F06BF8">
        <w:rPr>
          <w:iCs/>
        </w:rPr>
        <w:t xml:space="preserve"> </w:t>
      </w:r>
      <w:r w:rsidRPr="00F06BF8">
        <w:t>5827, para. 48</w:t>
      </w:r>
      <w:r w:rsidRPr="00F06BF8">
        <w:rPr>
          <w:iCs/>
        </w:rPr>
        <w:t xml:space="preserve"> (2018) (</w:t>
      </w:r>
      <w:r w:rsidRPr="00F06BF8">
        <w:rPr>
          <w:i/>
          <w:iCs/>
        </w:rPr>
        <w:t>2018 ASR Declaratory Ruling</w:t>
      </w:r>
      <w:r w:rsidRPr="00F06BF8">
        <w:rPr>
          <w:iCs/>
        </w:rPr>
        <w:t>)</w:t>
      </w:r>
      <w:r w:rsidRPr="00F06BF8">
        <w:t>.</w:t>
      </w:r>
    </w:p>
  </w:footnote>
  <w:footnote w:id="5">
    <w:p w:rsidR="00211803" w:rsidP="00211803" w14:paraId="72672F82" w14:textId="77777777">
      <w:pPr>
        <w:pStyle w:val="FootnoteText"/>
      </w:pPr>
      <w:r>
        <w:rPr>
          <w:rStyle w:val="FootnoteReference"/>
        </w:rPr>
        <w:footnoteRef/>
      </w:r>
      <w:r>
        <w:t xml:space="preserve"> </w:t>
      </w:r>
      <w:bookmarkStart w:id="4" w:name="_Hlk149566714"/>
      <w:r>
        <w:rPr>
          <w:i/>
        </w:rPr>
        <w:t>See</w:t>
      </w:r>
      <w:r>
        <w:t xml:space="preserve"> Internet-based TRS Certification</w:t>
      </w:r>
      <w:r w:rsidRPr="000B3A53">
        <w:t xml:space="preserve"> </w:t>
      </w:r>
      <w:r>
        <w:t xml:space="preserve">Application of </w:t>
      </w:r>
      <w:r>
        <w:t>NexTalk</w:t>
      </w:r>
      <w:r>
        <w:t xml:space="preserve">, Inc., CG Docket No. 03-123 (filed Feb. 7, 2022) </w:t>
      </w:r>
      <w:hyperlink r:id="rId1" w:history="1">
        <w:r w:rsidRPr="00385896">
          <w:rPr>
            <w:rStyle w:val="Hyperlink"/>
          </w:rPr>
          <w:t>https://www.fcc.gov/ecfs/document/10208159809413/1</w:t>
        </w:r>
      </w:hyperlink>
      <w:r>
        <w:t xml:space="preserve"> (</w:t>
      </w:r>
      <w:r w:rsidRPr="000B42F8">
        <w:t>Application)</w:t>
      </w:r>
      <w:r>
        <w:t xml:space="preserve"> (redacted)</w:t>
      </w:r>
      <w:r w:rsidRPr="000B42F8">
        <w:t>.</w:t>
      </w:r>
      <w:bookmarkEnd w:id="4"/>
      <w:r>
        <w:t xml:space="preserve">  </w:t>
      </w:r>
      <w:r>
        <w:t>NexTalk</w:t>
      </w:r>
      <w:r w:rsidRPr="00B9356C">
        <w:t xml:space="preserve"> has redacted portions of its application for which it requests confidential treatment. </w:t>
      </w:r>
      <w:r>
        <w:t xml:space="preserve"> </w:t>
      </w:r>
      <w:r w:rsidRPr="00B9356C">
        <w:t xml:space="preserve">Access to the redacted material is governed by the Third Protective Order in this docket.  </w:t>
      </w:r>
      <w:r w:rsidRPr="00B9356C">
        <w:rPr>
          <w:i/>
          <w:iCs/>
        </w:rPr>
        <w:t>See Misuse of Internet Protocol (IP) Captioned Telephone Service</w:t>
      </w:r>
      <w:r w:rsidRPr="001F5D94">
        <w:t>;</w:t>
      </w:r>
      <w:r w:rsidRPr="00B9356C">
        <w:rPr>
          <w:i/>
          <w:iCs/>
        </w:rPr>
        <w:t xml:space="preserve"> Structure and Practices of the Video Relay Service Program</w:t>
      </w:r>
      <w:r w:rsidRPr="001F5D94">
        <w:t>;</w:t>
      </w:r>
      <w:r w:rsidRPr="00B9356C">
        <w:rPr>
          <w:i/>
          <w:iCs/>
        </w:rPr>
        <w:t xml:space="preserve"> Telecommunications Relay Services and Speech-to-Speech Services for Individuals with Hearing and Speech Disabilities, </w:t>
      </w:r>
      <w:r w:rsidRPr="00B9356C">
        <w:t xml:space="preserve">CG Docket Nos. 13024, 10-51, and 03-123, </w:t>
      </w:r>
      <w:r w:rsidRPr="003372F0">
        <w:t>Order and Third Protective Order,</w:t>
      </w:r>
      <w:r w:rsidRPr="003372F0">
        <w:rPr>
          <w:i/>
          <w:iCs/>
        </w:rPr>
        <w:t xml:space="preserve"> </w:t>
      </w:r>
      <w:r w:rsidRPr="00B9356C">
        <w:t xml:space="preserve">33 FCC </w:t>
      </w:r>
      <w:r w:rsidRPr="00B9356C">
        <w:t>Rcd</w:t>
      </w:r>
      <w:r w:rsidRPr="00B9356C">
        <w:t xml:space="preserve"> 6802, 6803, para. 4 (2018).</w:t>
      </w:r>
    </w:p>
  </w:footnote>
  <w:footnote w:id="6">
    <w:p w:rsidR="00211803" w:rsidP="00211803" w14:paraId="7B967B78" w14:textId="77777777">
      <w:pPr>
        <w:pStyle w:val="FootnoteText"/>
      </w:pPr>
      <w:r>
        <w:rPr>
          <w:rStyle w:val="FootnoteReference"/>
        </w:rPr>
        <w:footnoteRef/>
      </w:r>
      <w:r>
        <w:t xml:space="preserve"> </w:t>
      </w:r>
      <w:r w:rsidRPr="00B9356C">
        <w:t>Application</w:t>
      </w:r>
      <w:r>
        <w:t xml:space="preserve"> at 6-7.</w:t>
      </w:r>
    </w:p>
  </w:footnote>
  <w:footnote w:id="7">
    <w:p w:rsidR="00211803" w:rsidP="00211803" w14:paraId="570BA480" w14:textId="77777777">
      <w:pPr>
        <w:pStyle w:val="FootnoteText"/>
      </w:pPr>
      <w:r>
        <w:rPr>
          <w:rStyle w:val="FootnoteReference"/>
        </w:rPr>
        <w:footnoteRef/>
      </w:r>
      <w:r>
        <w:t xml:space="preserve"> </w:t>
      </w:r>
      <w:r w:rsidRPr="009C1913">
        <w:rPr>
          <w:i/>
          <w:iCs/>
        </w:rPr>
        <w:t>Id.</w:t>
      </w:r>
      <w:r w:rsidRPr="009C1913">
        <w:t xml:space="preserve"> </w:t>
      </w:r>
      <w:r w:rsidRPr="005D5C55">
        <w:t xml:space="preserve">at </w:t>
      </w:r>
      <w:r>
        <w:t>2</w:t>
      </w:r>
      <w:r w:rsidRPr="005D5C55">
        <w:t>.</w:t>
      </w:r>
    </w:p>
  </w:footnote>
  <w:footnote w:id="8">
    <w:p w:rsidR="00211803" w:rsidP="00211803" w14:paraId="74B2B0B7" w14:textId="77777777">
      <w:pPr>
        <w:pStyle w:val="FootnoteText"/>
      </w:pPr>
      <w:r>
        <w:rPr>
          <w:rStyle w:val="FootnoteReference"/>
        </w:rPr>
        <w:footnoteRef/>
      </w:r>
      <w:r>
        <w:t xml:space="preserve"> </w:t>
      </w:r>
      <w:r w:rsidRPr="009C1913">
        <w:rPr>
          <w:i/>
          <w:iCs/>
        </w:rPr>
        <w:t>Id.</w:t>
      </w:r>
      <w:r w:rsidRPr="009C1913">
        <w:t xml:space="preserve"> </w:t>
      </w:r>
      <w:r>
        <w:t xml:space="preserve">at 4. </w:t>
      </w:r>
    </w:p>
  </w:footnote>
  <w:footnote w:id="9">
    <w:p w:rsidR="00211803" w:rsidP="00211803" w14:paraId="0632641B" w14:textId="77777777">
      <w:pPr>
        <w:pStyle w:val="FootnoteText"/>
      </w:pPr>
      <w:r>
        <w:rPr>
          <w:rStyle w:val="FootnoteReference"/>
        </w:rPr>
        <w:footnoteRef/>
      </w:r>
      <w:r>
        <w:t xml:space="preserve"> </w:t>
      </w:r>
      <w:r w:rsidRPr="007D6E52">
        <w:rPr>
          <w:i/>
          <w:iCs/>
        </w:rPr>
        <w:t>Id</w:t>
      </w:r>
      <w:r>
        <w:t>.</w:t>
      </w:r>
    </w:p>
  </w:footnote>
  <w:footnote w:id="10">
    <w:p w:rsidR="00211803" w:rsidP="00211803" w14:paraId="56370A97" w14:textId="77777777">
      <w:pPr>
        <w:pStyle w:val="FootnoteText"/>
      </w:pPr>
      <w:r>
        <w:rPr>
          <w:rStyle w:val="FootnoteReference"/>
        </w:rPr>
        <w:footnoteRef/>
      </w:r>
      <w:r>
        <w:t xml:space="preserve"> </w:t>
      </w:r>
      <w:bookmarkStart w:id="5" w:name="_Hlk155273041"/>
      <w:r w:rsidRPr="005E742B">
        <w:rPr>
          <w:i/>
          <w:iCs/>
        </w:rPr>
        <w:t>Id.</w:t>
      </w:r>
      <w:r>
        <w:t xml:space="preserve"> </w:t>
      </w:r>
      <w:bookmarkEnd w:id="5"/>
      <w:r>
        <w:t xml:space="preserve">at 4, Appx. A at 4. </w:t>
      </w:r>
    </w:p>
  </w:footnote>
  <w:footnote w:id="11">
    <w:p w:rsidR="00211803" w:rsidRPr="00A036C3" w:rsidP="00211803" w14:paraId="189E3832" w14:textId="77777777">
      <w:pPr>
        <w:pStyle w:val="FootnoteText"/>
      </w:pPr>
      <w:r>
        <w:rPr>
          <w:rStyle w:val="FootnoteReference"/>
        </w:rPr>
        <w:footnoteRef/>
      </w:r>
      <w:r>
        <w:t xml:space="preserve"> </w:t>
      </w:r>
      <w:r>
        <w:rPr>
          <w:i/>
        </w:rPr>
        <w:t xml:space="preserve">Comment Sought on Application of </w:t>
      </w:r>
      <w:r>
        <w:rPr>
          <w:i/>
        </w:rPr>
        <w:t>NexTalk</w:t>
      </w:r>
      <w:r>
        <w:rPr>
          <w:i/>
        </w:rPr>
        <w:t>, Inc., for Certification as a Provider of Internet Protocol Captioned Telephone Service</w:t>
      </w:r>
      <w:r>
        <w:t xml:space="preserve">, CG Docket No. 03-123, Public Notice, 37 FCC </w:t>
      </w:r>
      <w:r>
        <w:t>Rcd</w:t>
      </w:r>
      <w:r>
        <w:t xml:space="preserve"> 1887 (CGB 2022).</w:t>
      </w:r>
    </w:p>
  </w:footnote>
  <w:footnote w:id="12">
    <w:p w:rsidR="00211803" w:rsidP="00211803" w14:paraId="08DE9AE1" w14:textId="77777777">
      <w:pPr>
        <w:pStyle w:val="FootnoteText"/>
      </w:pPr>
      <w:r>
        <w:rPr>
          <w:rStyle w:val="FootnoteReference"/>
        </w:rPr>
        <w:footnoteRef/>
      </w:r>
      <w:r>
        <w:t xml:space="preserve"> </w:t>
      </w:r>
      <w:r>
        <w:rPr>
          <w:i/>
        </w:rPr>
        <w:t>See</w:t>
      </w:r>
      <w:r>
        <w:rPr>
          <w:iCs/>
        </w:rPr>
        <w:t xml:space="preserve"> </w:t>
      </w:r>
      <w:r w:rsidRPr="00B24150">
        <w:rPr>
          <w:iCs/>
        </w:rPr>
        <w:t xml:space="preserve">Hearing Loss Association of America (HLAA), Telecommunications for the Deaf and Hard of Hearing, Inc. (TDI), National Association for the Deaf (NAD), and Deaf/Hard of Hearing Technology Rehabilitation Engineering Research Center (DHH-RERC) (collectively, AARO), Comments (rec. </w:t>
      </w:r>
      <w:r>
        <w:rPr>
          <w:iCs/>
        </w:rPr>
        <w:t>Mar. 17</w:t>
      </w:r>
      <w:r w:rsidRPr="00B24150">
        <w:rPr>
          <w:iCs/>
        </w:rPr>
        <w:t>, 2022)</w:t>
      </w:r>
      <w:r>
        <w:rPr>
          <w:iCs/>
        </w:rPr>
        <w:t xml:space="preserve"> (AARO Comments)</w:t>
      </w:r>
      <w:r w:rsidRPr="00B24150">
        <w:rPr>
          <w:iCs/>
        </w:rPr>
        <w:t>.</w:t>
      </w:r>
    </w:p>
  </w:footnote>
  <w:footnote w:id="13">
    <w:p w:rsidR="00211803" w:rsidP="00211803" w14:paraId="5EE84C81" w14:textId="77777777">
      <w:pPr>
        <w:pStyle w:val="FootnoteText"/>
      </w:pPr>
      <w:r>
        <w:rPr>
          <w:rStyle w:val="FootnoteReference"/>
        </w:rPr>
        <w:footnoteRef/>
      </w:r>
      <w:r>
        <w:t xml:space="preserve"> AARO Comments at 4.</w:t>
      </w:r>
    </w:p>
  </w:footnote>
  <w:footnote w:id="14">
    <w:p w:rsidR="00211803" w:rsidP="00211803" w14:paraId="10CBD57F" w14:textId="77777777">
      <w:pPr>
        <w:pStyle w:val="FootnoteText"/>
      </w:pPr>
      <w:r>
        <w:rPr>
          <w:rStyle w:val="FootnoteReference"/>
        </w:rPr>
        <w:footnoteRef/>
      </w:r>
      <w:r>
        <w:t xml:space="preserve"> </w:t>
      </w:r>
      <w:r w:rsidRPr="005E742B">
        <w:rPr>
          <w:i/>
          <w:iCs/>
        </w:rPr>
        <w:t>Id.</w:t>
      </w:r>
      <w:r>
        <w:t xml:space="preserve"> at 4.</w:t>
      </w:r>
    </w:p>
  </w:footnote>
  <w:footnote w:id="15">
    <w:p w:rsidR="00211803" w:rsidP="00211803" w14:paraId="76CA1A70" w14:textId="77777777">
      <w:pPr>
        <w:pStyle w:val="FootnoteText"/>
      </w:pPr>
      <w:r>
        <w:rPr>
          <w:rStyle w:val="FootnoteReference"/>
        </w:rPr>
        <w:footnoteRef/>
      </w:r>
      <w:r>
        <w:t xml:space="preserve"> </w:t>
      </w:r>
      <w:r>
        <w:t>NexTalk</w:t>
      </w:r>
      <w:r>
        <w:t>, Reply Comments (rec. Apr. 1, 2022) (</w:t>
      </w:r>
      <w:r>
        <w:t>NexTalk</w:t>
      </w:r>
      <w:r>
        <w:t xml:space="preserve"> Reply).       </w:t>
      </w:r>
    </w:p>
  </w:footnote>
  <w:footnote w:id="16">
    <w:p w:rsidR="00211803" w:rsidP="00211803" w14:paraId="42652875" w14:textId="77777777">
      <w:pPr>
        <w:pStyle w:val="FootnoteText"/>
      </w:pPr>
      <w:r>
        <w:rPr>
          <w:rStyle w:val="FootnoteReference"/>
        </w:rPr>
        <w:footnoteRef/>
      </w:r>
      <w:r>
        <w:t xml:space="preserve"> </w:t>
      </w:r>
      <w:r w:rsidRPr="00DE127B">
        <w:rPr>
          <w:i/>
          <w:iCs/>
        </w:rPr>
        <w:t>See</w:t>
      </w:r>
      <w:r>
        <w:rPr>
          <w:i/>
          <w:iCs/>
        </w:rPr>
        <w:t xml:space="preserve"> </w:t>
      </w:r>
      <w:r w:rsidRPr="003B7B34">
        <w:t xml:space="preserve">FCC </w:t>
      </w:r>
      <w:r>
        <w:t>TRS</w:t>
      </w:r>
      <w:r w:rsidRPr="003B7B34">
        <w:t xml:space="preserve"> National Test Lab, Internet Protocol Captioned Telephone Service Testing – </w:t>
      </w:r>
      <w:r w:rsidRPr="006E2AA3">
        <w:t>NexTalk</w:t>
      </w:r>
      <w:r w:rsidRPr="006E2AA3">
        <w:t>,</w:t>
      </w:r>
      <w:r>
        <w:t xml:space="preserve"> Version 1.1</w:t>
      </w:r>
      <w:r w:rsidRPr="003B7B34">
        <w:t>, CG Docket No. 03-123, at 2 (Sept. 29, 2023) (posted by CGB</w:t>
      </w:r>
      <w:r>
        <w:t>,</w:t>
      </w:r>
      <w:r w:rsidRPr="003B7B34">
        <w:t xml:space="preserve"> </w:t>
      </w:r>
      <w:r>
        <w:t>Nov. 3, 2023</w:t>
      </w:r>
      <w:r w:rsidRPr="003B7B34">
        <w:t xml:space="preserve">) (NTL Test Report).  </w:t>
      </w:r>
      <w:r>
        <w:t>T</w:t>
      </w:r>
      <w:r w:rsidRPr="00C65FE4">
        <w:t xml:space="preserve">he National Test Lab is operated by MITRE Corporation as part of the CMS Alliance to Modernize Healthcare, a </w:t>
      </w:r>
      <w:r>
        <w:t>Federally Funded Research and Development Center</w:t>
      </w:r>
      <w:r w:rsidRPr="00C65FE4">
        <w:t xml:space="preserve"> sponsored by the Centers for Medicare &amp; Medicaid Services (CMS).  </w:t>
      </w:r>
      <w:r w:rsidRPr="00C65FE4">
        <w:rPr>
          <w:i/>
          <w:iCs/>
        </w:rPr>
        <w:t>See</w:t>
      </w:r>
      <w:r>
        <w:t xml:space="preserve"> </w:t>
      </w:r>
      <w:r w:rsidRPr="00C65FE4">
        <w:t>CMS Alliance to Modernize Healthcare, Internet Protocol Caption Telephone Service (IP CTS) – Summary of Phase 2 Usability Testing Results (2016), CG Docket Nos. 03-123 and 13-</w:t>
      </w:r>
      <w:r>
        <w:t xml:space="preserve">24, at </w:t>
      </w:r>
      <w:r>
        <w:t>i</w:t>
      </w:r>
      <w:r>
        <w:t>-ii (posted by CGB, Apr. 11, 2018)</w:t>
      </w:r>
      <w:r>
        <w:rPr>
          <w:color w:val="000000"/>
        </w:rPr>
        <w:t>;</w:t>
      </w:r>
      <w:r w:rsidRPr="00B74985">
        <w:rPr>
          <w:i/>
          <w:iCs/>
        </w:rPr>
        <w:t xml:space="preserve"> </w:t>
      </w:r>
      <w:r w:rsidRPr="00C65FE4">
        <w:t xml:space="preserve">CMS Alliance to Modernize Healthcare, </w:t>
      </w:r>
      <w:r>
        <w:t>Internet Protocol Caption Telephone Service (IP CTS) Devices: Summary of Phase 1 Activities (2017), CG Docket Nos.03-123 and 13-24, at 10 (posted by CGB, Apr. 11, 2018) (NTL Phase 1 Summary)</w:t>
      </w:r>
      <w:r>
        <w:rPr>
          <w:color w:val="000000"/>
        </w:rPr>
        <w:t>.</w:t>
      </w:r>
    </w:p>
  </w:footnote>
  <w:footnote w:id="17">
    <w:p w:rsidR="00211803" w:rsidP="00211803" w14:paraId="3DCDEE64" w14:textId="77777777">
      <w:pPr>
        <w:pStyle w:val="FootnoteText"/>
      </w:pPr>
      <w:r>
        <w:rPr>
          <w:rStyle w:val="FootnoteReference"/>
        </w:rPr>
        <w:footnoteRef/>
      </w:r>
      <w:r>
        <w:t xml:space="preserve"> </w:t>
      </w:r>
      <w:r w:rsidRPr="00BB7BF4">
        <w:rPr>
          <w:i/>
          <w:iCs/>
        </w:rPr>
        <w:t xml:space="preserve">See </w:t>
      </w:r>
      <w:r w:rsidRPr="00BB7BF4">
        <w:rPr>
          <w:i/>
        </w:rPr>
        <w:t>2011 Internet-based TRS Certification Order</w:t>
      </w:r>
      <w:r w:rsidRPr="00BB7BF4">
        <w:rPr>
          <w:iCs/>
        </w:rPr>
        <w:t>,</w:t>
      </w:r>
      <w:r w:rsidRPr="00BB7BF4">
        <w:t xml:space="preserve"> 26 FCC </w:t>
      </w:r>
      <w:r w:rsidRPr="00BB7BF4">
        <w:t>Rcd</w:t>
      </w:r>
      <w:r w:rsidRPr="00BB7BF4">
        <w:t xml:space="preserve"> at 10914-15, para. 37.</w:t>
      </w:r>
      <w:r>
        <w:t xml:space="preserve"> </w:t>
      </w:r>
    </w:p>
  </w:footnote>
  <w:footnote w:id="18">
    <w:p w:rsidR="00211803" w:rsidP="00211803" w14:paraId="203F3CA9" w14:textId="77777777">
      <w:pPr>
        <w:pStyle w:val="FootnoteText"/>
      </w:pPr>
      <w:r>
        <w:rPr>
          <w:rStyle w:val="FootnoteReference"/>
        </w:rPr>
        <w:footnoteRef/>
      </w:r>
      <w:r>
        <w:t xml:space="preserve"> </w:t>
      </w:r>
      <w:r w:rsidRPr="00A964DC">
        <w:rPr>
          <w:i/>
          <w:iCs/>
        </w:rPr>
        <w:t xml:space="preserve">See </w:t>
      </w:r>
      <w:r>
        <w:t xml:space="preserve">Application, Appx. A (detailing how </w:t>
      </w:r>
      <w:r>
        <w:t>NexTalk</w:t>
      </w:r>
      <w:r>
        <w:t xml:space="preserve"> will meet application requirements); 47 CFR § 64.606(a)(2)(ii).</w:t>
      </w:r>
    </w:p>
  </w:footnote>
  <w:footnote w:id="19">
    <w:p w:rsidR="00211803" w:rsidRPr="00A86387" w:rsidP="00211803" w14:paraId="3506DA10" w14:textId="77777777">
      <w:pPr>
        <w:pStyle w:val="FootnoteText"/>
        <w:tabs>
          <w:tab w:val="left" w:pos="6020"/>
        </w:tabs>
      </w:pPr>
      <w:r>
        <w:rPr>
          <w:rStyle w:val="FootnoteReference"/>
        </w:rPr>
        <w:footnoteRef/>
      </w:r>
      <w:r>
        <w:t xml:space="preserve"> </w:t>
      </w:r>
      <w:r w:rsidRPr="005E742B">
        <w:rPr>
          <w:i/>
          <w:iCs/>
        </w:rPr>
        <w:t>Id.</w:t>
      </w:r>
      <w:r>
        <w:t xml:space="preserve"> at 11-12.</w:t>
      </w:r>
    </w:p>
  </w:footnote>
  <w:footnote w:id="20">
    <w:p w:rsidR="00211803" w:rsidP="00211803" w14:paraId="62E87A44" w14:textId="77777777">
      <w:pPr>
        <w:pStyle w:val="FootnoteText"/>
      </w:pPr>
      <w:r>
        <w:rPr>
          <w:rStyle w:val="FootnoteReference"/>
        </w:rPr>
        <w:footnoteRef/>
      </w:r>
      <w:r>
        <w:t xml:space="preserve"> </w:t>
      </w:r>
      <w:r w:rsidRPr="008822A4">
        <w:t>NTL Test Report</w:t>
      </w:r>
      <w:r>
        <w:t>.</w:t>
      </w:r>
    </w:p>
  </w:footnote>
  <w:footnote w:id="21">
    <w:p w:rsidR="00211803" w:rsidRPr="00805801" w:rsidP="00211803" w14:paraId="0BA77679" w14:textId="77777777">
      <w:pPr>
        <w:pStyle w:val="FootnoteText"/>
      </w:pPr>
      <w:r>
        <w:rPr>
          <w:rStyle w:val="FootnoteReference"/>
        </w:rPr>
        <w:footnoteRef/>
      </w:r>
      <w:r>
        <w:t xml:space="preserve"> </w:t>
      </w:r>
      <w:r>
        <w:rPr>
          <w:i/>
          <w:iCs/>
        </w:rPr>
        <w:t xml:space="preserve">See </w:t>
      </w:r>
      <w:r w:rsidRPr="00B32872">
        <w:rPr>
          <w:i/>
          <w:iCs/>
        </w:rPr>
        <w:t>2018 ASR Declaratory Ruling</w:t>
      </w:r>
      <w:r w:rsidRPr="00C43339">
        <w:rPr>
          <w:iCs/>
        </w:rPr>
        <w:t xml:space="preserve">, 33 FCC </w:t>
      </w:r>
      <w:r w:rsidRPr="00C43339">
        <w:rPr>
          <w:iCs/>
        </w:rPr>
        <w:t>Rcd</w:t>
      </w:r>
      <w:r w:rsidRPr="00C43339">
        <w:rPr>
          <w:iCs/>
        </w:rPr>
        <w:t xml:space="preserve"> </w:t>
      </w:r>
      <w:r>
        <w:rPr>
          <w:iCs/>
        </w:rPr>
        <w:t>at</w:t>
      </w:r>
      <w:r w:rsidRPr="00C43339">
        <w:rPr>
          <w:iCs/>
        </w:rPr>
        <w:t xml:space="preserve"> </w:t>
      </w:r>
      <w:r>
        <w:rPr>
          <w:iCs/>
        </w:rPr>
        <w:t>5834-35</w:t>
      </w:r>
      <w:r w:rsidRPr="00C43339">
        <w:rPr>
          <w:iCs/>
        </w:rPr>
        <w:t xml:space="preserve">, para. </w:t>
      </w:r>
      <w:r>
        <w:rPr>
          <w:iCs/>
        </w:rPr>
        <w:t>63</w:t>
      </w:r>
      <w:r w:rsidRPr="00C43339">
        <w:rPr>
          <w:iCs/>
        </w:rPr>
        <w:t xml:space="preserve"> </w:t>
      </w:r>
      <w:r>
        <w:t>(noting that applicants to provide ASR-only IP CTS must support all claims regarding their use of ASR and its efficacy).</w:t>
      </w:r>
      <w:r w:rsidRPr="000F43BE">
        <w:t xml:space="preserve"> </w:t>
      </w:r>
      <w:r>
        <w:t xml:space="preserve"> In comments, AARO </w:t>
      </w:r>
      <w:r w:rsidRPr="00C7561F">
        <w:t>recommend</w:t>
      </w:r>
      <w:r>
        <w:t>s</w:t>
      </w:r>
      <w:r w:rsidRPr="00C7561F">
        <w:t xml:space="preserve"> that the Commission carefully </w:t>
      </w:r>
      <w:r>
        <w:t xml:space="preserve">evaluate </w:t>
      </w:r>
      <w:r>
        <w:t>NexTalk’s</w:t>
      </w:r>
      <w:r>
        <w:t xml:space="preserve"> application, particularly with regard</w:t>
      </w:r>
      <w:r w:rsidRPr="00C7561F">
        <w:t xml:space="preserve"> to </w:t>
      </w:r>
      <w:r>
        <w:t>NexTalk’s</w:t>
      </w:r>
      <w:r w:rsidRPr="00C7561F">
        <w:t xml:space="preserve"> privacy and </w:t>
      </w:r>
      <w:r>
        <w:t>security.</w:t>
      </w:r>
      <w:r w:rsidRPr="00C7561F">
        <w:t xml:space="preserve">  AARO Comments at 2</w:t>
      </w:r>
      <w:r>
        <w:t>, 3</w:t>
      </w:r>
      <w:r w:rsidRPr="00C7561F">
        <w:t xml:space="preserve">.  As discussed below, </w:t>
      </w:r>
      <w:r>
        <w:t>NexTalk’s</w:t>
      </w:r>
      <w:r w:rsidRPr="00C7561F">
        <w:t xml:space="preserve"> application and supporting materials adequately address these issues.</w:t>
      </w:r>
    </w:p>
  </w:footnote>
  <w:footnote w:id="22">
    <w:p w:rsidR="00211803" w:rsidP="00211803" w14:paraId="3278A56C" w14:textId="77777777">
      <w:pPr>
        <w:pStyle w:val="FootnoteText"/>
      </w:pPr>
      <w:r>
        <w:rPr>
          <w:rStyle w:val="FootnoteReference"/>
        </w:rPr>
        <w:footnoteRef/>
      </w:r>
      <w:r>
        <w:t xml:space="preserve"> </w:t>
      </w:r>
      <w:r w:rsidRPr="003D2AC3">
        <w:rPr>
          <w:i/>
          <w:iCs/>
        </w:rPr>
        <w:t>See</w:t>
      </w:r>
      <w:r w:rsidRPr="003D2AC3">
        <w:t xml:space="preserve"> </w:t>
      </w:r>
      <w:r w:rsidRPr="00520AC5">
        <w:t>47 CFR § 64.604(b)(2)(ii) (requiring IP CTS providers to answer 85% of calls within 10 seconds, measured daily).</w:t>
      </w:r>
    </w:p>
  </w:footnote>
  <w:footnote w:id="23">
    <w:p w:rsidR="00211803" w:rsidP="00211803" w14:paraId="596EF32E" w14:textId="77777777">
      <w:pPr>
        <w:pStyle w:val="FootnoteText"/>
      </w:pPr>
      <w:r>
        <w:rPr>
          <w:rStyle w:val="FootnoteReference"/>
        </w:rPr>
        <w:footnoteRef/>
      </w:r>
      <w:r>
        <w:t xml:space="preserve"> </w:t>
      </w:r>
      <w:r w:rsidRPr="00E924EA">
        <w:t xml:space="preserve">Application, Appx. A at </w:t>
      </w:r>
      <w:r>
        <w:t>6</w:t>
      </w:r>
      <w:r w:rsidRPr="00E924EA">
        <w:t>.</w:t>
      </w:r>
    </w:p>
  </w:footnote>
  <w:footnote w:id="24">
    <w:p w:rsidR="00211803" w:rsidP="00211803" w14:paraId="1074087A" w14:textId="77777777">
      <w:pPr>
        <w:pStyle w:val="FootnoteText"/>
      </w:pPr>
      <w:r>
        <w:rPr>
          <w:rStyle w:val="FootnoteReference"/>
        </w:rPr>
        <w:footnoteRef/>
      </w:r>
      <w:r>
        <w:t xml:space="preserve"> </w:t>
      </w:r>
      <w:bookmarkStart w:id="6" w:name="_Hlk37778054"/>
      <w:r w:rsidRPr="005E742B">
        <w:rPr>
          <w:i/>
          <w:iCs/>
        </w:rPr>
        <w:t>Id.</w:t>
      </w:r>
      <w:r>
        <w:t>, Appx. A at 5</w:t>
      </w:r>
      <w:bookmarkEnd w:id="6"/>
      <w:r>
        <w:t xml:space="preserve">. </w:t>
      </w:r>
    </w:p>
  </w:footnote>
  <w:footnote w:id="25">
    <w:p w:rsidR="00211803" w:rsidP="00211803" w14:paraId="4E75DEDA" w14:textId="77777777">
      <w:pPr>
        <w:pStyle w:val="FootnoteText"/>
      </w:pPr>
      <w:r>
        <w:rPr>
          <w:rStyle w:val="FootnoteReference"/>
        </w:rPr>
        <w:footnoteRef/>
      </w:r>
      <w:r>
        <w:t xml:space="preserve"> </w:t>
      </w:r>
      <w:r w:rsidRPr="005E742B">
        <w:rPr>
          <w:i/>
          <w:iCs/>
        </w:rPr>
        <w:t>Id.</w:t>
      </w:r>
      <w:r>
        <w:t xml:space="preserve"> at 5.</w:t>
      </w:r>
    </w:p>
  </w:footnote>
  <w:footnote w:id="26">
    <w:p w:rsidR="00211803" w:rsidP="00211803" w14:paraId="1AF32352" w14:textId="77777777">
      <w:pPr>
        <w:pStyle w:val="FootnoteText"/>
      </w:pPr>
      <w:r>
        <w:rPr>
          <w:rStyle w:val="FootnoteReference"/>
        </w:rPr>
        <w:footnoteRef/>
      </w:r>
      <w:r>
        <w:t xml:space="preserve"> </w:t>
      </w:r>
      <w:bookmarkStart w:id="7" w:name="_Hlk38966573"/>
      <w:r w:rsidRPr="007D6E52">
        <w:rPr>
          <w:i/>
          <w:iCs/>
        </w:rPr>
        <w:t>Id</w:t>
      </w:r>
      <w:r>
        <w:t xml:space="preserve">. at </w:t>
      </w:r>
      <w:r w:rsidRPr="00960C44">
        <w:t>4-5</w:t>
      </w:r>
      <w:r>
        <w:t>.</w:t>
      </w:r>
      <w:bookmarkEnd w:id="7"/>
    </w:p>
  </w:footnote>
  <w:footnote w:id="27">
    <w:p w:rsidR="00211803" w:rsidP="00211803" w14:paraId="7C9EB742" w14:textId="77777777">
      <w:pPr>
        <w:pStyle w:val="FootnoteText"/>
      </w:pPr>
      <w:r>
        <w:rPr>
          <w:rStyle w:val="FootnoteReference"/>
        </w:rPr>
        <w:footnoteRef/>
      </w:r>
      <w:r>
        <w:t xml:space="preserve"> </w:t>
      </w:r>
      <w:r w:rsidRPr="00D87E36">
        <w:rPr>
          <w:i/>
          <w:iCs/>
        </w:rPr>
        <w:t>See</w:t>
      </w:r>
      <w:r>
        <w:t xml:space="preserve"> 47 CFR § 64.604(b)(4)(ii).</w:t>
      </w:r>
    </w:p>
  </w:footnote>
  <w:footnote w:id="28">
    <w:p w:rsidR="00211803" w:rsidP="00211803" w14:paraId="6FE96133" w14:textId="77777777">
      <w:pPr>
        <w:pStyle w:val="FootnoteText"/>
      </w:pPr>
      <w:r>
        <w:rPr>
          <w:rStyle w:val="FootnoteReference"/>
        </w:rPr>
        <w:footnoteRef/>
      </w:r>
      <w:r>
        <w:t xml:space="preserve"> Application, Appx. A at 6.</w:t>
      </w:r>
    </w:p>
  </w:footnote>
  <w:footnote w:id="29">
    <w:p w:rsidR="00211803" w:rsidP="00211803" w14:paraId="6742D60A" w14:textId="77777777">
      <w:pPr>
        <w:pStyle w:val="FootnoteText"/>
      </w:pPr>
      <w:r>
        <w:rPr>
          <w:rStyle w:val="FootnoteReference"/>
        </w:rPr>
        <w:footnoteRef/>
      </w:r>
      <w:r>
        <w:t xml:space="preserve"> </w:t>
      </w:r>
      <w:r w:rsidRPr="0045735B">
        <w:t>Caption speed is typically measured based on the time that elapses, i.e., the delay, between transmission of speech</w:t>
      </w:r>
      <w:r>
        <w:t xml:space="preserve"> </w:t>
      </w:r>
      <w:r w:rsidRPr="0045735B">
        <w:t xml:space="preserve">and transmission of the associated caption(s). </w:t>
      </w:r>
      <w:r>
        <w:t xml:space="preserve"> </w:t>
      </w:r>
      <w:r w:rsidRPr="006F68F8">
        <w:rPr>
          <w:i/>
          <w:iCs/>
        </w:rPr>
        <w:t>See</w:t>
      </w:r>
      <w:r>
        <w:t xml:space="preserve"> </w:t>
      </w:r>
      <w:r w:rsidRPr="0045735B">
        <w:t xml:space="preserve">NTL Phase </w:t>
      </w:r>
      <w:r>
        <w:t>1</w:t>
      </w:r>
      <w:r w:rsidRPr="0045735B">
        <w:t xml:space="preserve"> Summary at 6.</w:t>
      </w:r>
      <w:r>
        <w:t xml:space="preserve">  Currently, there is no quantitative standard for IP CTS caption speed or delay </w:t>
      </w:r>
      <w:r w:rsidRPr="00254BBB">
        <w:rPr>
          <w:i/>
          <w:iCs/>
        </w:rPr>
        <w:t>per se</w:t>
      </w:r>
      <w:r>
        <w:t>.  However, captions must be delivered “fast enough so that they keep up with the speed of the other party’s speech,” and “</w:t>
      </w:r>
      <w:r w:rsidRPr="00810EAD">
        <w:t>if captions are not keeping up with the speech (although a short delay is</w:t>
      </w:r>
      <w:r>
        <w:t xml:space="preserve"> </w:t>
      </w:r>
      <w:r w:rsidRPr="00810EAD">
        <w:t>inevitable), at some point the provider is no longer offering relay service and the call is not compensable.</w:t>
      </w:r>
      <w:r>
        <w:t xml:space="preserve">”  </w:t>
      </w:r>
      <w:r>
        <w:rPr>
          <w:i/>
          <w:iCs/>
        </w:rPr>
        <w:t>Telecommunications Relay Services and Speech-to-Speech Services for Individuals with Hearing and Speech Disabilities</w:t>
      </w:r>
      <w:r>
        <w:t xml:space="preserve">; </w:t>
      </w:r>
      <w:r>
        <w:rPr>
          <w:i/>
          <w:iCs/>
        </w:rPr>
        <w:t>Internet-based Captioned Telephone Service</w:t>
      </w:r>
      <w:r w:rsidRPr="00B81932">
        <w:t xml:space="preserve">, </w:t>
      </w:r>
      <w:r>
        <w:t>CG Docket No. 03-123</w:t>
      </w:r>
      <w:r w:rsidRPr="00E420EA">
        <w:t>, Declaratory Ruling</w:t>
      </w:r>
      <w:r>
        <w:t xml:space="preserve">, </w:t>
      </w:r>
      <w:r w:rsidRPr="00B81932">
        <w:t xml:space="preserve">22 FCC </w:t>
      </w:r>
      <w:r w:rsidRPr="00B81932">
        <w:t>Rcd</w:t>
      </w:r>
      <w:r w:rsidRPr="00B81932">
        <w:t xml:space="preserve"> </w:t>
      </w:r>
      <w:r>
        <w:t>379,</w:t>
      </w:r>
      <w:r w:rsidRPr="00B81932">
        <w:t xml:space="preserve"> 3</w:t>
      </w:r>
      <w:r>
        <w:t>88-89</w:t>
      </w:r>
      <w:r w:rsidRPr="00B81932">
        <w:t xml:space="preserve">, para. </w:t>
      </w:r>
      <w:r>
        <w:t>22 &amp; n.69 (2007) (</w:t>
      </w:r>
      <w:r w:rsidRPr="00B81932">
        <w:rPr>
          <w:i/>
          <w:iCs/>
        </w:rPr>
        <w:t>2007 IP CTS Declaratory Ruling</w:t>
      </w:r>
      <w:r>
        <w:t xml:space="preserve">).  In addition, the typing speed standard for text-based TRS applies to ASR-based IP CTS. </w:t>
      </w:r>
      <w:r w:rsidRPr="00B81932">
        <w:t xml:space="preserve"> </w:t>
      </w:r>
      <w:r w:rsidRPr="000576D8">
        <w:rPr>
          <w:i/>
          <w:iCs/>
        </w:rPr>
        <w:t xml:space="preserve">See </w:t>
      </w:r>
      <w:r>
        <w:rPr>
          <w:i/>
          <w:iCs/>
        </w:rPr>
        <w:t>id.</w:t>
      </w:r>
      <w:r w:rsidRPr="00B81932">
        <w:t xml:space="preserve"> </w:t>
      </w:r>
      <w:r>
        <w:t>at 388, para. 22</w:t>
      </w:r>
      <w:r w:rsidRPr="00F322FC">
        <w:t xml:space="preserve"> n.69;</w:t>
      </w:r>
      <w:r>
        <w:rPr>
          <w:i/>
          <w:iCs/>
        </w:rPr>
        <w:t xml:space="preserve"> </w:t>
      </w:r>
      <w:bookmarkStart w:id="8" w:name="_Hlk76725150"/>
      <w:r>
        <w:t>47 CFR § </w:t>
      </w:r>
      <w:r w:rsidRPr="00D4688F">
        <w:t>64.604(a)(</w:t>
      </w:r>
      <w:r>
        <w:t>1</w:t>
      </w:r>
      <w:r w:rsidRPr="00D4688F">
        <w:t>)(i</w:t>
      </w:r>
      <w:r>
        <w:t>ii</w:t>
      </w:r>
      <w:r w:rsidRPr="00D4688F">
        <w:t>)</w:t>
      </w:r>
      <w:r>
        <w:t xml:space="preserve"> </w:t>
      </w:r>
      <w:bookmarkEnd w:id="8"/>
      <w:r>
        <w:t xml:space="preserve">(requiring TRS CAs to have a minimum typing speed of 60 words per minute).  Based on the test results and other evidence discussed in the text, </w:t>
      </w:r>
      <w:r>
        <w:t>NexTalk</w:t>
      </w:r>
      <w:r>
        <w:t xml:space="preserve"> has shown not only that it will meet this standard but also that it </w:t>
      </w:r>
      <w:r w:rsidRPr="00F567DC">
        <w:t xml:space="preserve">will </w:t>
      </w:r>
      <w:r w:rsidRPr="00737C5F">
        <w:t>“keep up with the speed of the other party’s speech</w:t>
      </w:r>
      <w:r>
        <w:t xml:space="preserve">.”  </w:t>
      </w:r>
      <w:r w:rsidRPr="00B81932">
        <w:rPr>
          <w:i/>
          <w:iCs/>
        </w:rPr>
        <w:t>2007 IP CTS Declaratory Ruling</w:t>
      </w:r>
      <w:r w:rsidRPr="00B054A6">
        <w:t>,</w:t>
      </w:r>
      <w:r>
        <w:rPr>
          <w:i/>
          <w:iCs/>
        </w:rPr>
        <w:t xml:space="preserve"> </w:t>
      </w:r>
      <w:r>
        <w:t xml:space="preserve">22 FCC </w:t>
      </w:r>
      <w:r>
        <w:t>Rcd</w:t>
      </w:r>
      <w:r>
        <w:t xml:space="preserve"> at 388, para. 22.  On October 2, 2020, the Commission released a Further Notice of Proposed Rulemaking seeking comment on adopting metrics for IP CTS accuracy and caption delay.  </w:t>
      </w:r>
      <w:r>
        <w:rPr>
          <w:i/>
          <w:iCs/>
        </w:rPr>
        <w:t>Misuse of Internet Protocol (IP) Captioned Telephone Service</w:t>
      </w:r>
      <w:r w:rsidRPr="00211803">
        <w:t>;</w:t>
      </w:r>
      <w:r>
        <w:rPr>
          <w:i/>
          <w:iCs/>
        </w:rPr>
        <w:t xml:space="preserve"> Telecommunications Relay Services and Speech-to-Speech Services for Individuals with Hearing and Speech Disabilities</w:t>
      </w:r>
      <w:r w:rsidRPr="00211803">
        <w:t xml:space="preserve">; </w:t>
      </w:r>
      <w:r>
        <w:rPr>
          <w:i/>
          <w:iCs/>
        </w:rPr>
        <w:t>Structure and Practices of the Video Relay Service Program</w:t>
      </w:r>
      <w:r w:rsidRPr="00B054A6">
        <w:t>,</w:t>
      </w:r>
      <w:r>
        <w:rPr>
          <w:i/>
          <w:iCs/>
        </w:rPr>
        <w:t xml:space="preserve"> </w:t>
      </w:r>
      <w:r>
        <w:t xml:space="preserve">CG Docket Nos. 13-24, 03-123, and 10-51, Report and Order, Order on Reconsideration, and Further Notice of Proposed Rulemaking, 35 FCC </w:t>
      </w:r>
      <w:r>
        <w:t>Rcd</w:t>
      </w:r>
      <w:r>
        <w:t xml:space="preserve"> 10866, 10896-903, paras. 62-81 (2020) (</w:t>
      </w:r>
      <w:bookmarkStart w:id="9" w:name="_Hlk57887842"/>
      <w:r>
        <w:rPr>
          <w:i/>
          <w:iCs/>
        </w:rPr>
        <w:t xml:space="preserve">IP CTS </w:t>
      </w:r>
      <w:bookmarkEnd w:id="9"/>
      <w:r>
        <w:rPr>
          <w:i/>
          <w:iCs/>
        </w:rPr>
        <w:t>Metrics Notice</w:t>
      </w:r>
      <w:r>
        <w:t xml:space="preserve">).  </w:t>
      </w:r>
    </w:p>
  </w:footnote>
  <w:footnote w:id="30">
    <w:p w:rsidR="00211803" w:rsidP="00211803" w14:paraId="0A1A28DC" w14:textId="77777777">
      <w:pPr>
        <w:pStyle w:val="FootnoteText"/>
      </w:pPr>
      <w:r>
        <w:rPr>
          <w:rStyle w:val="FootnoteReference"/>
        </w:rPr>
        <w:footnoteRef/>
      </w:r>
      <w:r>
        <w:t xml:space="preserve"> NTL Test </w:t>
      </w:r>
      <w:r w:rsidRPr="00D87E36">
        <w:t xml:space="preserve">Report at </w:t>
      </w:r>
      <w:r>
        <w:t xml:space="preserve">2.  </w:t>
      </w:r>
    </w:p>
  </w:footnote>
  <w:footnote w:id="31">
    <w:p w:rsidR="00211803" w:rsidP="00211803" w14:paraId="289E30A1" w14:textId="77777777">
      <w:pPr>
        <w:pStyle w:val="FootnoteText"/>
      </w:pPr>
      <w:r>
        <w:rPr>
          <w:rStyle w:val="FootnoteReference"/>
        </w:rPr>
        <w:footnoteRef/>
      </w:r>
      <w:bookmarkStart w:id="10" w:name="_Hlk38967161"/>
      <w:r>
        <w:t xml:space="preserve"> The test calls used in NTL’s assessment featured overall speech rates </w:t>
      </w:r>
      <w:r w:rsidRPr="0002030F">
        <w:t>between 89 and 118 words per minute</w:t>
      </w:r>
      <w:r w:rsidRPr="0002030F">
        <w:rPr>
          <w:snapToGrid w:val="0"/>
          <w:kern w:val="28"/>
          <w:sz w:val="22"/>
        </w:rPr>
        <w:t xml:space="preserve"> </w:t>
      </w:r>
      <w:r w:rsidRPr="0002030F">
        <w:t>and active speech rates between 156 and 168</w:t>
      </w:r>
      <w:r w:rsidRPr="006C1170">
        <w:t xml:space="preserve"> words per minute</w:t>
      </w:r>
      <w:r>
        <w:t xml:space="preserve">.  NTL Test </w:t>
      </w:r>
      <w:r w:rsidRPr="00D87E36">
        <w:t>Report</w:t>
      </w:r>
      <w:r>
        <w:t xml:space="preserve">, Appx. B at 11, Appx. D at 15.  </w:t>
      </w:r>
      <w:r>
        <w:t>NexTalk’s</w:t>
      </w:r>
      <w:r>
        <w:t xml:space="preserve"> performance in these tests confirms that its transcription speed well exceeds 60 words per minute.</w:t>
      </w:r>
      <w:bookmarkEnd w:id="10"/>
      <w:r>
        <w:t xml:space="preserve">  </w:t>
      </w:r>
    </w:p>
  </w:footnote>
  <w:footnote w:id="32">
    <w:p w:rsidR="00211803" w:rsidP="00211803" w14:paraId="57BC4683" w14:textId="77777777">
      <w:pPr>
        <w:pStyle w:val="FootnoteText"/>
      </w:pPr>
      <w:r>
        <w:rPr>
          <w:rStyle w:val="FootnoteReference"/>
        </w:rPr>
        <w:footnoteRef/>
      </w:r>
      <w:r>
        <w:t xml:space="preserve"> 47 CFR § 64.604(a)(1)(ii), (2)(ii).  These standards apply to captions generated with the help of ASR.  </w:t>
      </w:r>
      <w:r w:rsidRPr="00523A2E">
        <w:rPr>
          <w:i/>
          <w:iCs/>
        </w:rPr>
        <w:t xml:space="preserve">See </w:t>
      </w:r>
      <w:r>
        <w:rPr>
          <w:i/>
          <w:iCs/>
        </w:rPr>
        <w:t>Telecommunications Relay Services and Speech-to-Speech Services for Individuals with Hearing and Speech Disabilities</w:t>
      </w:r>
      <w:r>
        <w:t xml:space="preserve">, CC Docket No. 98-67, Declaratory Ruling, 18 FCC </w:t>
      </w:r>
      <w:r>
        <w:t>Rcd</w:t>
      </w:r>
      <w:r>
        <w:t xml:space="preserve"> 16121, 16134-35, paras. 37-39 (2003); </w:t>
      </w:r>
      <w:bookmarkStart w:id="11" w:name="_Hlk37929486"/>
      <w:r>
        <w:rPr>
          <w:i/>
        </w:rPr>
        <w:t>2018 ASR Declaratory Ruling</w:t>
      </w:r>
      <w:r>
        <w:t xml:space="preserve">, 33 FCC </w:t>
      </w:r>
      <w:r>
        <w:t>Rcd</w:t>
      </w:r>
      <w:r>
        <w:t xml:space="preserve"> at 5832, para. 60.</w:t>
      </w:r>
      <w:bookmarkEnd w:id="11"/>
    </w:p>
  </w:footnote>
  <w:footnote w:id="33">
    <w:p w:rsidR="00211803" w:rsidP="00211803" w14:paraId="6CE9E801" w14:textId="77777777">
      <w:pPr>
        <w:pStyle w:val="FootnoteText"/>
      </w:pPr>
      <w:r>
        <w:rPr>
          <w:rStyle w:val="FootnoteReference"/>
        </w:rPr>
        <w:footnoteRef/>
      </w:r>
      <w:r>
        <w:t xml:space="preserve"> </w:t>
      </w:r>
      <w:bookmarkStart w:id="12" w:name="_Hlk153965403"/>
      <w:r>
        <w:t>NexTalk</w:t>
      </w:r>
      <w:r>
        <w:t xml:space="preserve"> Application at 3.</w:t>
      </w:r>
      <w:bookmarkEnd w:id="12"/>
    </w:p>
  </w:footnote>
  <w:footnote w:id="34">
    <w:p w:rsidR="00211803" w:rsidP="00211803" w14:paraId="64765517" w14:textId="77777777">
      <w:pPr>
        <w:pStyle w:val="FootnoteText"/>
      </w:pPr>
      <w:r>
        <w:rPr>
          <w:rStyle w:val="FootnoteReference"/>
        </w:rPr>
        <w:footnoteRef/>
      </w:r>
      <w:r>
        <w:t xml:space="preserve"> </w:t>
      </w:r>
      <w:r w:rsidRPr="005E742B">
        <w:rPr>
          <w:i/>
          <w:iCs/>
        </w:rPr>
        <w:t>Id.</w:t>
      </w:r>
      <w:r>
        <w:t xml:space="preserve"> </w:t>
      </w:r>
      <w:r w:rsidRPr="00906A90">
        <w:t>at 3.</w:t>
      </w:r>
    </w:p>
  </w:footnote>
  <w:footnote w:id="35">
    <w:p w:rsidR="00211803" w:rsidP="00211803" w14:paraId="2AAB2E65" w14:textId="77777777">
      <w:pPr>
        <w:pStyle w:val="FootnoteText"/>
      </w:pPr>
      <w:r>
        <w:rPr>
          <w:rStyle w:val="FootnoteReference"/>
        </w:rPr>
        <w:footnoteRef/>
      </w:r>
      <w:r>
        <w:t xml:space="preserve"> </w:t>
      </w:r>
      <w:r w:rsidRPr="005E742B">
        <w:rPr>
          <w:i/>
          <w:iCs/>
        </w:rPr>
        <w:t>Id.</w:t>
      </w:r>
      <w:r>
        <w:t xml:space="preserve"> </w:t>
      </w:r>
      <w:r w:rsidRPr="00D27515">
        <w:t xml:space="preserve">at </w:t>
      </w:r>
      <w:r>
        <w:t>5</w:t>
      </w:r>
      <w:r w:rsidRPr="00D27515">
        <w:t>.</w:t>
      </w:r>
    </w:p>
  </w:footnote>
  <w:footnote w:id="36">
    <w:p w:rsidR="00211803" w:rsidP="00211803" w14:paraId="041FA6C5" w14:textId="77777777">
      <w:pPr>
        <w:pStyle w:val="FootnoteText"/>
      </w:pPr>
      <w:r>
        <w:rPr>
          <w:rStyle w:val="FootnoteReference"/>
        </w:rPr>
        <w:footnoteRef/>
      </w:r>
      <w:r>
        <w:t xml:space="preserve"> NTL Test Report at 2.</w:t>
      </w:r>
    </w:p>
  </w:footnote>
  <w:footnote w:id="37">
    <w:p w:rsidR="00211803" w:rsidRPr="001C4739" w:rsidP="00211803" w14:paraId="4D4D9162" w14:textId="77777777">
      <w:pPr>
        <w:pStyle w:val="FootnoteText"/>
      </w:pPr>
      <w:r w:rsidRPr="00CC5E90">
        <w:rPr>
          <w:rStyle w:val="FootnoteReference"/>
        </w:rPr>
        <w:footnoteRef/>
      </w:r>
      <w:r w:rsidRPr="00CC5E90">
        <w:t xml:space="preserve"> </w:t>
      </w:r>
      <w:r w:rsidRPr="00CC5E90">
        <w:rPr>
          <w:i/>
          <w:iCs/>
        </w:rPr>
        <w:t>See</w:t>
      </w:r>
      <w:r w:rsidRPr="00CC5E90">
        <w:t xml:space="preserve"> 47 CFR § 64.604(a)(2)(</w:t>
      </w:r>
      <w:r w:rsidRPr="00CC5E90">
        <w:t>i</w:t>
      </w:r>
      <w:r w:rsidRPr="00CC5E90">
        <w:t xml:space="preserve">) </w:t>
      </w:r>
      <w:r w:rsidRPr="00231D77">
        <w:t>(prohibiting CAs from disclosing or retaining call content except as authorized by 47 U.S.C. § 605)</w:t>
      </w:r>
      <w:r w:rsidRPr="00CC5E90">
        <w:t xml:space="preserve">; </w:t>
      </w:r>
      <w:r w:rsidRPr="00CC5E90">
        <w:rPr>
          <w:i/>
          <w:iCs/>
        </w:rPr>
        <w:t>see also</w:t>
      </w:r>
      <w:r w:rsidRPr="00CC5E90">
        <w:t xml:space="preserve"> </w:t>
      </w:r>
      <w:r w:rsidRPr="00CC5E90">
        <w:rPr>
          <w:i/>
          <w:iCs/>
        </w:rPr>
        <w:t>2018 ASR Declaratory Ruling</w:t>
      </w:r>
      <w:r w:rsidRPr="00CC5E90">
        <w:t xml:space="preserve">, 33 FCC </w:t>
      </w:r>
      <w:r w:rsidRPr="00CC5E90">
        <w:t>Rcd</w:t>
      </w:r>
      <w:r w:rsidRPr="00CC5E90">
        <w:t xml:space="preserve"> at 5832</w:t>
      </w:r>
      <w:r>
        <w:t>-33</w:t>
      </w:r>
      <w:r w:rsidRPr="00CC5E90">
        <w:t>, para. 60 (clarifying that rules prohibiting TRS CAs from disclosing the content of a relayed conversation or keeping records of the content beyond the duration of a call apply to ASR-</w:t>
      </w:r>
      <w:r>
        <w:t>only</w:t>
      </w:r>
      <w:r w:rsidRPr="00CC5E90">
        <w:t xml:space="preserve"> IP CTS).</w:t>
      </w:r>
      <w:r>
        <w:t xml:space="preserve"> </w:t>
      </w:r>
    </w:p>
  </w:footnote>
  <w:footnote w:id="38">
    <w:p w:rsidR="00211803" w:rsidP="00211803" w14:paraId="33CF30D2" w14:textId="77777777">
      <w:pPr>
        <w:pStyle w:val="FootnoteText"/>
      </w:pPr>
      <w:r>
        <w:rPr>
          <w:rStyle w:val="FootnoteReference"/>
        </w:rPr>
        <w:footnoteRef/>
      </w:r>
      <w:r>
        <w:t xml:space="preserve"> </w:t>
      </w:r>
      <w:r w:rsidRPr="00A23B37">
        <w:rPr>
          <w:i/>
          <w:iCs/>
        </w:rPr>
        <w:t>See</w:t>
      </w:r>
      <w:r w:rsidRPr="00A23B37">
        <w:rPr>
          <w:snapToGrid w:val="0"/>
          <w:kern w:val="28"/>
          <w:sz w:val="22"/>
        </w:rPr>
        <w:t xml:space="preserve"> </w:t>
      </w:r>
      <w:r w:rsidRPr="00A23B37">
        <w:t>47 CFR § 64.611(</w:t>
      </w:r>
      <w:r>
        <w:t>j</w:t>
      </w:r>
      <w:r w:rsidRPr="00A23B37">
        <w:t>)(</w:t>
      </w:r>
      <w:r>
        <w:t>1</w:t>
      </w:r>
      <w:r w:rsidRPr="00A23B37">
        <w:t>)(</w:t>
      </w:r>
      <w:r>
        <w:t>xii</w:t>
      </w:r>
      <w:r w:rsidRPr="00A23B37">
        <w:t>)</w:t>
      </w:r>
      <w:r>
        <w:t xml:space="preserve"> (requiring IP CTS providers to maintain the confidentiality of user registration and certification information); </w:t>
      </w:r>
      <w:r>
        <w:rPr>
          <w:i/>
          <w:iCs/>
        </w:rPr>
        <w:t>i</w:t>
      </w:r>
      <w:r w:rsidRPr="005E742B">
        <w:rPr>
          <w:i/>
          <w:iCs/>
        </w:rPr>
        <w:t>d.</w:t>
      </w:r>
      <w:r>
        <w:t xml:space="preserve"> </w:t>
      </w:r>
      <w:r w:rsidRPr="00CC5E90">
        <w:t>§§ 64.</w:t>
      </w:r>
      <w:r>
        <w:t>2001-64.2011 (restricting disclosure and use of customer proprietary network information)</w:t>
      </w:r>
      <w:r w:rsidRPr="00155E59">
        <w:t xml:space="preserve">; </w:t>
      </w:r>
      <w:r w:rsidRPr="00155E59">
        <w:rPr>
          <w:i/>
          <w:iCs/>
        </w:rPr>
        <w:t>see also</w:t>
      </w:r>
      <w:r w:rsidRPr="00155E59">
        <w:t xml:space="preserve"> </w:t>
      </w:r>
      <w:r>
        <w:rPr>
          <w:i/>
          <w:iCs/>
        </w:rPr>
        <w:t>i</w:t>
      </w:r>
      <w:r w:rsidRPr="005E742B">
        <w:rPr>
          <w:i/>
          <w:iCs/>
        </w:rPr>
        <w:t>d.</w:t>
      </w:r>
      <w:r>
        <w:t xml:space="preserve"> </w:t>
      </w:r>
      <w:r w:rsidRPr="00155E59">
        <w:t>§ 9.14(b)(2)(vi) (limiting disclosure and use of information obtained while handling 911 calls)</w:t>
      </w:r>
      <w:r>
        <w:t>.</w:t>
      </w:r>
    </w:p>
  </w:footnote>
  <w:footnote w:id="39">
    <w:p w:rsidR="00211803" w:rsidRPr="000170C9" w:rsidP="00211803" w14:paraId="2E90C86C" w14:textId="77777777">
      <w:pPr>
        <w:pStyle w:val="FootnoteText"/>
      </w:pPr>
      <w:r>
        <w:rPr>
          <w:rStyle w:val="FootnoteReference"/>
        </w:rPr>
        <w:footnoteRef/>
      </w:r>
      <w:r>
        <w:t xml:space="preserve"> </w:t>
      </w:r>
      <w:r>
        <w:rPr>
          <w:i/>
          <w:iCs/>
        </w:rPr>
        <w:t>See</w:t>
      </w:r>
      <w:r w:rsidRPr="00E04A68">
        <w:t>,</w:t>
      </w:r>
      <w:r>
        <w:rPr>
          <w:i/>
          <w:iCs/>
        </w:rPr>
        <w:t xml:space="preserve"> e.g.</w:t>
      </w:r>
      <w:r w:rsidRPr="00E04A68">
        <w:t xml:space="preserve">, </w:t>
      </w:r>
      <w:r w:rsidRPr="00E04A68">
        <w:rPr>
          <w:i/>
          <w:iCs/>
        </w:rPr>
        <w:t>2018 ASR Declaratory Ruling</w:t>
      </w:r>
      <w:r w:rsidRPr="00E04A68">
        <w:t xml:space="preserve">, 33 FCC </w:t>
      </w:r>
      <w:r w:rsidRPr="00E04A68">
        <w:t>Rcd</w:t>
      </w:r>
      <w:r w:rsidRPr="00E04A68">
        <w:t xml:space="preserve"> at 5832</w:t>
      </w:r>
      <w:r>
        <w:t>-33</w:t>
      </w:r>
      <w:r w:rsidRPr="00E04A68">
        <w:t>, para. 60</w:t>
      </w:r>
      <w:r>
        <w:t>.</w:t>
      </w:r>
      <w:r w:rsidRPr="005908B4">
        <w:t xml:space="preserve"> </w:t>
      </w:r>
      <w:r>
        <w:t xml:space="preserve"> As the Commission has noted previously, </w:t>
      </w:r>
      <w:r w:rsidRPr="00275A42">
        <w:t>the use of ASR-only IP CTS</w:t>
      </w:r>
      <w:r>
        <w:t xml:space="preserve"> can</w:t>
      </w:r>
      <w:r w:rsidRPr="00275A42">
        <w:t xml:space="preserve"> enhance call privacy by eliminating the need for a human </w:t>
      </w:r>
      <w:r>
        <w:t xml:space="preserve">CA </w:t>
      </w:r>
      <w:r w:rsidRPr="00275A42">
        <w:t>to listen to a call.</w:t>
      </w:r>
      <w:r>
        <w:t xml:space="preserve">  </w:t>
      </w:r>
      <w:r w:rsidRPr="005C6F47">
        <w:rPr>
          <w:i/>
          <w:iCs/>
        </w:rPr>
        <w:t>Id</w:t>
      </w:r>
      <w:r w:rsidRPr="005C6F47">
        <w:t>. at 5828, para. 50.</w:t>
      </w:r>
    </w:p>
  </w:footnote>
  <w:footnote w:id="40">
    <w:p w:rsidR="00211803" w:rsidRPr="00D016F1" w:rsidP="00211803" w14:paraId="0365B2CD" w14:textId="77777777">
      <w:pPr>
        <w:pStyle w:val="FootnoteText"/>
      </w:pPr>
      <w:r>
        <w:rPr>
          <w:rStyle w:val="FootnoteReference"/>
        </w:rPr>
        <w:footnoteRef/>
      </w:r>
      <w:r>
        <w:t xml:space="preserve"> </w:t>
      </w:r>
      <w:bookmarkStart w:id="13" w:name="_Hlk39243265"/>
      <w:r>
        <w:t>Application at 5, 11, Appx. A at 2, 32-46.</w:t>
      </w:r>
      <w:bookmarkEnd w:id="13"/>
      <w:r>
        <w:t xml:space="preserve"> </w:t>
      </w:r>
    </w:p>
  </w:footnote>
  <w:footnote w:id="41">
    <w:p w:rsidR="00211803" w:rsidP="00211803" w14:paraId="6F891499" w14:textId="77777777">
      <w:pPr>
        <w:pStyle w:val="FootnoteText"/>
      </w:pPr>
      <w:r>
        <w:rPr>
          <w:rStyle w:val="FootnoteReference"/>
        </w:rPr>
        <w:footnoteRef/>
      </w:r>
      <w:r>
        <w:t xml:space="preserve"> </w:t>
      </w:r>
      <w:bookmarkStart w:id="14" w:name="_Hlk153967443"/>
      <w:r w:rsidRPr="00E75B21">
        <w:rPr>
          <w:i/>
          <w:iCs/>
        </w:rPr>
        <w:t>Id.</w:t>
      </w:r>
      <w:r>
        <w:t xml:space="preserve"> at 5, 11, Appx. A at 2.</w:t>
      </w:r>
      <w:bookmarkEnd w:id="14"/>
    </w:p>
  </w:footnote>
  <w:footnote w:id="42">
    <w:p w:rsidR="00211803" w:rsidP="00211803" w14:paraId="78E81F46" w14:textId="77777777">
      <w:pPr>
        <w:pStyle w:val="FootnoteText"/>
      </w:pPr>
      <w:r>
        <w:rPr>
          <w:rStyle w:val="FootnoteReference"/>
        </w:rPr>
        <w:footnoteRef/>
      </w:r>
      <w:r>
        <w:t xml:space="preserve"> </w:t>
      </w:r>
      <w:r w:rsidRPr="006069F3">
        <w:rPr>
          <w:i/>
          <w:iCs/>
        </w:rPr>
        <w:t>Id.</w:t>
      </w:r>
      <w:r w:rsidRPr="006069F3">
        <w:t>, Appx. A at 32-46.</w:t>
      </w:r>
    </w:p>
  </w:footnote>
  <w:footnote w:id="43">
    <w:p w:rsidR="00211803" w:rsidP="00211803" w14:paraId="7C04BDA2" w14:textId="77777777">
      <w:pPr>
        <w:pStyle w:val="FootnoteText"/>
      </w:pPr>
      <w:r>
        <w:rPr>
          <w:rStyle w:val="FootnoteReference"/>
        </w:rPr>
        <w:footnoteRef/>
      </w:r>
      <w:r>
        <w:t xml:space="preserve"> </w:t>
      </w:r>
      <w:bookmarkStart w:id="16" w:name="_Hlk154742624"/>
      <w:r w:rsidRPr="0050077D">
        <w:t>47 CFR § 9.14(b)(2</w:t>
      </w:r>
      <w:r>
        <w:t>)(ii).</w:t>
      </w:r>
      <w:bookmarkEnd w:id="16"/>
    </w:p>
  </w:footnote>
  <w:footnote w:id="44">
    <w:p w:rsidR="00211803" w:rsidP="00211803" w14:paraId="5CEBDDC5" w14:textId="77777777">
      <w:pPr>
        <w:pStyle w:val="FootnoteText"/>
      </w:pPr>
      <w:r>
        <w:rPr>
          <w:rStyle w:val="FootnoteReference"/>
        </w:rPr>
        <w:footnoteRef/>
      </w:r>
      <w:r>
        <w:t xml:space="preserve"> </w:t>
      </w:r>
      <w:r>
        <w:rPr>
          <w:i/>
          <w:iCs/>
        </w:rPr>
        <w:t>I</w:t>
      </w:r>
      <w:r w:rsidRPr="005E742B">
        <w:rPr>
          <w:i/>
          <w:iCs/>
        </w:rPr>
        <w:t>d.</w:t>
      </w:r>
      <w:r>
        <w:t xml:space="preserve"> </w:t>
      </w:r>
      <w:r w:rsidRPr="000E16C2">
        <w:t>§ 9.14(b)(2)(</w:t>
      </w:r>
      <w:r w:rsidRPr="000E16C2">
        <w:t>i</w:t>
      </w:r>
      <w:r w:rsidRPr="000E16C2">
        <w:t>)</w:t>
      </w:r>
      <w:r w:rsidRPr="0050077D">
        <w:t>, (e)</w:t>
      </w:r>
      <w:r>
        <w:t>.</w:t>
      </w:r>
    </w:p>
  </w:footnote>
  <w:footnote w:id="45">
    <w:p w:rsidR="00211803" w:rsidRPr="000C6A37" w:rsidP="00211803" w14:paraId="5FA7BA63" w14:textId="77777777">
      <w:pPr>
        <w:pStyle w:val="FootnoteText"/>
      </w:pPr>
      <w:r>
        <w:rPr>
          <w:rStyle w:val="FootnoteReference"/>
        </w:rPr>
        <w:footnoteRef/>
      </w:r>
      <w:r>
        <w:t xml:space="preserve"> Application at 10-11, </w:t>
      </w:r>
      <w:bookmarkStart w:id="17" w:name="_Hlk155275590"/>
      <w:r>
        <w:t>Appx. A at 18.</w:t>
      </w:r>
      <w:bookmarkEnd w:id="17"/>
    </w:p>
  </w:footnote>
  <w:footnote w:id="46">
    <w:p w:rsidR="00211803" w:rsidP="00211803" w14:paraId="40A6506A" w14:textId="2A8239B2">
      <w:pPr>
        <w:pStyle w:val="FootnoteText"/>
      </w:pPr>
      <w:r>
        <w:rPr>
          <w:rStyle w:val="FootnoteReference"/>
        </w:rPr>
        <w:footnoteRef/>
      </w:r>
      <w:r>
        <w:t xml:space="preserve"> </w:t>
      </w:r>
      <w:r w:rsidRPr="00211803">
        <w:rPr>
          <w:i/>
          <w:iCs/>
        </w:rPr>
        <w:t>Id</w:t>
      </w:r>
      <w:r>
        <w:t>. at 11.</w:t>
      </w:r>
    </w:p>
  </w:footnote>
  <w:footnote w:id="47">
    <w:p w:rsidR="00211803" w:rsidP="00211803" w14:paraId="4767D44A" w14:textId="77777777">
      <w:pPr>
        <w:pStyle w:val="FootnoteText"/>
      </w:pPr>
      <w:r>
        <w:rPr>
          <w:rStyle w:val="FootnoteReference"/>
        </w:rPr>
        <w:footnoteRef/>
      </w:r>
      <w:r>
        <w:t xml:space="preserve"> </w:t>
      </w:r>
      <w:r w:rsidRPr="007D6E52">
        <w:rPr>
          <w:i/>
          <w:iCs/>
        </w:rPr>
        <w:t>Id</w:t>
      </w:r>
      <w:r>
        <w:t>. at 10-11,</w:t>
      </w:r>
      <w:r w:rsidRPr="00F71CBE">
        <w:rPr>
          <w:snapToGrid w:val="0"/>
          <w:kern w:val="28"/>
          <w:sz w:val="22"/>
        </w:rPr>
        <w:t xml:space="preserve"> </w:t>
      </w:r>
      <w:r w:rsidRPr="00F71CBE">
        <w:t>Appx. A at 18.</w:t>
      </w:r>
    </w:p>
  </w:footnote>
  <w:footnote w:id="48">
    <w:p w:rsidR="00211803" w:rsidP="00211803" w14:paraId="7547F64B" w14:textId="77777777">
      <w:pPr>
        <w:pStyle w:val="FootnoteText"/>
      </w:pPr>
      <w:r>
        <w:rPr>
          <w:rStyle w:val="FootnoteReference"/>
        </w:rPr>
        <w:footnoteRef/>
      </w:r>
      <w:r>
        <w:t xml:space="preserve"> </w:t>
      </w:r>
      <w:r w:rsidRPr="00B47EB2">
        <w:rPr>
          <w:i/>
          <w:iCs/>
        </w:rPr>
        <w:t>See</w:t>
      </w:r>
      <w:r w:rsidRPr="00B47EB2">
        <w:t xml:space="preserve"> </w:t>
      </w:r>
      <w:r w:rsidRPr="003E1BB9">
        <w:rPr>
          <w:i/>
          <w:iCs/>
        </w:rPr>
        <w:t>Telecommunications Relay Services and Speech-to-Speech Services for Individuals with Hearing and Speech Disabilities</w:t>
      </w:r>
      <w:r w:rsidRPr="003E1BB9">
        <w:t>,</w:t>
      </w:r>
      <w:r w:rsidRPr="003E1BB9">
        <w:rPr>
          <w:i/>
          <w:iCs/>
        </w:rPr>
        <w:t xml:space="preserve"> </w:t>
      </w:r>
      <w:r w:rsidRPr="003E1BB9">
        <w:t xml:space="preserve">CG Docket No. 03-123, Memorandum Opinion and Order, 35 FCC </w:t>
      </w:r>
      <w:r w:rsidRPr="003E1BB9">
        <w:t>Rcd</w:t>
      </w:r>
      <w:r w:rsidRPr="003E1BB9">
        <w:t xml:space="preserve"> 4568 (CGB 2020) (</w:t>
      </w:r>
      <w:r w:rsidRPr="003E1BB9">
        <w:rPr>
          <w:i/>
          <w:iCs/>
        </w:rPr>
        <w:t>MachineGenius</w:t>
      </w:r>
      <w:r w:rsidRPr="003E1BB9">
        <w:rPr>
          <w:i/>
          <w:iCs/>
        </w:rPr>
        <w:t xml:space="preserve"> Certification</w:t>
      </w:r>
      <w:r w:rsidRPr="003E1BB9">
        <w:t>)</w:t>
      </w:r>
      <w:r w:rsidRPr="00B47EB2">
        <w:t xml:space="preserve">; </w:t>
      </w:r>
      <w:r>
        <w:rPr>
          <w:i/>
          <w:iCs/>
        </w:rPr>
        <w:t>Telecommunications Relay Services and Speech-to-Speech Services for Individuals with Hearing and Speech Disabilities</w:t>
      </w:r>
      <w:r>
        <w:t xml:space="preserve">, CG Docket No. 03-123, Memorandum Opinion and Order, 35 FCC </w:t>
      </w:r>
      <w:r>
        <w:t>Rcd</w:t>
      </w:r>
      <w:r>
        <w:t xml:space="preserve"> 5635 (CGB 2020) (</w:t>
      </w:r>
      <w:r w:rsidRPr="008A711D">
        <w:rPr>
          <w:i/>
        </w:rPr>
        <w:t xml:space="preserve">Clarity </w:t>
      </w:r>
      <w:r>
        <w:rPr>
          <w:i/>
        </w:rPr>
        <w:t>Certification</w:t>
      </w:r>
      <w:r>
        <w:t xml:space="preserve">).  In other orders, the Bureau has declined to require providers that use both ASR-only and CA-assisted captioning modes to provide a means for users to switch from one mode to the other.  </w:t>
      </w:r>
      <w:r w:rsidRPr="00CC014E">
        <w:rPr>
          <w:i/>
          <w:iCs/>
        </w:rPr>
        <w:t>See Telecommunications Relay Services and Speech-to-Speech Services for Individuals with Hearing and Speech Disabilities</w:t>
      </w:r>
      <w:r w:rsidRPr="00CC014E">
        <w:t xml:space="preserve">, CG Docket No. 03-123, Memorandum Opinion and Order, 37 FCC </w:t>
      </w:r>
      <w:r w:rsidRPr="00CC014E">
        <w:t>Rcd</w:t>
      </w:r>
      <w:r w:rsidRPr="00CC014E">
        <w:t xml:space="preserve"> 5228, para. 3 (CGB 2022);</w:t>
      </w:r>
      <w:r w:rsidRPr="00CC014E">
        <w:rPr>
          <w:i/>
          <w:iCs/>
        </w:rPr>
        <w:t xml:space="preserve"> Telecommunications Relay Services and Speech-to-Speech Services for Individuals with Hearing and Speech Disabilities</w:t>
      </w:r>
      <w:r w:rsidRPr="00CC014E">
        <w:t xml:space="preserve">, CG Docket No. 03-123, Memorandum Opinion and Order, 36 FCC </w:t>
      </w:r>
      <w:r w:rsidRPr="00CC014E">
        <w:t>Rcd</w:t>
      </w:r>
      <w:r w:rsidRPr="00CC014E">
        <w:t xml:space="preserve"> 13241, 13248, para. 18 (CGB 2021);</w:t>
      </w:r>
      <w:r w:rsidRPr="00CC014E">
        <w:rPr>
          <w:i/>
          <w:iCs/>
        </w:rPr>
        <w:t xml:space="preserve"> Telecommunications Relay Services and Speech-to-Speech Services for Individuals with Hearing and Speech Disabilities</w:t>
      </w:r>
      <w:r w:rsidRPr="00CC014E">
        <w:t xml:space="preserve">, CG Docket No. 03-123, Memorandum Opinion and Order, 36 FCC </w:t>
      </w:r>
      <w:r w:rsidRPr="00CC014E">
        <w:t>Rcd</w:t>
      </w:r>
      <w:r w:rsidRPr="00CC014E">
        <w:t xml:space="preserve"> 7246, 7258, para. 24 (CGB 2021).</w:t>
      </w:r>
    </w:p>
  </w:footnote>
  <w:footnote w:id="49">
    <w:p w:rsidR="00211803" w:rsidP="00211803" w14:paraId="64C08C29" w14:textId="77777777">
      <w:pPr>
        <w:pStyle w:val="FootnoteText"/>
      </w:pPr>
      <w:r>
        <w:rPr>
          <w:rStyle w:val="FootnoteReference"/>
        </w:rPr>
        <w:footnoteRef/>
      </w:r>
      <w:r>
        <w:t xml:space="preserve"> </w:t>
      </w:r>
      <w:r w:rsidRPr="00CC014E">
        <w:rPr>
          <w:i/>
          <w:iCs/>
        </w:rPr>
        <w:t xml:space="preserve">See </w:t>
      </w:r>
      <w:r>
        <w:t>AARO</w:t>
      </w:r>
      <w:r w:rsidRPr="00CC014E">
        <w:t xml:space="preserve"> Comments at </w:t>
      </w:r>
      <w:r>
        <w:t>4</w:t>
      </w:r>
      <w:r w:rsidRPr="00CC014E">
        <w:t>.</w:t>
      </w:r>
    </w:p>
  </w:footnote>
  <w:footnote w:id="50">
    <w:p w:rsidR="00211803" w:rsidP="00211803" w14:paraId="49CDF6E8" w14:textId="77777777">
      <w:pPr>
        <w:pStyle w:val="FootnoteText"/>
      </w:pPr>
      <w:r>
        <w:rPr>
          <w:rStyle w:val="FootnoteReference"/>
        </w:rPr>
        <w:footnoteRef/>
      </w:r>
      <w:r>
        <w:t xml:space="preserve"> </w:t>
      </w:r>
      <w:r w:rsidRPr="00A35914">
        <w:rPr>
          <w:i/>
          <w:iCs/>
        </w:rPr>
        <w:t>See</w:t>
      </w:r>
      <w:r>
        <w:t xml:space="preserve"> </w:t>
      </w:r>
      <w:r w:rsidRPr="00282B85">
        <w:rPr>
          <w:i/>
          <w:iCs/>
        </w:rPr>
        <w:t>2018 ASR Declaratory Ruling</w:t>
      </w:r>
      <w:r w:rsidRPr="00282B85">
        <w:t xml:space="preserve">, 33 FCC </w:t>
      </w:r>
      <w:r w:rsidRPr="00282B85">
        <w:t>Rcd</w:t>
      </w:r>
      <w:r w:rsidRPr="00282B85">
        <w:t xml:space="preserve"> </w:t>
      </w:r>
      <w:r w:rsidRPr="00C07E4B">
        <w:t>at 5828</w:t>
      </w:r>
      <w:r>
        <w:t>-29</w:t>
      </w:r>
      <w:r w:rsidRPr="00C07E4B">
        <w:t>, para. 51</w:t>
      </w:r>
      <w:r>
        <w:t xml:space="preserve"> (finding that “</w:t>
      </w:r>
      <w:r w:rsidRPr="00C07E4B">
        <w:t>improvements in accuracy, coupled with ASR’s advantages in speed and privacy, have made ASR a viable alternative to the use of human relay intermediaries for [Captioned Telephone Service (CTS)] and IP CTS</w:t>
      </w:r>
      <w:r>
        <w:t xml:space="preserve">”); </w:t>
      </w:r>
      <w:r w:rsidRPr="00C139F7">
        <w:rPr>
          <w:i/>
          <w:iCs/>
        </w:rPr>
        <w:t>see also</w:t>
      </w:r>
      <w:r>
        <w:t xml:space="preserve"> </w:t>
      </w:r>
      <w:r>
        <w:rPr>
          <w:i/>
          <w:iCs/>
        </w:rPr>
        <w:t>id.</w:t>
      </w:r>
      <w:r>
        <w:t xml:space="preserve"> </w:t>
      </w:r>
      <w:r w:rsidRPr="00282B85">
        <w:t>at 5834</w:t>
      </w:r>
      <w:r>
        <w:t>-35</w:t>
      </w:r>
      <w:r w:rsidRPr="00282B85">
        <w:t>, para. 63 (“Furthermore, while we are seeking more information about ASR technology in the FNPRM portion of this item, we do not agree that an ASR provider cannot be certified until we conduct ‘further study’ of such data.”).</w:t>
      </w:r>
    </w:p>
  </w:footnote>
  <w:footnote w:id="51">
    <w:p w:rsidR="00211803" w:rsidP="00211803" w14:paraId="7D85FF57" w14:textId="77777777">
      <w:pPr>
        <w:pStyle w:val="FootnoteText"/>
      </w:pPr>
      <w:r>
        <w:rPr>
          <w:rStyle w:val="FootnoteReference"/>
        </w:rPr>
        <w:footnoteRef/>
      </w:r>
      <w:r>
        <w:t xml:space="preserve"> </w:t>
      </w:r>
      <w:r>
        <w:rPr>
          <w:i/>
        </w:rPr>
        <w:t>See</w:t>
      </w:r>
      <w:r>
        <w:t xml:space="preserve"> </w:t>
      </w:r>
      <w:r w:rsidRPr="008C45C2">
        <w:rPr>
          <w:i/>
        </w:rPr>
        <w:t>2011 Internet-based TRS Certification Order</w:t>
      </w:r>
      <w:r>
        <w:rPr>
          <w:iCs/>
        </w:rPr>
        <w:t xml:space="preserve">, </w:t>
      </w:r>
      <w:r>
        <w:t xml:space="preserve">26 FCC </w:t>
      </w:r>
      <w:r>
        <w:t>Rcd</w:t>
      </w:r>
      <w:r>
        <w:t xml:space="preserve"> at 10914-15, para. 37 (reserving the right to grant conditional certification “</w:t>
      </w:r>
      <w:r>
        <w:rPr>
          <w:rFonts w:ascii="TimesNewRoman" w:hAnsi="TimesNewRoman" w:cs="TimesNewRoman"/>
          <w:color w:val="010101"/>
        </w:rPr>
        <w:t>where the Commission, upon initial review of the application, determines that the application facially meets the certification requirements, but that the Commission needs to verify some of the information contained in the application”);</w:t>
      </w:r>
      <w:r w:rsidRPr="00FF0B0B">
        <w:rPr>
          <w:i/>
        </w:rPr>
        <w:t xml:space="preserve"> </w:t>
      </w:r>
      <w:r w:rsidRPr="00AE1C61">
        <w:rPr>
          <w:i/>
        </w:rPr>
        <w:t>2018 ASR Declaratory Ruling</w:t>
      </w:r>
      <w:r w:rsidRPr="00AE1C61">
        <w:t xml:space="preserve">, 33 FCC </w:t>
      </w:r>
      <w:r w:rsidRPr="00AE1C61">
        <w:t>Rcd</w:t>
      </w:r>
      <w:r w:rsidRPr="00AE1C61">
        <w:t xml:space="preserve"> at 5834-35, para. 63</w:t>
      </w:r>
      <w:r>
        <w:t xml:space="preserve"> (stating that “</w:t>
      </w:r>
      <w:r w:rsidRPr="00AE1C61">
        <w:t>no application to provide ASR will be</w:t>
      </w:r>
      <w:r>
        <w:t xml:space="preserve"> </w:t>
      </w:r>
      <w:r w:rsidRPr="00AE1C61">
        <w:t>approved unless the applicant demonstrates that the specific ASR technology described in the application</w:t>
      </w:r>
      <w:r>
        <w:t xml:space="preserve"> meets applicable FCC requirements”); </w:t>
      </w:r>
      <w:r w:rsidRPr="002E4348">
        <w:rPr>
          <w:i/>
          <w:iCs/>
        </w:rPr>
        <w:t>id</w:t>
      </w:r>
      <w:r>
        <w:t>. at 5835, para. 64 (noting that certification of an ASR-only provider may be granted on a conditional basis to enable assessment of an applicant’s actual performance).</w:t>
      </w:r>
    </w:p>
  </w:footnote>
  <w:footnote w:id="52">
    <w:p w:rsidR="00211803" w:rsidP="00211803" w14:paraId="18A19D60" w14:textId="77777777">
      <w:pPr>
        <w:pStyle w:val="FootnoteText"/>
      </w:pPr>
      <w:r>
        <w:rPr>
          <w:rStyle w:val="FootnoteReference"/>
        </w:rPr>
        <w:footnoteRef/>
      </w:r>
      <w:r>
        <w:t xml:space="preserve"> </w:t>
      </w:r>
      <w:r w:rsidRPr="0099308E">
        <w:rPr>
          <w:i/>
        </w:rPr>
        <w:t>See</w:t>
      </w:r>
      <w:r w:rsidRPr="0099308E">
        <w:t xml:space="preserve"> 47 CFR </w:t>
      </w:r>
      <w:r>
        <w:t xml:space="preserve">§ </w:t>
      </w:r>
      <w:r w:rsidRPr="0099308E">
        <w:t>64.60</w:t>
      </w:r>
      <w:r>
        <w:t>4</w:t>
      </w:r>
      <w:r w:rsidRPr="0099308E">
        <w:t xml:space="preserve">(c)(1); </w:t>
      </w:r>
      <w:r w:rsidRPr="0099308E">
        <w:rPr>
          <w:i/>
        </w:rPr>
        <w:t>see also 2018 ASR Declaratory Ruling</w:t>
      </w:r>
      <w:r w:rsidRPr="0099308E">
        <w:t xml:space="preserve">, 33 FCC </w:t>
      </w:r>
      <w:r w:rsidRPr="0099308E">
        <w:t>Rcd</w:t>
      </w:r>
      <w:r w:rsidRPr="0099308E">
        <w:t xml:space="preserve"> at 5835, para. 64 (noting that to the extent deemed necessary</w:t>
      </w:r>
      <w:r>
        <w:t>,</w:t>
      </w:r>
      <w:r w:rsidRPr="0099308E">
        <w:t xml:space="preserve"> certification of a provider may be conditioned on the submission of periodic data to help confirm whether ASR-only IP CTS is providing functionally equivalent service)</w:t>
      </w:r>
      <w:r>
        <w:t xml:space="preserve">.  </w:t>
      </w:r>
    </w:p>
  </w:footnote>
  <w:footnote w:id="53">
    <w:p w:rsidR="00211803" w:rsidP="00211803" w14:paraId="0B1F2D97" w14:textId="77777777">
      <w:pPr>
        <w:pStyle w:val="FootnoteText"/>
      </w:pPr>
      <w:r>
        <w:rPr>
          <w:rStyle w:val="FootnoteReference"/>
        </w:rPr>
        <w:footnoteRef/>
      </w:r>
      <w:r>
        <w:t xml:space="preserve"> </w:t>
      </w:r>
      <w:r>
        <w:t>NexTalk’s</w:t>
      </w:r>
      <w:r>
        <w:t xml:space="preserve"> </w:t>
      </w:r>
      <w:r w:rsidRPr="0099308E">
        <w:t>first report shall specify the date of commencement of service.</w:t>
      </w:r>
    </w:p>
  </w:footnote>
  <w:footnote w:id="54">
    <w:p w:rsidR="00211803" w:rsidRPr="00A14E44" w:rsidP="00211803" w14:paraId="4624B8CC" w14:textId="77777777">
      <w:pPr>
        <w:pStyle w:val="FootnoteText"/>
      </w:pPr>
      <w:r>
        <w:rPr>
          <w:rStyle w:val="FootnoteReference"/>
        </w:rPr>
        <w:footnoteRef/>
      </w:r>
      <w:r>
        <w:t xml:space="preserve"> </w:t>
      </w:r>
      <w:r w:rsidRPr="00A14E44">
        <w:rPr>
          <w:rFonts w:ascii="TimesNewRomanPS-ItalicMT" w:hAnsi="TimesNewRomanPS-ItalicMT" w:cs="TimesNewRomanPS-ItalicMT"/>
          <w:i/>
          <w:iCs/>
        </w:rPr>
        <w:t xml:space="preserve">See </w:t>
      </w:r>
      <w:r w:rsidRPr="00B26649">
        <w:rPr>
          <w:i/>
        </w:rPr>
        <w:t xml:space="preserve">2018 </w:t>
      </w:r>
      <w:r>
        <w:rPr>
          <w:i/>
        </w:rPr>
        <w:t>ASR Declaratory Ruling</w:t>
      </w:r>
      <w:r w:rsidRPr="00401D9D">
        <w:t xml:space="preserve">, 33 FCC </w:t>
      </w:r>
      <w:r w:rsidRPr="00401D9D">
        <w:t>Rcd</w:t>
      </w:r>
      <w:r w:rsidRPr="00401D9D">
        <w:t xml:space="preserve"> at 5834</w:t>
      </w:r>
      <w:r>
        <w:t>-35</w:t>
      </w:r>
      <w:r w:rsidRPr="00401D9D">
        <w:t>, para. 63</w:t>
      </w:r>
      <w:r>
        <w:t xml:space="preserve"> (citing test results as an example of supporting information an ASR applicant might provide); </w:t>
      </w:r>
      <w:r>
        <w:rPr>
          <w:i/>
        </w:rPr>
        <w:t xml:space="preserve">Notice of Conditional Grant of Application of </w:t>
      </w:r>
      <w:r>
        <w:rPr>
          <w:i/>
        </w:rPr>
        <w:t>Miracom</w:t>
      </w:r>
      <w:r>
        <w:rPr>
          <w:i/>
        </w:rPr>
        <w:t xml:space="preserve"> USA, Inc., for Certification as a Provider of Internet Protocol Captioned Telephone Service Eligible for Compensation from the Telecommunications Relay Services Fund</w:t>
      </w:r>
      <w:r>
        <w:t xml:space="preserve">, CG Docket Nos. 03-123, 10-51, and 13-24, Public Notice, 29 FCC </w:t>
      </w:r>
      <w:r>
        <w:t>Rcd</w:t>
      </w:r>
      <w:r>
        <w:t xml:space="preserve"> 5105, 5106-10 (CGB 2014) (</w:t>
      </w:r>
      <w:r>
        <w:rPr>
          <w:i/>
        </w:rPr>
        <w:t>Miracom</w:t>
      </w:r>
      <w:r>
        <w:rPr>
          <w:i/>
        </w:rPr>
        <w:t xml:space="preserve"> Certification</w:t>
      </w:r>
      <w:r w:rsidRPr="00550051">
        <w:rPr>
          <w:iCs/>
        </w:rPr>
        <w:t>)</w:t>
      </w:r>
      <w:r>
        <w:t xml:space="preserve"> (conditioning a provider’s certification on submission of additional information, including quarterly testing and reports)</w:t>
      </w:r>
      <w:r w:rsidRPr="00B119BA">
        <w:rPr>
          <w:i/>
          <w:iCs/>
        </w:rPr>
        <w:t xml:space="preserve">.  </w:t>
      </w:r>
      <w:r>
        <w:t xml:space="preserve">With some exceptions, such as speed of answer, the Commission’s minimum TRS standards do not currently include quantitative metrics.  However, testing with respect to various performance criteria, such as </w:t>
      </w:r>
      <w:r w:rsidRPr="00B1725B">
        <w:t>caption delay</w:t>
      </w:r>
      <w:r>
        <w:t xml:space="preserve"> and accuracy, may be helpful in the overall evaluation of this application for the purpose of deciding whether to grant full certification.  </w:t>
      </w:r>
      <w:r w:rsidRPr="0026361A">
        <w:t>Further, the Commission has proposed to</w:t>
      </w:r>
      <w:r>
        <w:t xml:space="preserve"> </w:t>
      </w:r>
      <w:r w:rsidRPr="0026361A">
        <w:t>adopt quantified standards for caption delay and accuracy, which, if adopted, would be applicable to all IP CTS</w:t>
      </w:r>
      <w:r>
        <w:t xml:space="preserve"> </w:t>
      </w:r>
      <w:r w:rsidRPr="0026361A">
        <w:t xml:space="preserve">providers, including those applying for certification or authorized under conditional certification. </w:t>
      </w:r>
      <w:r>
        <w:t xml:space="preserve"> </w:t>
      </w:r>
      <w:r w:rsidRPr="0026361A">
        <w:rPr>
          <w:i/>
          <w:iCs/>
        </w:rPr>
        <w:t>See IP CTS</w:t>
      </w:r>
      <w:r>
        <w:rPr>
          <w:i/>
          <w:iCs/>
        </w:rPr>
        <w:t xml:space="preserve"> </w:t>
      </w:r>
      <w:r w:rsidRPr="0026361A">
        <w:rPr>
          <w:i/>
          <w:iCs/>
        </w:rPr>
        <w:t xml:space="preserve">Metrics </w:t>
      </w:r>
      <w:r>
        <w:rPr>
          <w:i/>
          <w:iCs/>
        </w:rPr>
        <w:t>Notice</w:t>
      </w:r>
      <w:r w:rsidRPr="0026361A">
        <w:t xml:space="preserve">, 35 FCC </w:t>
      </w:r>
      <w:r w:rsidRPr="0026361A">
        <w:t>Rcd</w:t>
      </w:r>
      <w:r w:rsidRPr="0026361A">
        <w:t xml:space="preserve"> at 10898-902, paras. 66-77.</w:t>
      </w:r>
    </w:p>
  </w:footnote>
  <w:footnote w:id="55">
    <w:p w:rsidR="00211803" w:rsidP="00211803" w14:paraId="09D233C4" w14:textId="77777777">
      <w:pPr>
        <w:pStyle w:val="FootnoteText"/>
      </w:pPr>
      <w:r>
        <w:rPr>
          <w:rStyle w:val="FootnoteReference"/>
        </w:rPr>
        <w:footnoteRef/>
      </w:r>
      <w:r>
        <w:t xml:space="preserve"> </w:t>
      </w:r>
      <w:r w:rsidRPr="00FD09BF">
        <w:rPr>
          <w:i/>
          <w:iCs/>
        </w:rPr>
        <w:t xml:space="preserve">See </w:t>
      </w:r>
      <w:r w:rsidRPr="00307063">
        <w:rPr>
          <w:i/>
        </w:rPr>
        <w:t>2011 Internet-based TRS Certification Order</w:t>
      </w:r>
      <w:r w:rsidRPr="00FD09BF">
        <w:t xml:space="preserve">, 26 FCC </w:t>
      </w:r>
      <w:r w:rsidRPr="00FD09BF">
        <w:t>Rcd</w:t>
      </w:r>
      <w:r w:rsidRPr="00FD09BF">
        <w:t xml:space="preserve"> at 10914</w:t>
      </w:r>
      <w:r>
        <w:t>-15</w:t>
      </w:r>
      <w:r w:rsidRPr="00FD09BF">
        <w:rPr>
          <w:i/>
          <w:iCs/>
        </w:rPr>
        <w:t xml:space="preserve">, </w:t>
      </w:r>
      <w:r>
        <w:t>para.</w:t>
      </w:r>
      <w:r w:rsidRPr="00FD09BF">
        <w:t xml:space="preserve"> 37.</w:t>
      </w:r>
    </w:p>
  </w:footnote>
  <w:footnote w:id="56">
    <w:p w:rsidR="00211803" w:rsidP="00211803" w14:paraId="6018AEE2" w14:textId="77777777">
      <w:pPr>
        <w:pStyle w:val="FootnoteText"/>
      </w:pPr>
      <w:r>
        <w:rPr>
          <w:rStyle w:val="FootnoteReference"/>
        </w:rPr>
        <w:footnoteRef/>
      </w:r>
      <w:r>
        <w:t xml:space="preserve"> </w:t>
      </w:r>
      <w:r w:rsidRPr="008F446D">
        <w:t xml:space="preserve">For example, Communication Access Realtime Translation (CART) </w:t>
      </w:r>
      <w:r>
        <w:t>is often used to generate captions for live meetings, speeches, and other in-person situations where the provision of TRS Fund-supported relay services is not permitted.</w:t>
      </w:r>
      <w:r w:rsidRPr="006C194A">
        <w:rPr>
          <w:i/>
          <w:iCs/>
        </w:rPr>
        <w:t xml:space="preserve"> </w:t>
      </w:r>
      <w:r>
        <w:rPr>
          <w:i/>
          <w:iCs/>
        </w:rPr>
        <w:t xml:space="preserve"> </w:t>
      </w:r>
      <w:r w:rsidRPr="004975B6">
        <w:rPr>
          <w:i/>
          <w:iCs/>
        </w:rPr>
        <w:t>See</w:t>
      </w:r>
      <w:r>
        <w:t xml:space="preserve"> </w:t>
      </w:r>
      <w:r>
        <w:rPr>
          <w:i/>
        </w:rPr>
        <w:t>Miracom</w:t>
      </w:r>
      <w:r>
        <w:rPr>
          <w:i/>
        </w:rPr>
        <w:t xml:space="preserve"> Certification</w:t>
      </w:r>
      <w:r>
        <w:t xml:space="preserve">, 29 FCC </w:t>
      </w:r>
      <w:r>
        <w:t>Rcd</w:t>
      </w:r>
      <w:r>
        <w:t xml:space="preserve"> at 5110</w:t>
      </w:r>
      <w:r w:rsidRPr="00C2554F">
        <w:t xml:space="preserve">; </w:t>
      </w:r>
      <w:r w:rsidRPr="00C2554F">
        <w:rPr>
          <w:i/>
          <w:iCs/>
        </w:rPr>
        <w:t>see also</w:t>
      </w:r>
      <w:r w:rsidRPr="00C2554F">
        <w:t xml:space="preserve"> </w:t>
      </w:r>
      <w:r w:rsidRPr="00C2554F">
        <w:rPr>
          <w:i/>
          <w:iCs/>
        </w:rPr>
        <w:t>Structure and Practices of the Video Relay Service Program</w:t>
      </w:r>
      <w:r w:rsidRPr="00C2554F">
        <w:t xml:space="preserve">; </w:t>
      </w:r>
      <w:r w:rsidRPr="00C2554F">
        <w:rPr>
          <w:i/>
          <w:iCs/>
        </w:rPr>
        <w:t>Telecommunications Relay Services and Speech-to-Speech Services for Individuals with Hearing and Speech Disabilities</w:t>
      </w:r>
      <w:r w:rsidRPr="00C2554F">
        <w:t xml:space="preserve">, CG Docket Nos. 10-51 and 03-123, Report and Order and Further Notice of Proposed Rulemaking, 28 FCC </w:t>
      </w:r>
      <w:r w:rsidRPr="00C2554F">
        <w:t>Rcd</w:t>
      </w:r>
      <w:r w:rsidRPr="00C2554F">
        <w:t xml:space="preserve"> 8618, 8691, para. 180 &amp; n.465 (2013) (explaining that the use of TRS Fund-supported VRS to substitute for video remote interpreting—a service that is used when an interpreter cannot be physically present to interpret for two or more persons who are in the same location—is not permitted)</w:t>
      </w:r>
      <w:r>
        <w:t xml:space="preserve">. </w:t>
      </w:r>
    </w:p>
  </w:footnote>
  <w:footnote w:id="57">
    <w:p w:rsidR="00211803" w:rsidRPr="00FB1752" w:rsidP="00211803" w14:paraId="2DF9F549" w14:textId="77777777">
      <w:pPr>
        <w:pStyle w:val="FootnoteText"/>
      </w:pPr>
      <w:r>
        <w:rPr>
          <w:rStyle w:val="FootnoteReference"/>
        </w:rPr>
        <w:footnoteRef/>
      </w:r>
      <w:r>
        <w:t xml:space="preserve"> </w:t>
      </w:r>
      <w:r>
        <w:rPr>
          <w:i/>
        </w:rPr>
        <w:t xml:space="preserve">See </w:t>
      </w:r>
      <w:r>
        <w:t>47 CFR § 64.604(a)(2)(</w:t>
      </w:r>
      <w:r>
        <w:t>i</w:t>
      </w:r>
      <w:r>
        <w:t xml:space="preserve">).  There is a limited exception applicable only to speech-to-speech services. </w:t>
      </w:r>
    </w:p>
  </w:footnote>
  <w:footnote w:id="58">
    <w:p w:rsidR="00211803" w:rsidP="00211803" w14:paraId="6943BB8C" w14:textId="77777777">
      <w:pPr>
        <w:pStyle w:val="FootnoteText"/>
      </w:pPr>
      <w:r>
        <w:rPr>
          <w:rStyle w:val="FootnoteReference"/>
        </w:rPr>
        <w:footnoteRef/>
      </w:r>
      <w:r>
        <w:t xml:space="preserve"> </w:t>
      </w:r>
      <w:r>
        <w:rPr>
          <w:i/>
        </w:rPr>
        <w:t>See, e.g.</w:t>
      </w:r>
      <w:r>
        <w:t xml:space="preserve">, </w:t>
      </w:r>
      <w:r>
        <w:rPr>
          <w:i/>
          <w:iCs/>
        </w:rPr>
        <w:t>i</w:t>
      </w:r>
      <w:r w:rsidRPr="009C1913">
        <w:rPr>
          <w:i/>
          <w:iCs/>
        </w:rPr>
        <w:t>d.</w:t>
      </w:r>
      <w:r w:rsidRPr="009C1913">
        <w:t xml:space="preserve"> </w:t>
      </w:r>
      <w:r>
        <w:t xml:space="preserve">§ 64.604(c)(8), (c)(11), (c)(13).  The Commission has noted that the ease and convenience of using IP CTS, </w:t>
      </w:r>
      <w:r>
        <w:rPr>
          <w:snapToGrid w:val="0"/>
          <w:kern w:val="28"/>
          <w:sz w:val="22"/>
        </w:rPr>
        <w:t xml:space="preserve">while </w:t>
      </w:r>
      <w:r w:rsidRPr="00B26649">
        <w:t>facilitat</w:t>
      </w:r>
      <w:r>
        <w:t>ing</w:t>
      </w:r>
      <w:r w:rsidRPr="00B26649">
        <w:t xml:space="preserve"> </w:t>
      </w:r>
      <w:r>
        <w:t xml:space="preserve">its use </w:t>
      </w:r>
      <w:r w:rsidRPr="00B26649">
        <w:t>by people who need it for effective communication, also create</w:t>
      </w:r>
      <w:r>
        <w:t>s</w:t>
      </w:r>
      <w:r w:rsidRPr="00B26649">
        <w:t xml:space="preserve"> a risk that IP CTS will be used when it is not needed.  </w:t>
      </w:r>
      <w:r w:rsidRPr="00B26649">
        <w:rPr>
          <w:i/>
        </w:rPr>
        <w:t xml:space="preserve">See </w:t>
      </w:r>
      <w:bookmarkStart w:id="20" w:name="_Hlk33524624"/>
      <w:r w:rsidRPr="00B26649">
        <w:rPr>
          <w:i/>
        </w:rPr>
        <w:t xml:space="preserve">2018 </w:t>
      </w:r>
      <w:r>
        <w:rPr>
          <w:i/>
        </w:rPr>
        <w:t>ASR Declaratory Ruling</w:t>
      </w:r>
      <w:bookmarkEnd w:id="20"/>
      <w:r w:rsidRPr="00B26649">
        <w:t xml:space="preserve">, 33 FCC </w:t>
      </w:r>
      <w:r w:rsidRPr="00B26649">
        <w:t>Rcd</w:t>
      </w:r>
      <w:r w:rsidRPr="00B26649">
        <w:t xml:space="preserve"> at 5805, para. 9.</w:t>
      </w:r>
      <w:r w:rsidRPr="00B26649">
        <w:rPr>
          <w:snapToGrid w:val="0"/>
          <w:kern w:val="28"/>
          <w:sz w:val="22"/>
        </w:rPr>
        <w:t xml:space="preserve"> </w:t>
      </w:r>
    </w:p>
  </w:footnote>
  <w:footnote w:id="59">
    <w:p w:rsidR="00211803" w:rsidP="00211803" w14:paraId="667ED561" w14:textId="6E76F3F7">
      <w:pPr>
        <w:pStyle w:val="FootnoteText"/>
      </w:pPr>
      <w:r>
        <w:rPr>
          <w:rStyle w:val="FootnoteReference"/>
        </w:rPr>
        <w:footnoteRef/>
      </w:r>
      <w:r>
        <w:t xml:space="preserve"> </w:t>
      </w:r>
      <w:r w:rsidRPr="00356DBC">
        <w:rPr>
          <w:i/>
          <w:iCs/>
        </w:rPr>
        <w:t>Internet Protocol Captioned Telephone Service Compensation</w:t>
      </w:r>
      <w:r w:rsidRPr="002D0C7E">
        <w:t xml:space="preserve">; </w:t>
      </w:r>
      <w:r w:rsidRPr="00356DBC">
        <w:rPr>
          <w:i/>
          <w:iCs/>
        </w:rPr>
        <w:t>Telecommunications Relay Services and Speech-to-Speech Services for Individuals with Hearing and Speech Disabilities</w:t>
      </w:r>
      <w:r w:rsidRPr="009653E5">
        <w:t>;</w:t>
      </w:r>
      <w:r w:rsidRPr="00356DBC">
        <w:rPr>
          <w:i/>
          <w:iCs/>
        </w:rPr>
        <w:t xml:space="preserve"> Misuse of Internet Protocol (IP) Captioned Telephone Service</w:t>
      </w:r>
      <w:r w:rsidRPr="00356DBC">
        <w:t xml:space="preserve">, CG Docket Nos. 22-408, 03-123, and 13-24, Notice of Proposed Rulemaking and Order on Reconsideration, </w:t>
      </w:r>
      <w:r w:rsidR="00866685">
        <w:t xml:space="preserve">37 FCC </w:t>
      </w:r>
      <w:r w:rsidR="00866685">
        <w:t>Rcd</w:t>
      </w:r>
      <w:r w:rsidR="002D0C7E">
        <w:t xml:space="preserve"> 15243</w:t>
      </w:r>
      <w:r w:rsidRPr="00356DBC">
        <w:t xml:space="preserve"> (2022) </w:t>
      </w:r>
      <w:r>
        <w:t xml:space="preserve">(proposing revised compensation plan for IP CTS); </w:t>
      </w:r>
      <w:r w:rsidRPr="00D422A5">
        <w:rPr>
          <w:i/>
          <w:iCs/>
        </w:rPr>
        <w:t>Internet Protocol Captioned Telephone Service Compensation</w:t>
      </w:r>
      <w:r w:rsidRPr="009653E5">
        <w:t>;</w:t>
      </w:r>
      <w:r w:rsidRPr="00D422A5">
        <w:rPr>
          <w:i/>
          <w:iCs/>
        </w:rPr>
        <w:t xml:space="preserve"> Telecommunications Relay Services and Speech-to-Speech Services for Individuals with Hearing and Speech Disabilities</w:t>
      </w:r>
      <w:r w:rsidRPr="009653E5">
        <w:t>;</w:t>
      </w:r>
      <w:r w:rsidRPr="00D422A5">
        <w:rPr>
          <w:i/>
          <w:iCs/>
        </w:rPr>
        <w:t xml:space="preserve"> Misuse of Internet Protocol (IP) Captioned Telephone Services</w:t>
      </w:r>
      <w:r>
        <w:t xml:space="preserve">, </w:t>
      </w:r>
      <w:r w:rsidRPr="00B42049">
        <w:t xml:space="preserve">CG Docket Nos. </w:t>
      </w:r>
      <w:r>
        <w:t>22-408,</w:t>
      </w:r>
      <w:r w:rsidRPr="00B42049">
        <w:t xml:space="preserve"> 03-123,</w:t>
      </w:r>
      <w:r>
        <w:t xml:space="preserve"> and 13-24, Order, DA 23-1189 (Dec. 20, 2023) (extending the current compensation plan through June 30, 2024, or the effective date of Commission action revising the compensation formula, if earlier).</w:t>
      </w:r>
    </w:p>
  </w:footnote>
  <w:footnote w:id="60">
    <w:p w:rsidR="00211803" w:rsidP="00211803" w14:paraId="2ACCDD2E" w14:textId="77777777">
      <w:pPr>
        <w:pStyle w:val="FootnoteText"/>
      </w:pPr>
      <w:r>
        <w:rPr>
          <w:rStyle w:val="FootnoteReference"/>
        </w:rPr>
        <w:footnoteRef/>
      </w:r>
      <w:r>
        <w:t xml:space="preserve"> </w:t>
      </w:r>
      <w:r w:rsidRPr="003E3177">
        <w:rPr>
          <w:i/>
          <w:iCs/>
        </w:rPr>
        <w:t>See</w:t>
      </w:r>
      <w:r>
        <w:t xml:space="preserve"> </w:t>
      </w:r>
      <w:r w:rsidRPr="005D63F8">
        <w:rPr>
          <w:i/>
          <w:iCs/>
        </w:rPr>
        <w:t>Miracom</w:t>
      </w:r>
      <w:r w:rsidRPr="005D63F8">
        <w:rPr>
          <w:i/>
          <w:iCs/>
        </w:rPr>
        <w:t xml:space="preserve"> Certification</w:t>
      </w:r>
      <w:r>
        <w:t>,</w:t>
      </w:r>
      <w:r w:rsidRPr="00AF10AE">
        <w:t xml:space="preserve"> 29 FCC </w:t>
      </w:r>
      <w:r w:rsidRPr="00AF10AE">
        <w:t>Rcd</w:t>
      </w:r>
      <w:r w:rsidRPr="00AF10AE">
        <w:t xml:space="preserve"> 510</w:t>
      </w:r>
      <w:r>
        <w:t>8 n.19</w:t>
      </w:r>
      <w:r w:rsidRPr="00AF10AE">
        <w:t xml:space="preserve"> (</w:t>
      </w:r>
      <w:r>
        <w:t>“</w:t>
      </w:r>
      <w:r w:rsidRPr="0000627E">
        <w:t>Compensation rates are determined in light of the minimum standards as set by the Commission</w:t>
      </w:r>
      <w:r>
        <w:t>.  Although the Commission may periodically reassess those standards in light of new services and technologies, a TRS provider cannot unilaterally impose a higher standard or secure a higher compensation rate simply by utilizing a new, more expensive method of providing service.”</w:t>
      </w:r>
      <w:r w:rsidRPr="00AF10AE">
        <w:t>)</w:t>
      </w:r>
      <w:r>
        <w:t>.</w:t>
      </w:r>
    </w:p>
  </w:footnote>
  <w:footnote w:id="61">
    <w:p w:rsidR="00211803" w:rsidP="00211803" w14:paraId="104DF99E" w14:textId="77777777">
      <w:pPr>
        <w:pStyle w:val="FootnoteText"/>
      </w:pPr>
      <w:r>
        <w:rPr>
          <w:rStyle w:val="FootnoteReference"/>
        </w:rPr>
        <w:footnoteRef/>
      </w:r>
      <w:r>
        <w:t xml:space="preserve"> </w:t>
      </w:r>
      <w:bookmarkStart w:id="21" w:name="_Hlk154678442"/>
      <w:r>
        <w:t xml:space="preserve">Application at 6-7. </w:t>
      </w:r>
      <w:bookmarkEnd w:id="21"/>
    </w:p>
  </w:footnote>
  <w:footnote w:id="62">
    <w:p w:rsidR="00211803" w:rsidP="00211803" w14:paraId="1A6DD5F4" w14:textId="77777777">
      <w:pPr>
        <w:pStyle w:val="FootnoteText"/>
      </w:pPr>
      <w:r>
        <w:rPr>
          <w:rStyle w:val="FootnoteReference"/>
        </w:rPr>
        <w:footnoteRef/>
      </w:r>
      <w:r>
        <w:t xml:space="preserve"> 47 CFR § 1.3.</w:t>
      </w:r>
    </w:p>
  </w:footnote>
  <w:footnote w:id="63">
    <w:p w:rsidR="00211803" w:rsidP="00211803" w14:paraId="02B5A3EC" w14:textId="77777777">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64">
    <w:p w:rsidR="00211803" w:rsidP="00211803" w14:paraId="0D5E43A5"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65">
    <w:p w:rsidR="00211803" w:rsidP="00211803" w14:paraId="7455B92D"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66">
    <w:p w:rsidR="00211803" w:rsidP="00211803" w14:paraId="17ADF8F3" w14:textId="593EDD98">
      <w:pPr>
        <w:pStyle w:val="FootnoteText"/>
      </w:pPr>
      <w:r>
        <w:rPr>
          <w:rStyle w:val="FootnoteReference"/>
        </w:rPr>
        <w:footnoteRef/>
      </w:r>
      <w:r>
        <w:t xml:space="preserve"> 47 CFR § 64.604(c)(5)(iii)(D)(</w:t>
      </w:r>
      <w:r w:rsidRPr="00BB738B">
        <w:rPr>
          <w:i/>
          <w:iCs/>
        </w:rPr>
        <w:t>2</w:t>
      </w:r>
      <w:r>
        <w:t>)(</w:t>
      </w:r>
      <w:r w:rsidRPr="00BB738B">
        <w:rPr>
          <w:i/>
          <w:iCs/>
        </w:rPr>
        <w:t>ii</w:t>
      </w:r>
      <w:r>
        <w:t>).</w:t>
      </w:r>
    </w:p>
  </w:footnote>
  <w:footnote w:id="67">
    <w:p w:rsidR="00211803" w:rsidP="00211803" w14:paraId="083430A9" w14:textId="5BC7F43F">
      <w:pPr>
        <w:pStyle w:val="FootnoteText"/>
      </w:pPr>
      <w:r>
        <w:rPr>
          <w:rStyle w:val="FootnoteReference"/>
        </w:rPr>
        <w:footnoteRef/>
      </w:r>
      <w:r>
        <w:t xml:space="preserve"> </w:t>
      </w:r>
      <w:r>
        <w:rPr>
          <w:i/>
          <w:iCs/>
        </w:rPr>
        <w:t>I</w:t>
      </w:r>
      <w:r w:rsidRPr="005E742B">
        <w:rPr>
          <w:i/>
          <w:iCs/>
        </w:rPr>
        <w:t>d.</w:t>
      </w:r>
      <w:r>
        <w:t xml:space="preserve"> § 64.604(c)(5)(iii)(D)(</w:t>
      </w:r>
      <w:r w:rsidRPr="00BB738B">
        <w:rPr>
          <w:i/>
          <w:iCs/>
        </w:rPr>
        <w:t>2</w:t>
      </w:r>
      <w:r>
        <w:t>)(</w:t>
      </w:r>
      <w:r w:rsidRPr="00BB738B">
        <w:rPr>
          <w:i/>
          <w:iCs/>
        </w:rPr>
        <w:t>x</w:t>
      </w:r>
      <w:r>
        <w:t>).</w:t>
      </w:r>
    </w:p>
  </w:footnote>
  <w:footnote w:id="68">
    <w:p w:rsidR="00211803" w:rsidP="00211803" w14:paraId="553B8794" w14:textId="77777777">
      <w:pPr>
        <w:pStyle w:val="FootnoteText"/>
      </w:pPr>
      <w:r>
        <w:rPr>
          <w:rStyle w:val="FootnoteReference"/>
        </w:rPr>
        <w:footnoteRef/>
      </w:r>
      <w:r>
        <w:t xml:space="preserve"> </w:t>
      </w:r>
      <w:r w:rsidRPr="00023A69">
        <w:rPr>
          <w:i/>
          <w:iCs/>
        </w:rPr>
        <w:t>See</w:t>
      </w:r>
      <w:r w:rsidRPr="00023A69">
        <w:t xml:space="preserve"> </w:t>
      </w:r>
      <w:r w:rsidRPr="00023A69">
        <w:rPr>
          <w:i/>
          <w:iCs/>
        </w:rPr>
        <w:t xml:space="preserve">Clarity </w:t>
      </w:r>
      <w:r>
        <w:rPr>
          <w:i/>
          <w:iCs/>
        </w:rPr>
        <w:t>Certification</w:t>
      </w:r>
      <w:r w:rsidRPr="00023A69">
        <w:t xml:space="preserve">, 35 FCC </w:t>
      </w:r>
      <w:r w:rsidRPr="00023A69">
        <w:t>Rcd</w:t>
      </w:r>
      <w:r w:rsidRPr="00023A69">
        <w:t xml:space="preserve"> at 564</w:t>
      </w:r>
      <w:r>
        <w:t>6</w:t>
      </w:r>
      <w:r w:rsidRPr="00023A69">
        <w:t xml:space="preserve">, para. </w:t>
      </w:r>
      <w:r>
        <w:t xml:space="preserve">28; </w:t>
      </w:r>
      <w:r w:rsidRPr="003244CB">
        <w:t>47 CFR § 64.604(c)(5)(iii)(D)(</w:t>
      </w:r>
      <w:r>
        <w:rPr>
          <w:i/>
        </w:rPr>
        <w:t>1</w:t>
      </w:r>
      <w:r w:rsidRPr="003244CB">
        <w:t>)</w:t>
      </w:r>
      <w:r>
        <w:t xml:space="preserve"> (“</w:t>
      </w:r>
      <w:r w:rsidRPr="003244CB">
        <w:t xml:space="preserve">TRS providers seeking compensation from the TRS Fund shall provide the administrator with </w:t>
      </w:r>
      <w:r>
        <w:t xml:space="preserve">. . . </w:t>
      </w:r>
      <w:r w:rsidRPr="003244CB">
        <w:t>information reasonably requested to determine the TRS Fund revenue requirements and payments.</w:t>
      </w:r>
      <w:r>
        <w:t>”)</w:t>
      </w:r>
      <w:r w:rsidRPr="003244CB">
        <w:t>.</w:t>
      </w:r>
    </w:p>
  </w:footnote>
  <w:footnote w:id="69">
    <w:p w:rsidR="00211803" w:rsidP="00211803" w14:paraId="67CD1DD7" w14:textId="77777777">
      <w:pPr>
        <w:pStyle w:val="FootnoteText"/>
      </w:pPr>
      <w:r>
        <w:rPr>
          <w:rStyle w:val="FootnoteReference"/>
        </w:rPr>
        <w:footnoteRef/>
      </w:r>
      <w:r>
        <w:t xml:space="preserve"> </w:t>
      </w:r>
      <w:r w:rsidRPr="002A3481">
        <w:rPr>
          <w:i/>
          <w:iCs/>
        </w:rPr>
        <w:t>See, e.g.</w:t>
      </w:r>
      <w:r w:rsidRPr="002A3481">
        <w:t xml:space="preserve">, </w:t>
      </w:r>
      <w:r w:rsidRPr="002A3481">
        <w:rPr>
          <w:i/>
          <w:iCs/>
        </w:rPr>
        <w:t>Clarity Certification</w:t>
      </w:r>
      <w:r w:rsidRPr="002A3481">
        <w:t xml:space="preserve">, 35 FCC </w:t>
      </w:r>
      <w:r w:rsidRPr="002A3481">
        <w:t>Rcd</w:t>
      </w:r>
      <w:r w:rsidRPr="002A3481">
        <w:t xml:space="preserve"> at 5647, para. 31.</w:t>
      </w:r>
    </w:p>
  </w:footnote>
  <w:footnote w:id="70">
    <w:p w:rsidR="00211803" w:rsidP="00211803" w14:paraId="42FEC295" w14:textId="77777777">
      <w:pPr>
        <w:pStyle w:val="FootnoteText"/>
      </w:pPr>
      <w:r>
        <w:rPr>
          <w:rStyle w:val="FootnoteReference"/>
        </w:rPr>
        <w:footnoteRef/>
      </w:r>
      <w:r>
        <w:t xml:space="preserve"> 47 CFR § 64.604(c)(5)(iii)(D</w:t>
      </w:r>
      <w:r w:rsidRPr="00A93307">
        <w:t>)(</w:t>
      </w:r>
      <w:r w:rsidRPr="006360C6">
        <w:rPr>
          <w:i/>
          <w:iCs/>
        </w:rPr>
        <w:t>2</w:t>
      </w:r>
      <w:r w:rsidRPr="00A93307">
        <w:t>)(</w:t>
      </w:r>
      <w:r w:rsidRPr="006360C6">
        <w:rPr>
          <w:i/>
          <w:iCs/>
        </w:rPr>
        <w:t>x</w:t>
      </w:r>
      <w:r>
        <w:t xml:space="preserve">). </w:t>
      </w:r>
    </w:p>
  </w:footnote>
  <w:footnote w:id="71">
    <w:p w:rsidR="00211803" w:rsidP="00211803" w14:paraId="427BA32C" w14:textId="77777777">
      <w:pPr>
        <w:pStyle w:val="FootnoteText"/>
      </w:pPr>
      <w:r>
        <w:rPr>
          <w:rStyle w:val="FootnoteReference"/>
        </w:rPr>
        <w:footnoteRef/>
      </w:r>
      <w:r>
        <w:t xml:space="preserve"> </w:t>
      </w:r>
      <w:r>
        <w:rPr>
          <w:i/>
        </w:rPr>
        <w:t>Structure and Practices of the Video Relay Service Program</w:t>
      </w:r>
      <w:r>
        <w:t xml:space="preserve">, CG Docket No. 10-51, Report and Order and Further Notice of Proposed Rulemaking, 26 FCC </w:t>
      </w:r>
      <w:r>
        <w:t>Rcd</w:t>
      </w:r>
      <w:r>
        <w:t xml:space="preserve"> 5545, 5579-80, para. 73 (2011).</w:t>
      </w:r>
    </w:p>
  </w:footnote>
  <w:footnote w:id="72">
    <w:p w:rsidR="00211803" w:rsidP="00211803" w14:paraId="1C2FAF0C" w14:textId="77777777">
      <w:pPr>
        <w:pStyle w:val="FootnoteText"/>
      </w:pPr>
      <w:r>
        <w:rPr>
          <w:rStyle w:val="FootnoteReference"/>
        </w:rPr>
        <w:footnoteRef/>
      </w:r>
      <w:r>
        <w:t xml:space="preserve"> </w:t>
      </w:r>
      <w:r w:rsidRPr="00FF3335">
        <w:rPr>
          <w:i/>
          <w:iCs/>
        </w:rPr>
        <w:t>See, e.g.</w:t>
      </w:r>
      <w:r>
        <w:t xml:space="preserve">, </w:t>
      </w:r>
      <w:r w:rsidRPr="00FF3335">
        <w:rPr>
          <w:i/>
          <w:iCs/>
        </w:rPr>
        <w:t>Clarity Certification</w:t>
      </w:r>
      <w:r>
        <w:t xml:space="preserve">, 35 FCC </w:t>
      </w:r>
      <w:r>
        <w:t>Rcd</w:t>
      </w:r>
      <w:r>
        <w:t xml:space="preserve"> at 5647, para.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75812014" w14:textId="43B1655B">
    <w:pPr>
      <w:pStyle w:val="Header"/>
      <w:rPr>
        <w:b w:val="0"/>
      </w:rPr>
    </w:pPr>
    <w:r>
      <w:tab/>
      <w:t>Federal Communications Commission</w:t>
    </w:r>
    <w:r>
      <w:tab/>
    </w:r>
    <w:r w:rsidR="00FA786D">
      <w:t>DA 24-49</w:t>
    </w:r>
  </w:p>
  <w:p w:rsidR="00D25FB5" w14:paraId="75B8865D"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43079B97"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28A8C01" w14:textId="2D7E33ED">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211803">
      <w:t>DA 24-</w:t>
    </w:r>
    <w:r>
      <w:t>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03"/>
    <w:rsid w:val="0000627E"/>
    <w:rsid w:val="000170C9"/>
    <w:rsid w:val="0002030F"/>
    <w:rsid w:val="00023A69"/>
    <w:rsid w:val="00036039"/>
    <w:rsid w:val="00037F90"/>
    <w:rsid w:val="0004726E"/>
    <w:rsid w:val="00052E79"/>
    <w:rsid w:val="000576D8"/>
    <w:rsid w:val="00071F30"/>
    <w:rsid w:val="00075913"/>
    <w:rsid w:val="000875BF"/>
    <w:rsid w:val="00096D8C"/>
    <w:rsid w:val="000B3A53"/>
    <w:rsid w:val="000B42F8"/>
    <w:rsid w:val="000C0B65"/>
    <w:rsid w:val="000C6A37"/>
    <w:rsid w:val="000E05FE"/>
    <w:rsid w:val="000E16C2"/>
    <w:rsid w:val="000E3D42"/>
    <w:rsid w:val="000F43BE"/>
    <w:rsid w:val="00105126"/>
    <w:rsid w:val="00122BD5"/>
    <w:rsid w:val="00133F79"/>
    <w:rsid w:val="00155E59"/>
    <w:rsid w:val="00194A66"/>
    <w:rsid w:val="001A0C17"/>
    <w:rsid w:val="001C4739"/>
    <w:rsid w:val="001C56D3"/>
    <w:rsid w:val="001D1C01"/>
    <w:rsid w:val="001D6BCF"/>
    <w:rsid w:val="001E01CA"/>
    <w:rsid w:val="001F3E7D"/>
    <w:rsid w:val="001F591F"/>
    <w:rsid w:val="001F5D94"/>
    <w:rsid w:val="001F6D5B"/>
    <w:rsid w:val="00211803"/>
    <w:rsid w:val="00231D77"/>
    <w:rsid w:val="00251C73"/>
    <w:rsid w:val="00254BBB"/>
    <w:rsid w:val="00261A7F"/>
    <w:rsid w:val="0026361A"/>
    <w:rsid w:val="00275A42"/>
    <w:rsid w:val="00275CF5"/>
    <w:rsid w:val="00282B85"/>
    <w:rsid w:val="0028301F"/>
    <w:rsid w:val="00285017"/>
    <w:rsid w:val="00294CBA"/>
    <w:rsid w:val="00297E34"/>
    <w:rsid w:val="002A2D2E"/>
    <w:rsid w:val="002A3481"/>
    <w:rsid w:val="002C00E8"/>
    <w:rsid w:val="002C0211"/>
    <w:rsid w:val="002D0C7E"/>
    <w:rsid w:val="002E0965"/>
    <w:rsid w:val="002E4348"/>
    <w:rsid w:val="002F4A42"/>
    <w:rsid w:val="00307063"/>
    <w:rsid w:val="00310851"/>
    <w:rsid w:val="003244CB"/>
    <w:rsid w:val="003372F0"/>
    <w:rsid w:val="00343749"/>
    <w:rsid w:val="00354EBF"/>
    <w:rsid w:val="00356DBC"/>
    <w:rsid w:val="003660ED"/>
    <w:rsid w:val="00385896"/>
    <w:rsid w:val="003B0550"/>
    <w:rsid w:val="003B2BCD"/>
    <w:rsid w:val="003B694F"/>
    <w:rsid w:val="003B7B34"/>
    <w:rsid w:val="003D2AC3"/>
    <w:rsid w:val="003E0313"/>
    <w:rsid w:val="003E1BB9"/>
    <w:rsid w:val="003E3177"/>
    <w:rsid w:val="003F171C"/>
    <w:rsid w:val="003F1DEA"/>
    <w:rsid w:val="003F53DC"/>
    <w:rsid w:val="00401D9D"/>
    <w:rsid w:val="00412FC5"/>
    <w:rsid w:val="00422276"/>
    <w:rsid w:val="004242F1"/>
    <w:rsid w:val="00445A00"/>
    <w:rsid w:val="00450F09"/>
    <w:rsid w:val="00451B0F"/>
    <w:rsid w:val="0045735B"/>
    <w:rsid w:val="00470E8A"/>
    <w:rsid w:val="004975B6"/>
    <w:rsid w:val="004A0568"/>
    <w:rsid w:val="004C2EE3"/>
    <w:rsid w:val="004E4A22"/>
    <w:rsid w:val="0050077D"/>
    <w:rsid w:val="00511968"/>
    <w:rsid w:val="00520AC5"/>
    <w:rsid w:val="00523A2E"/>
    <w:rsid w:val="005339D5"/>
    <w:rsid w:val="00550051"/>
    <w:rsid w:val="0055614C"/>
    <w:rsid w:val="00556851"/>
    <w:rsid w:val="00560802"/>
    <w:rsid w:val="00566D06"/>
    <w:rsid w:val="005908B4"/>
    <w:rsid w:val="005C6F47"/>
    <w:rsid w:val="005D5C55"/>
    <w:rsid w:val="005D63F8"/>
    <w:rsid w:val="005E14C2"/>
    <w:rsid w:val="005E742B"/>
    <w:rsid w:val="006069F3"/>
    <w:rsid w:val="00607BA5"/>
    <w:rsid w:val="0061180A"/>
    <w:rsid w:val="00626EB6"/>
    <w:rsid w:val="006360C6"/>
    <w:rsid w:val="00655D03"/>
    <w:rsid w:val="0066066E"/>
    <w:rsid w:val="00683388"/>
    <w:rsid w:val="00683F84"/>
    <w:rsid w:val="006A6A81"/>
    <w:rsid w:val="006B6C74"/>
    <w:rsid w:val="006C1170"/>
    <w:rsid w:val="006C194A"/>
    <w:rsid w:val="006E2AA3"/>
    <w:rsid w:val="006F68F8"/>
    <w:rsid w:val="006F7393"/>
    <w:rsid w:val="0070224F"/>
    <w:rsid w:val="00702959"/>
    <w:rsid w:val="007115F7"/>
    <w:rsid w:val="00737C5F"/>
    <w:rsid w:val="007776EC"/>
    <w:rsid w:val="00785689"/>
    <w:rsid w:val="0079754B"/>
    <w:rsid w:val="007A1E6D"/>
    <w:rsid w:val="007B0EB2"/>
    <w:rsid w:val="007C768D"/>
    <w:rsid w:val="007D6E52"/>
    <w:rsid w:val="007E4CCB"/>
    <w:rsid w:val="00805801"/>
    <w:rsid w:val="00810B6F"/>
    <w:rsid w:val="00810EAD"/>
    <w:rsid w:val="00822CE0"/>
    <w:rsid w:val="008362BA"/>
    <w:rsid w:val="00841AB1"/>
    <w:rsid w:val="00845380"/>
    <w:rsid w:val="00866685"/>
    <w:rsid w:val="008822A4"/>
    <w:rsid w:val="008A711D"/>
    <w:rsid w:val="008C45C2"/>
    <w:rsid w:val="008C68F1"/>
    <w:rsid w:val="008F0076"/>
    <w:rsid w:val="008F446D"/>
    <w:rsid w:val="00906A90"/>
    <w:rsid w:val="00921803"/>
    <w:rsid w:val="00926503"/>
    <w:rsid w:val="00951CAB"/>
    <w:rsid w:val="00960C44"/>
    <w:rsid w:val="009653E5"/>
    <w:rsid w:val="009726D8"/>
    <w:rsid w:val="00977E9A"/>
    <w:rsid w:val="00981B74"/>
    <w:rsid w:val="0099308E"/>
    <w:rsid w:val="009B1EA2"/>
    <w:rsid w:val="009C1913"/>
    <w:rsid w:val="009D7308"/>
    <w:rsid w:val="009F76DB"/>
    <w:rsid w:val="00A036C3"/>
    <w:rsid w:val="00A14E44"/>
    <w:rsid w:val="00A23B37"/>
    <w:rsid w:val="00A32C3B"/>
    <w:rsid w:val="00A35914"/>
    <w:rsid w:val="00A41413"/>
    <w:rsid w:val="00A45F4F"/>
    <w:rsid w:val="00A5649F"/>
    <w:rsid w:val="00A600A9"/>
    <w:rsid w:val="00A679D3"/>
    <w:rsid w:val="00A86387"/>
    <w:rsid w:val="00A93307"/>
    <w:rsid w:val="00A9636E"/>
    <w:rsid w:val="00A964DC"/>
    <w:rsid w:val="00AA55B7"/>
    <w:rsid w:val="00AA5B9E"/>
    <w:rsid w:val="00AB2407"/>
    <w:rsid w:val="00AB53DF"/>
    <w:rsid w:val="00AC6CC7"/>
    <w:rsid w:val="00AE1C61"/>
    <w:rsid w:val="00AF10AE"/>
    <w:rsid w:val="00B054A6"/>
    <w:rsid w:val="00B07E5C"/>
    <w:rsid w:val="00B119BA"/>
    <w:rsid w:val="00B1725B"/>
    <w:rsid w:val="00B24150"/>
    <w:rsid w:val="00B244C9"/>
    <w:rsid w:val="00B26649"/>
    <w:rsid w:val="00B32872"/>
    <w:rsid w:val="00B42049"/>
    <w:rsid w:val="00B47EB2"/>
    <w:rsid w:val="00B74985"/>
    <w:rsid w:val="00B811F7"/>
    <w:rsid w:val="00B81932"/>
    <w:rsid w:val="00B9356C"/>
    <w:rsid w:val="00BA5DC6"/>
    <w:rsid w:val="00BA6196"/>
    <w:rsid w:val="00BA64A9"/>
    <w:rsid w:val="00BB738B"/>
    <w:rsid w:val="00BB7BF4"/>
    <w:rsid w:val="00BC4D63"/>
    <w:rsid w:val="00BC6D8C"/>
    <w:rsid w:val="00BF084B"/>
    <w:rsid w:val="00C07E4B"/>
    <w:rsid w:val="00C139F7"/>
    <w:rsid w:val="00C24381"/>
    <w:rsid w:val="00C2554F"/>
    <w:rsid w:val="00C303E9"/>
    <w:rsid w:val="00C34006"/>
    <w:rsid w:val="00C36B4C"/>
    <w:rsid w:val="00C426B1"/>
    <w:rsid w:val="00C43339"/>
    <w:rsid w:val="00C65FE4"/>
    <w:rsid w:val="00C66160"/>
    <w:rsid w:val="00C721AC"/>
    <w:rsid w:val="00C7561F"/>
    <w:rsid w:val="00C90D6A"/>
    <w:rsid w:val="00CA247E"/>
    <w:rsid w:val="00CA6D21"/>
    <w:rsid w:val="00CB1AD8"/>
    <w:rsid w:val="00CC014E"/>
    <w:rsid w:val="00CC5E90"/>
    <w:rsid w:val="00CC72B6"/>
    <w:rsid w:val="00D016F1"/>
    <w:rsid w:val="00D0218D"/>
    <w:rsid w:val="00D226A0"/>
    <w:rsid w:val="00D25FB5"/>
    <w:rsid w:val="00D27515"/>
    <w:rsid w:val="00D422A5"/>
    <w:rsid w:val="00D44223"/>
    <w:rsid w:val="00D4688F"/>
    <w:rsid w:val="00D87E36"/>
    <w:rsid w:val="00DA2529"/>
    <w:rsid w:val="00DB130A"/>
    <w:rsid w:val="00DB2EBB"/>
    <w:rsid w:val="00DC10A1"/>
    <w:rsid w:val="00DC655F"/>
    <w:rsid w:val="00DD0B59"/>
    <w:rsid w:val="00DD54ED"/>
    <w:rsid w:val="00DD7EBD"/>
    <w:rsid w:val="00DE127B"/>
    <w:rsid w:val="00DF62B6"/>
    <w:rsid w:val="00E04A68"/>
    <w:rsid w:val="00E07225"/>
    <w:rsid w:val="00E151CD"/>
    <w:rsid w:val="00E420EA"/>
    <w:rsid w:val="00E5409F"/>
    <w:rsid w:val="00E61CC1"/>
    <w:rsid w:val="00E75B21"/>
    <w:rsid w:val="00E9074A"/>
    <w:rsid w:val="00E924EA"/>
    <w:rsid w:val="00E977CA"/>
    <w:rsid w:val="00EE245A"/>
    <w:rsid w:val="00EE4B91"/>
    <w:rsid w:val="00EE6488"/>
    <w:rsid w:val="00F021FA"/>
    <w:rsid w:val="00F06BF8"/>
    <w:rsid w:val="00F322FC"/>
    <w:rsid w:val="00F516AF"/>
    <w:rsid w:val="00F5677D"/>
    <w:rsid w:val="00F567DC"/>
    <w:rsid w:val="00F61281"/>
    <w:rsid w:val="00F62E97"/>
    <w:rsid w:val="00F64209"/>
    <w:rsid w:val="00F71CBE"/>
    <w:rsid w:val="00F93BF5"/>
    <w:rsid w:val="00F9773F"/>
    <w:rsid w:val="00FA786D"/>
    <w:rsid w:val="00FB1752"/>
    <w:rsid w:val="00FD09BF"/>
    <w:rsid w:val="00FF0B0B"/>
    <w:rsid w:val="00FF33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5EDBA8"/>
  <w15:chartTrackingRefBased/>
  <w15:docId w15:val="{18319A00-180E-4596-9735-27B91F82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803"/>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Heading1Char">
    <w:name w:val="Heading 1 Char"/>
    <w:link w:val="Heading1"/>
    <w:rsid w:val="00211803"/>
    <w:rPr>
      <w:rFonts w:ascii="Times New Roman Bold" w:hAnsi="Times New Roman Bold"/>
      <w:b/>
      <w:caps/>
      <w:snapToGrid w:val="0"/>
      <w:kern w:val="28"/>
      <w:sz w:val="22"/>
    </w:rPr>
  </w:style>
  <w:style w:type="character" w:customStyle="1" w:styleId="FootnoteTextChar">
    <w:name w:val="Footnote Text Char"/>
    <w:link w:val="FootnoteText"/>
    <w:rsid w:val="00211803"/>
  </w:style>
  <w:style w:type="character" w:customStyle="1" w:styleId="ParaNumChar">
    <w:name w:val="ParaNum Char"/>
    <w:link w:val="ParaNum"/>
    <w:locked/>
    <w:rsid w:val="00211803"/>
    <w:rPr>
      <w:snapToGrid w:val="0"/>
      <w:kern w:val="28"/>
      <w:sz w:val="22"/>
    </w:rPr>
  </w:style>
  <w:style w:type="character" w:styleId="FollowedHyperlink">
    <w:name w:val="FollowedHyperlink"/>
    <w:basedOn w:val="DefaultParagraphFont"/>
    <w:rsid w:val="00211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Ike.Ofobike@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208159809413/1"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