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2.0 -->
  <w:body>
    <w:p w:rsidR="004C2EE3" w14:paraId="59E67633" w14:textId="77777777">
      <w:pPr>
        <w:jc w:val="center"/>
        <w:rPr>
          <w:b/>
        </w:rPr>
      </w:pPr>
      <w:r w:rsidRPr="0070224F">
        <w:rPr>
          <w:rFonts w:ascii="Times New Roman Bold" w:hAnsi="Times New Roman Bold"/>
          <w:b/>
          <w:kern w:val="0"/>
          <w:szCs w:val="22"/>
        </w:rPr>
        <w:t>Before</w:t>
      </w:r>
      <w:r>
        <w:rPr>
          <w:b/>
        </w:rPr>
        <w:t xml:space="preserve"> the</w:t>
      </w:r>
    </w:p>
    <w:p w:rsidR="00921803" w:rsidP="00921803" w14:paraId="79515A57" w14:textId="77777777">
      <w:pPr>
        <w:pStyle w:val="StyleBoldCentered"/>
      </w:pPr>
      <w:r>
        <w:t>F</w:t>
      </w:r>
      <w:r>
        <w:rPr>
          <w:caps w:val="0"/>
        </w:rPr>
        <w:t>ederal Communications Commission</w:t>
      </w:r>
    </w:p>
    <w:p w:rsidR="004C2EE3" w:rsidP="00096D8C" w14:paraId="4103B750" w14:textId="77777777">
      <w:pPr>
        <w:pStyle w:val="StyleBoldCentered"/>
      </w:pPr>
      <w:r>
        <w:rPr>
          <w:caps w:val="0"/>
        </w:rPr>
        <w:t>Washington, D.C. 20554</w:t>
      </w:r>
    </w:p>
    <w:p w:rsidR="004C2EE3" w:rsidP="0070224F" w14:paraId="469C4DB5" w14:textId="77777777"/>
    <w:p w:rsidR="004C2EE3" w:rsidP="0070224F" w14:paraId="755DE3D4" w14:textId="77777777"/>
    <w:tbl>
      <w:tblPr>
        <w:tblW w:w="0" w:type="auto"/>
        <w:tblLayout w:type="fixed"/>
        <w:tblLook w:val="0000"/>
      </w:tblPr>
      <w:tblGrid>
        <w:gridCol w:w="4698"/>
        <w:gridCol w:w="630"/>
        <w:gridCol w:w="4248"/>
      </w:tblGrid>
      <w:tr w14:paraId="2B513324" w14:textId="77777777">
        <w:tblPrEx>
          <w:tblW w:w="0" w:type="auto"/>
          <w:tblLayout w:type="fixed"/>
          <w:tblLook w:val="0000"/>
        </w:tblPrEx>
        <w:tc>
          <w:tcPr>
            <w:tcW w:w="4698" w:type="dxa"/>
          </w:tcPr>
          <w:p w:rsidR="004C2EE3" w14:paraId="2DFA3C5F" w14:textId="77777777">
            <w:pPr>
              <w:tabs>
                <w:tab w:val="center" w:pos="4680"/>
              </w:tabs>
              <w:suppressAutoHyphens/>
              <w:rPr>
                <w:spacing w:val="-2"/>
              </w:rPr>
            </w:pPr>
            <w:r>
              <w:rPr>
                <w:spacing w:val="-2"/>
              </w:rPr>
              <w:t>In the Matter of</w:t>
            </w:r>
          </w:p>
          <w:p w:rsidR="004C2EE3" w14:paraId="73EAC1D4" w14:textId="77777777">
            <w:pPr>
              <w:tabs>
                <w:tab w:val="center" w:pos="4680"/>
              </w:tabs>
              <w:suppressAutoHyphens/>
              <w:rPr>
                <w:spacing w:val="-2"/>
              </w:rPr>
            </w:pPr>
          </w:p>
          <w:p w:rsidR="004C2EE3" w:rsidP="007115F7" w14:paraId="6BF60731" w14:textId="77777777">
            <w:pPr>
              <w:tabs>
                <w:tab w:val="center" w:pos="4680"/>
              </w:tabs>
              <w:suppressAutoHyphens/>
              <w:rPr>
                <w:spacing w:val="-2"/>
              </w:rPr>
            </w:pPr>
            <w:r>
              <w:rPr>
                <w:spacing w:val="-2"/>
              </w:rPr>
              <w:t>Access to Video Conferencing</w:t>
            </w:r>
          </w:p>
          <w:p w:rsidR="00CF03AF" w:rsidP="007115F7" w14:paraId="11E6A804" w14:textId="77777777">
            <w:pPr>
              <w:tabs>
                <w:tab w:val="center" w:pos="4680"/>
              </w:tabs>
              <w:suppressAutoHyphens/>
              <w:rPr>
                <w:spacing w:val="-2"/>
              </w:rPr>
            </w:pPr>
          </w:p>
          <w:p w:rsidR="00CF03AF" w:rsidP="007115F7" w14:paraId="4EE6D940" w14:textId="77777777">
            <w:pPr>
              <w:tabs>
                <w:tab w:val="center" w:pos="4680"/>
              </w:tabs>
              <w:suppressAutoHyphens/>
              <w:rPr>
                <w:spacing w:val="-2"/>
              </w:rPr>
            </w:pPr>
            <w:r>
              <w:rPr>
                <w:spacing w:val="-2"/>
              </w:rPr>
              <w:t>Implementation of Sections 716 and 717 of the Communications Act of 1934, as Enacted by the Twenty-First Century Communications and Video Accessibility Act of 2010</w:t>
            </w:r>
          </w:p>
          <w:p w:rsidR="00CF03AF" w:rsidP="007115F7" w14:paraId="11F69510" w14:textId="77777777">
            <w:pPr>
              <w:tabs>
                <w:tab w:val="center" w:pos="4680"/>
              </w:tabs>
              <w:suppressAutoHyphens/>
              <w:rPr>
                <w:spacing w:val="-2"/>
              </w:rPr>
            </w:pPr>
          </w:p>
          <w:p w:rsidR="00CF03AF" w:rsidP="007115F7" w14:paraId="174697C8" w14:textId="77777777">
            <w:pPr>
              <w:tabs>
                <w:tab w:val="center" w:pos="4680"/>
              </w:tabs>
              <w:suppressAutoHyphens/>
              <w:rPr>
                <w:spacing w:val="-2"/>
              </w:rPr>
            </w:pPr>
            <w:r>
              <w:rPr>
                <w:spacing w:val="-2"/>
              </w:rPr>
              <w:t>Telecommunications Relay Services and Speech-to-Speech Services for Individuals with Hearing and Speech Disabilities</w:t>
            </w:r>
          </w:p>
          <w:p w:rsidR="00CF03AF" w:rsidP="007115F7" w14:paraId="5C0D7481" w14:textId="77777777">
            <w:pPr>
              <w:tabs>
                <w:tab w:val="center" w:pos="4680"/>
              </w:tabs>
              <w:suppressAutoHyphens/>
              <w:rPr>
                <w:spacing w:val="-2"/>
              </w:rPr>
            </w:pPr>
          </w:p>
          <w:p w:rsidR="00CF03AF" w:rsidRPr="007115F7" w:rsidP="007115F7" w14:paraId="101AE07F" w14:textId="7FE48C50">
            <w:pPr>
              <w:tabs>
                <w:tab w:val="center" w:pos="4680"/>
              </w:tabs>
              <w:suppressAutoHyphens/>
              <w:rPr>
                <w:spacing w:val="-2"/>
              </w:rPr>
            </w:pPr>
            <w:r>
              <w:rPr>
                <w:spacing w:val="-2"/>
              </w:rPr>
              <w:t>Petition of Sorenson Communications, LLC, for Limited Waiver of the Privacy Screen Rule</w:t>
            </w:r>
          </w:p>
        </w:tc>
        <w:tc>
          <w:tcPr>
            <w:tcW w:w="630" w:type="dxa"/>
          </w:tcPr>
          <w:p w:rsidR="004C2EE3" w14:paraId="722332FD" w14:textId="77777777">
            <w:pPr>
              <w:tabs>
                <w:tab w:val="center" w:pos="4680"/>
              </w:tabs>
              <w:suppressAutoHyphens/>
              <w:rPr>
                <w:b/>
                <w:spacing w:val="-2"/>
              </w:rPr>
            </w:pPr>
            <w:r>
              <w:rPr>
                <w:b/>
                <w:spacing w:val="-2"/>
              </w:rPr>
              <w:t>)</w:t>
            </w:r>
          </w:p>
          <w:p w:rsidR="004C2EE3" w14:paraId="4B67FF5B" w14:textId="77777777">
            <w:pPr>
              <w:tabs>
                <w:tab w:val="center" w:pos="4680"/>
              </w:tabs>
              <w:suppressAutoHyphens/>
              <w:rPr>
                <w:b/>
                <w:spacing w:val="-2"/>
              </w:rPr>
            </w:pPr>
            <w:r>
              <w:rPr>
                <w:b/>
                <w:spacing w:val="-2"/>
              </w:rPr>
              <w:t>)</w:t>
            </w:r>
          </w:p>
          <w:p w:rsidR="004C2EE3" w14:paraId="6FBC322D" w14:textId="77777777">
            <w:pPr>
              <w:tabs>
                <w:tab w:val="center" w:pos="4680"/>
              </w:tabs>
              <w:suppressAutoHyphens/>
              <w:rPr>
                <w:b/>
                <w:spacing w:val="-2"/>
              </w:rPr>
            </w:pPr>
            <w:r>
              <w:rPr>
                <w:b/>
                <w:spacing w:val="-2"/>
              </w:rPr>
              <w:t>)</w:t>
            </w:r>
          </w:p>
          <w:p w:rsidR="004C2EE3" w14:paraId="21DDECAC" w14:textId="77777777">
            <w:pPr>
              <w:tabs>
                <w:tab w:val="center" w:pos="4680"/>
              </w:tabs>
              <w:suppressAutoHyphens/>
              <w:rPr>
                <w:b/>
                <w:spacing w:val="-2"/>
              </w:rPr>
            </w:pPr>
            <w:r>
              <w:rPr>
                <w:b/>
                <w:spacing w:val="-2"/>
              </w:rPr>
              <w:t>)</w:t>
            </w:r>
          </w:p>
          <w:p w:rsidR="004C2EE3" w14:paraId="59CD53EE" w14:textId="77777777">
            <w:pPr>
              <w:tabs>
                <w:tab w:val="center" w:pos="4680"/>
              </w:tabs>
              <w:suppressAutoHyphens/>
              <w:rPr>
                <w:b/>
                <w:spacing w:val="-2"/>
              </w:rPr>
            </w:pPr>
            <w:r>
              <w:rPr>
                <w:b/>
                <w:spacing w:val="-2"/>
              </w:rPr>
              <w:t>)</w:t>
            </w:r>
          </w:p>
          <w:p w:rsidR="004C2EE3" w14:paraId="3519BC4F" w14:textId="77777777">
            <w:pPr>
              <w:tabs>
                <w:tab w:val="center" w:pos="4680"/>
              </w:tabs>
              <w:suppressAutoHyphens/>
              <w:rPr>
                <w:b/>
                <w:spacing w:val="-2"/>
              </w:rPr>
            </w:pPr>
            <w:r>
              <w:rPr>
                <w:b/>
                <w:spacing w:val="-2"/>
              </w:rPr>
              <w:t>)</w:t>
            </w:r>
          </w:p>
          <w:p w:rsidR="004C2EE3" w14:paraId="3759FD4A" w14:textId="77777777">
            <w:pPr>
              <w:tabs>
                <w:tab w:val="center" w:pos="4680"/>
              </w:tabs>
              <w:suppressAutoHyphens/>
              <w:rPr>
                <w:b/>
                <w:spacing w:val="-2"/>
              </w:rPr>
            </w:pPr>
            <w:r>
              <w:rPr>
                <w:b/>
                <w:spacing w:val="-2"/>
              </w:rPr>
              <w:t>)</w:t>
            </w:r>
          </w:p>
          <w:p w:rsidR="004C2EE3" w14:paraId="1256CA84" w14:textId="77777777">
            <w:pPr>
              <w:tabs>
                <w:tab w:val="center" w:pos="4680"/>
              </w:tabs>
              <w:suppressAutoHyphens/>
              <w:rPr>
                <w:b/>
                <w:spacing w:val="-2"/>
              </w:rPr>
            </w:pPr>
            <w:r>
              <w:rPr>
                <w:b/>
                <w:spacing w:val="-2"/>
              </w:rPr>
              <w:t>)</w:t>
            </w:r>
          </w:p>
          <w:p w:rsidR="004C2EE3" w14:paraId="4444637B" w14:textId="77777777">
            <w:pPr>
              <w:tabs>
                <w:tab w:val="center" w:pos="4680"/>
              </w:tabs>
              <w:suppressAutoHyphens/>
              <w:rPr>
                <w:b/>
                <w:spacing w:val="-2"/>
              </w:rPr>
            </w:pPr>
            <w:r>
              <w:rPr>
                <w:b/>
                <w:spacing w:val="-2"/>
              </w:rPr>
              <w:t>)</w:t>
            </w:r>
          </w:p>
          <w:p w:rsidR="00CF03AF" w14:paraId="55C87BB4" w14:textId="77777777">
            <w:pPr>
              <w:tabs>
                <w:tab w:val="center" w:pos="4680"/>
              </w:tabs>
              <w:suppressAutoHyphens/>
              <w:rPr>
                <w:b/>
                <w:spacing w:val="-2"/>
              </w:rPr>
            </w:pPr>
            <w:r>
              <w:rPr>
                <w:b/>
                <w:spacing w:val="-2"/>
              </w:rPr>
              <w:t>)</w:t>
            </w:r>
          </w:p>
          <w:p w:rsidR="00CF03AF" w14:paraId="710E7247" w14:textId="77777777">
            <w:pPr>
              <w:tabs>
                <w:tab w:val="center" w:pos="4680"/>
              </w:tabs>
              <w:suppressAutoHyphens/>
              <w:rPr>
                <w:b/>
                <w:spacing w:val="-2"/>
              </w:rPr>
            </w:pPr>
            <w:r>
              <w:rPr>
                <w:b/>
                <w:spacing w:val="-2"/>
              </w:rPr>
              <w:t>)</w:t>
            </w:r>
          </w:p>
          <w:p w:rsidR="00CF03AF" w14:paraId="4C85364C" w14:textId="77777777">
            <w:pPr>
              <w:tabs>
                <w:tab w:val="center" w:pos="4680"/>
              </w:tabs>
              <w:suppressAutoHyphens/>
              <w:rPr>
                <w:b/>
                <w:spacing w:val="-2"/>
              </w:rPr>
            </w:pPr>
            <w:r>
              <w:rPr>
                <w:b/>
                <w:spacing w:val="-2"/>
              </w:rPr>
              <w:t>)</w:t>
            </w:r>
          </w:p>
          <w:p w:rsidR="00CF03AF" w14:paraId="0BEE22DE" w14:textId="77777777">
            <w:pPr>
              <w:tabs>
                <w:tab w:val="center" w:pos="4680"/>
              </w:tabs>
              <w:suppressAutoHyphens/>
              <w:rPr>
                <w:b/>
                <w:spacing w:val="-2"/>
              </w:rPr>
            </w:pPr>
            <w:r>
              <w:rPr>
                <w:b/>
                <w:spacing w:val="-2"/>
              </w:rPr>
              <w:t>)</w:t>
            </w:r>
          </w:p>
          <w:p w:rsidR="00CF03AF" w14:paraId="2B76E363" w14:textId="77777777">
            <w:pPr>
              <w:tabs>
                <w:tab w:val="center" w:pos="4680"/>
              </w:tabs>
              <w:suppressAutoHyphens/>
              <w:rPr>
                <w:b/>
                <w:spacing w:val="-2"/>
              </w:rPr>
            </w:pPr>
            <w:r>
              <w:rPr>
                <w:b/>
                <w:spacing w:val="-2"/>
              </w:rPr>
              <w:t>)</w:t>
            </w:r>
          </w:p>
          <w:p w:rsidR="00CF03AF" w14:paraId="26A3DA22" w14:textId="0AFE05FD">
            <w:pPr>
              <w:tabs>
                <w:tab w:val="center" w:pos="4680"/>
              </w:tabs>
              <w:suppressAutoHyphens/>
              <w:rPr>
                <w:spacing w:val="-2"/>
              </w:rPr>
            </w:pPr>
            <w:r>
              <w:rPr>
                <w:b/>
                <w:spacing w:val="-2"/>
              </w:rPr>
              <w:t>)</w:t>
            </w:r>
          </w:p>
        </w:tc>
        <w:tc>
          <w:tcPr>
            <w:tcW w:w="4248" w:type="dxa"/>
          </w:tcPr>
          <w:p w:rsidR="004C2EE3" w14:paraId="1D6D01C9" w14:textId="77777777">
            <w:pPr>
              <w:tabs>
                <w:tab w:val="center" w:pos="4680"/>
              </w:tabs>
              <w:suppressAutoHyphens/>
              <w:rPr>
                <w:spacing w:val="-2"/>
              </w:rPr>
            </w:pPr>
          </w:p>
          <w:p w:rsidR="00CF03AF" w14:paraId="2A661334" w14:textId="77777777">
            <w:pPr>
              <w:tabs>
                <w:tab w:val="center" w:pos="4680"/>
              </w:tabs>
              <w:suppressAutoHyphens/>
              <w:rPr>
                <w:spacing w:val="-2"/>
              </w:rPr>
            </w:pPr>
          </w:p>
          <w:p w:rsidR="00CF03AF" w14:paraId="6511C057" w14:textId="77777777">
            <w:pPr>
              <w:tabs>
                <w:tab w:val="center" w:pos="4680"/>
              </w:tabs>
              <w:suppressAutoHyphens/>
              <w:rPr>
                <w:spacing w:val="-2"/>
              </w:rPr>
            </w:pPr>
            <w:r>
              <w:rPr>
                <w:spacing w:val="-2"/>
              </w:rPr>
              <w:t>CG Docket No. 23-161</w:t>
            </w:r>
          </w:p>
          <w:p w:rsidR="00CF03AF" w14:paraId="01D8933A" w14:textId="77777777">
            <w:pPr>
              <w:tabs>
                <w:tab w:val="center" w:pos="4680"/>
              </w:tabs>
              <w:suppressAutoHyphens/>
              <w:rPr>
                <w:spacing w:val="-2"/>
              </w:rPr>
            </w:pPr>
          </w:p>
          <w:p w:rsidR="00CF03AF" w14:paraId="6158C6AF" w14:textId="77777777">
            <w:pPr>
              <w:tabs>
                <w:tab w:val="center" w:pos="4680"/>
              </w:tabs>
              <w:suppressAutoHyphens/>
              <w:rPr>
                <w:spacing w:val="-2"/>
              </w:rPr>
            </w:pPr>
            <w:r>
              <w:rPr>
                <w:spacing w:val="-2"/>
              </w:rPr>
              <w:t>CG Docket No. 10-213</w:t>
            </w:r>
          </w:p>
          <w:p w:rsidR="00CF03AF" w14:paraId="673FEE81" w14:textId="77777777">
            <w:pPr>
              <w:tabs>
                <w:tab w:val="center" w:pos="4680"/>
              </w:tabs>
              <w:suppressAutoHyphens/>
              <w:rPr>
                <w:spacing w:val="-2"/>
              </w:rPr>
            </w:pPr>
          </w:p>
          <w:p w:rsidR="00CF03AF" w14:paraId="14FE6343" w14:textId="77777777">
            <w:pPr>
              <w:tabs>
                <w:tab w:val="center" w:pos="4680"/>
              </w:tabs>
              <w:suppressAutoHyphens/>
              <w:rPr>
                <w:spacing w:val="-2"/>
              </w:rPr>
            </w:pPr>
          </w:p>
          <w:p w:rsidR="00CF03AF" w14:paraId="79B16EB5" w14:textId="77777777">
            <w:pPr>
              <w:tabs>
                <w:tab w:val="center" w:pos="4680"/>
              </w:tabs>
              <w:suppressAutoHyphens/>
              <w:rPr>
                <w:spacing w:val="-2"/>
              </w:rPr>
            </w:pPr>
          </w:p>
          <w:p w:rsidR="00CF03AF" w14:paraId="094EB07B" w14:textId="77777777">
            <w:pPr>
              <w:tabs>
                <w:tab w:val="center" w:pos="4680"/>
              </w:tabs>
              <w:suppressAutoHyphens/>
              <w:rPr>
                <w:spacing w:val="-2"/>
              </w:rPr>
            </w:pPr>
          </w:p>
          <w:p w:rsidR="00CF03AF" w14:paraId="49BF30BB" w14:textId="78634E9B">
            <w:pPr>
              <w:tabs>
                <w:tab w:val="center" w:pos="4680"/>
              </w:tabs>
              <w:suppressAutoHyphens/>
              <w:rPr>
                <w:spacing w:val="-2"/>
              </w:rPr>
            </w:pPr>
            <w:r>
              <w:rPr>
                <w:spacing w:val="-2"/>
              </w:rPr>
              <w:t>CG Docket No. 03-123</w:t>
            </w:r>
          </w:p>
          <w:p w:rsidR="00CF03AF" w14:paraId="7CCD79F4" w14:textId="77777777">
            <w:pPr>
              <w:tabs>
                <w:tab w:val="center" w:pos="4680"/>
              </w:tabs>
              <w:suppressAutoHyphens/>
              <w:rPr>
                <w:spacing w:val="-2"/>
              </w:rPr>
            </w:pPr>
          </w:p>
          <w:p w:rsidR="00CF03AF" w14:paraId="34EAB5E7" w14:textId="6DF9D0B5">
            <w:pPr>
              <w:tabs>
                <w:tab w:val="center" w:pos="4680"/>
              </w:tabs>
              <w:suppressAutoHyphens/>
              <w:rPr>
                <w:spacing w:val="-2"/>
              </w:rPr>
            </w:pPr>
          </w:p>
        </w:tc>
      </w:tr>
    </w:tbl>
    <w:p w:rsidR="004C2EE3" w:rsidP="0070224F" w14:paraId="6523A5D9" w14:textId="77777777"/>
    <w:p w:rsidR="00841AB1" w:rsidP="00F021FA" w14:paraId="239E5165" w14:textId="0F73671A">
      <w:pPr>
        <w:pStyle w:val="StyleBoldCentered"/>
      </w:pPr>
      <w:r>
        <w:t>Order</w:t>
      </w:r>
    </w:p>
    <w:p w:rsidR="004C2EE3" w14:paraId="0BA5682F" w14:textId="77777777">
      <w:pPr>
        <w:tabs>
          <w:tab w:val="left" w:pos="-720"/>
        </w:tabs>
        <w:suppressAutoHyphens/>
        <w:spacing w:line="227" w:lineRule="auto"/>
        <w:rPr>
          <w:spacing w:val="-2"/>
        </w:rPr>
      </w:pPr>
    </w:p>
    <w:p w:rsidR="004C2EE3" w:rsidP="00133F79" w14:paraId="639A9A67" w14:textId="19A7AF72">
      <w:pPr>
        <w:tabs>
          <w:tab w:val="left" w:pos="720"/>
          <w:tab w:val="right" w:pos="9360"/>
        </w:tabs>
        <w:suppressAutoHyphens/>
        <w:spacing w:line="227" w:lineRule="auto"/>
        <w:rPr>
          <w:spacing w:val="-2"/>
        </w:rPr>
      </w:pPr>
      <w:r>
        <w:rPr>
          <w:b/>
          <w:spacing w:val="-2"/>
        </w:rPr>
        <w:t xml:space="preserve">Adopted:  </w:t>
      </w:r>
      <w:r w:rsidR="00CF03AF">
        <w:rPr>
          <w:b/>
          <w:spacing w:val="-2"/>
        </w:rPr>
        <w:t xml:space="preserve">June </w:t>
      </w:r>
      <w:r w:rsidR="00024D3B">
        <w:rPr>
          <w:b/>
          <w:spacing w:val="-2"/>
        </w:rPr>
        <w:t>10</w:t>
      </w:r>
      <w:r w:rsidR="00CF03AF">
        <w:rPr>
          <w:b/>
          <w:spacing w:val="-2"/>
        </w:rPr>
        <w:t>, 2024</w:t>
      </w:r>
      <w:r>
        <w:rPr>
          <w:b/>
          <w:spacing w:val="-2"/>
        </w:rPr>
        <w:tab/>
      </w:r>
      <w:r w:rsidR="00822CE0">
        <w:rPr>
          <w:b/>
          <w:spacing w:val="-2"/>
        </w:rPr>
        <w:t>Released</w:t>
      </w:r>
      <w:r>
        <w:rPr>
          <w:b/>
          <w:spacing w:val="-2"/>
        </w:rPr>
        <w:t>:</w:t>
      </w:r>
      <w:r w:rsidR="00822CE0">
        <w:rPr>
          <w:b/>
          <w:spacing w:val="-2"/>
        </w:rPr>
        <w:t xml:space="preserve"> </w:t>
      </w:r>
      <w:r>
        <w:rPr>
          <w:b/>
          <w:spacing w:val="-2"/>
        </w:rPr>
        <w:t xml:space="preserve"> </w:t>
      </w:r>
      <w:r w:rsidR="00CF03AF">
        <w:rPr>
          <w:b/>
          <w:spacing w:val="-2"/>
        </w:rPr>
        <w:t xml:space="preserve">June </w:t>
      </w:r>
      <w:r w:rsidR="00024D3B">
        <w:rPr>
          <w:b/>
          <w:spacing w:val="-2"/>
        </w:rPr>
        <w:t>10</w:t>
      </w:r>
      <w:r w:rsidR="00CF03AF">
        <w:rPr>
          <w:b/>
          <w:spacing w:val="-2"/>
        </w:rPr>
        <w:t>, 2024</w:t>
      </w:r>
    </w:p>
    <w:p w:rsidR="00822CE0" w14:paraId="3D225EA0" w14:textId="77777777"/>
    <w:p w:rsidR="004C2EE3" w14:paraId="6A94E79B" w14:textId="56858477">
      <w:pPr>
        <w:rPr>
          <w:spacing w:val="-2"/>
        </w:rPr>
      </w:pPr>
      <w:r>
        <w:t xml:space="preserve">By </w:t>
      </w:r>
      <w:r w:rsidR="004E4A22">
        <w:t>the</w:t>
      </w:r>
      <w:r w:rsidR="002A2D2E">
        <w:t xml:space="preserve"> </w:t>
      </w:r>
      <w:r w:rsidR="00CF03AF">
        <w:rPr>
          <w:spacing w:val="-2"/>
        </w:rPr>
        <w:t>Chief, Consumer and Governmental Affairs Bureau</w:t>
      </w:r>
      <w:r>
        <w:rPr>
          <w:spacing w:val="-2"/>
        </w:rPr>
        <w:t>:</w:t>
      </w:r>
    </w:p>
    <w:p w:rsidR="00822CE0" w14:paraId="6D860A16" w14:textId="77777777">
      <w:pPr>
        <w:rPr>
          <w:spacing w:val="-2"/>
        </w:rPr>
      </w:pPr>
    </w:p>
    <w:p w:rsidR="00412FC5" w:rsidP="00D80DBA" w14:paraId="4A3DD398" w14:textId="02849E49">
      <w:pPr>
        <w:pStyle w:val="ParaNum"/>
        <w:numPr>
          <w:ilvl w:val="0"/>
          <w:numId w:val="8"/>
        </w:numPr>
        <w:ind w:left="0" w:firstLine="720"/>
      </w:pPr>
      <w:r>
        <w:t>The Consumer and Governmental Affairs Bureau (CGB or Bureau), on its own motion, extends the existing limited waiver of the Video Relay Service (VRS) privacy screen rule until December 31, 2024, or the effective date of Commission action modifying the rule, if earlier.</w:t>
      </w:r>
      <w:r>
        <w:rPr>
          <w:rStyle w:val="FootnoteReference"/>
        </w:rPr>
        <w:footnoteReference w:id="3"/>
      </w:r>
      <w:r>
        <w:t xml:space="preserve">  The Commission initially </w:t>
      </w:r>
      <w:r w:rsidRPr="00E82C10">
        <w:t xml:space="preserve">granted a temporary, limited waiver of the privacy screen rule for one year </w:t>
      </w:r>
      <w:r>
        <w:t xml:space="preserve">in an order accompanying the </w:t>
      </w:r>
      <w:r w:rsidRPr="24F48353">
        <w:rPr>
          <w:i/>
          <w:iCs/>
        </w:rPr>
        <w:t>2023 Video Conferencing Notice,</w:t>
      </w:r>
      <w:r w:rsidRPr="00E82C10">
        <w:t xml:space="preserve"> </w:t>
      </w:r>
      <w:r>
        <w:t xml:space="preserve">thereby </w:t>
      </w:r>
      <w:r w:rsidRPr="00E82C10">
        <w:t xml:space="preserve">allowing </w:t>
      </w:r>
      <w:r>
        <w:t xml:space="preserve">VRS users </w:t>
      </w:r>
      <w:r w:rsidRPr="00E82C10">
        <w:t xml:space="preserve">and </w:t>
      </w:r>
      <w:r>
        <w:t>communications assistants (</w:t>
      </w:r>
      <w:r w:rsidRPr="00E82C10">
        <w:t>CAs</w:t>
      </w:r>
      <w:r>
        <w:t>)</w:t>
      </w:r>
      <w:r w:rsidRPr="00E82C10">
        <w:t xml:space="preserve"> on video conferenc</w:t>
      </w:r>
      <w:r w:rsidR="007F7D1E">
        <w:t>es</w:t>
      </w:r>
      <w:r w:rsidRPr="00E82C10">
        <w:t xml:space="preserve"> to turn off their videos when not actively participating in the call, subject to certain conditions.</w:t>
      </w:r>
      <w:r>
        <w:rPr>
          <w:rStyle w:val="FootnoteReference"/>
        </w:rPr>
        <w:footnoteReference w:id="4"/>
      </w:r>
      <w:r>
        <w:t xml:space="preserve">  W</w:t>
      </w:r>
      <w:r w:rsidRPr="00421FB1">
        <w:t xml:space="preserve">e </w:t>
      </w:r>
      <w:r>
        <w:t xml:space="preserve">now </w:t>
      </w:r>
      <w:r w:rsidRPr="00421FB1">
        <w:t xml:space="preserve">extend the existing waiver to ensure that </w:t>
      </w:r>
      <w:r w:rsidR="0027032C">
        <w:t>V</w:t>
      </w:r>
      <w:r w:rsidRPr="00421FB1">
        <w:t xml:space="preserve">RS users </w:t>
      </w:r>
      <w:r w:rsidR="00AD555D">
        <w:t xml:space="preserve">and CAs </w:t>
      </w:r>
      <w:r w:rsidR="00AE69BD">
        <w:t>in</w:t>
      </w:r>
      <w:r w:rsidRPr="00421FB1">
        <w:t xml:space="preserve"> video conferenc</w:t>
      </w:r>
      <w:r w:rsidR="00AE69BD">
        <w:t>es</w:t>
      </w:r>
      <w:r w:rsidRPr="00421FB1">
        <w:t xml:space="preserve"> calls </w:t>
      </w:r>
      <w:r>
        <w:t xml:space="preserve">continue to </w:t>
      </w:r>
      <w:r w:rsidRPr="00421FB1">
        <w:t>have the same opportunity as other participants to turn their cameras off when not speaking</w:t>
      </w:r>
      <w:r>
        <w:t xml:space="preserve">, pending the Commission’s consideration of proposed modifications to the </w:t>
      </w:r>
      <w:r w:rsidR="00F462D5">
        <w:t xml:space="preserve">privacy screen </w:t>
      </w:r>
      <w:r>
        <w:t>rule</w:t>
      </w:r>
      <w:r w:rsidRPr="00421FB1">
        <w:t>.</w:t>
      </w:r>
      <w:r>
        <w:rPr>
          <w:rStyle w:val="FootnoteReference"/>
        </w:rPr>
        <w:footnoteReference w:id="5"/>
      </w:r>
    </w:p>
    <w:p w:rsidR="00DC027D" w:rsidP="00D80DBA" w14:paraId="24574BF6" w14:textId="77777777">
      <w:pPr>
        <w:pStyle w:val="ParaNum"/>
        <w:numPr>
          <w:ilvl w:val="0"/>
          <w:numId w:val="8"/>
        </w:numPr>
        <w:ind w:left="0" w:firstLine="720"/>
        <w:rPr>
          <w:szCs w:val="22"/>
        </w:rPr>
      </w:pPr>
      <w:r w:rsidRPr="00E00F5A">
        <w:rPr>
          <w:i/>
          <w:iCs/>
          <w:szCs w:val="22"/>
        </w:rPr>
        <w:t xml:space="preserve">Background. </w:t>
      </w:r>
      <w:r w:rsidRPr="00E00F5A">
        <w:rPr>
          <w:szCs w:val="22"/>
        </w:rPr>
        <w:t xml:space="preserve"> </w:t>
      </w:r>
      <w:r w:rsidRPr="004645AF">
        <w:rPr>
          <w:szCs w:val="22"/>
        </w:rPr>
        <w:t xml:space="preserve">A </w:t>
      </w:r>
      <w:r>
        <w:rPr>
          <w:szCs w:val="22"/>
        </w:rPr>
        <w:t xml:space="preserve">visual </w:t>
      </w:r>
      <w:r w:rsidRPr="004645AF">
        <w:rPr>
          <w:szCs w:val="22"/>
        </w:rPr>
        <w:t xml:space="preserve">privacy screen is a feature that </w:t>
      </w:r>
      <w:r w:rsidRPr="00DA4354">
        <w:t>prevents</w:t>
      </w:r>
      <w:r w:rsidRPr="004645AF">
        <w:rPr>
          <w:szCs w:val="22"/>
        </w:rPr>
        <w:t xml:space="preserve"> one party on the video leg of a VRS call from viewing the other party.</w:t>
      </w:r>
      <w:r>
        <w:rPr>
          <w:rStyle w:val="FootnoteReference"/>
          <w:szCs w:val="22"/>
        </w:rPr>
        <w:footnoteReference w:id="6"/>
      </w:r>
      <w:r w:rsidRPr="004645AF">
        <w:rPr>
          <w:szCs w:val="22"/>
        </w:rPr>
        <w:t xml:space="preserve">  The privacy screen rule </w:t>
      </w:r>
      <w:r w:rsidRPr="00F8564D">
        <w:rPr>
          <w:szCs w:val="22"/>
        </w:rPr>
        <w:t>prohibit</w:t>
      </w:r>
      <w:r>
        <w:rPr>
          <w:szCs w:val="22"/>
        </w:rPr>
        <w:t>s</w:t>
      </w:r>
      <w:r w:rsidRPr="00F8564D">
        <w:rPr>
          <w:szCs w:val="22"/>
        </w:rPr>
        <w:t xml:space="preserve"> a VRS CA from enabling a visual privacy screen or similar feature during a VRS call </w:t>
      </w:r>
      <w:r>
        <w:rPr>
          <w:szCs w:val="22"/>
        </w:rPr>
        <w:t xml:space="preserve">and </w:t>
      </w:r>
      <w:r w:rsidRPr="004645AF">
        <w:rPr>
          <w:szCs w:val="22"/>
        </w:rPr>
        <w:t xml:space="preserve">requires </w:t>
      </w:r>
      <w:r>
        <w:rPr>
          <w:szCs w:val="22"/>
        </w:rPr>
        <w:t xml:space="preserve">a </w:t>
      </w:r>
      <w:r w:rsidRPr="004645AF">
        <w:rPr>
          <w:szCs w:val="22"/>
        </w:rPr>
        <w:t>CA to disconnect a VRS call if the caller or called party enables a privacy screen or similar feature for more than five minutes or is otherwise unresponsive for more than five minutes.</w:t>
      </w:r>
      <w:r>
        <w:rPr>
          <w:rStyle w:val="FootnoteReference"/>
          <w:szCs w:val="22"/>
        </w:rPr>
        <w:footnoteReference w:id="7"/>
      </w:r>
      <w:r w:rsidRPr="004645AF">
        <w:rPr>
          <w:szCs w:val="22"/>
        </w:rPr>
        <w:t xml:space="preserve">   </w:t>
      </w:r>
    </w:p>
    <w:p w:rsidR="00DC027D" w:rsidP="00D80DBA" w14:paraId="4409E712" w14:textId="2DCA96EA">
      <w:pPr>
        <w:pStyle w:val="ParaNum"/>
        <w:numPr>
          <w:ilvl w:val="0"/>
          <w:numId w:val="8"/>
        </w:numPr>
        <w:ind w:left="0" w:firstLine="720"/>
        <w:rPr>
          <w:szCs w:val="22"/>
        </w:rPr>
      </w:pPr>
      <w:r>
        <w:rPr>
          <w:szCs w:val="22"/>
        </w:rPr>
        <w:t>I</w:t>
      </w:r>
      <w:r w:rsidRPr="00E00F5A">
        <w:rPr>
          <w:szCs w:val="22"/>
        </w:rPr>
        <w:t xml:space="preserve">n June 2023, </w:t>
      </w:r>
      <w:r>
        <w:rPr>
          <w:szCs w:val="22"/>
        </w:rPr>
        <w:t>the Commission</w:t>
      </w:r>
      <w:r w:rsidRPr="00E00F5A">
        <w:rPr>
          <w:szCs w:val="22"/>
        </w:rPr>
        <w:t xml:space="preserve"> </w:t>
      </w:r>
      <w:r w:rsidRPr="00EE706C">
        <w:t>propos</w:t>
      </w:r>
      <w:r>
        <w:t>ed</w:t>
      </w:r>
      <w:r w:rsidRPr="00E00F5A">
        <w:rPr>
          <w:szCs w:val="22"/>
        </w:rPr>
        <w:t xml:space="preserve"> to amend the privacy screen rule</w:t>
      </w:r>
      <w:r>
        <w:rPr>
          <w:szCs w:val="22"/>
        </w:rPr>
        <w:t xml:space="preserve"> in the context of video conferencing</w:t>
      </w:r>
      <w:r w:rsidRPr="00E00F5A">
        <w:rPr>
          <w:szCs w:val="22"/>
        </w:rPr>
        <w:t>, recogniz</w:t>
      </w:r>
      <w:r>
        <w:rPr>
          <w:szCs w:val="22"/>
        </w:rPr>
        <w:t>ing</w:t>
      </w:r>
      <w:r w:rsidRPr="00E00F5A">
        <w:rPr>
          <w:szCs w:val="22"/>
        </w:rPr>
        <w:t xml:space="preserve"> that there are many reasons why a participant in a video conferenc</w:t>
      </w:r>
      <w:r>
        <w:rPr>
          <w:szCs w:val="22"/>
        </w:rPr>
        <w:t>e</w:t>
      </w:r>
      <w:r w:rsidRPr="00E00F5A">
        <w:rPr>
          <w:szCs w:val="22"/>
        </w:rPr>
        <w:t xml:space="preserve"> may turn off the camera while still </w:t>
      </w:r>
      <w:r>
        <w:rPr>
          <w:szCs w:val="22"/>
        </w:rPr>
        <w:t>being engaged in the video conference</w:t>
      </w:r>
      <w:r w:rsidRPr="00E00F5A">
        <w:rPr>
          <w:szCs w:val="22"/>
        </w:rPr>
        <w:t>.</w:t>
      </w:r>
      <w:r>
        <w:rPr>
          <w:rStyle w:val="FootnoteReference"/>
          <w:szCs w:val="22"/>
        </w:rPr>
        <w:footnoteReference w:id="8"/>
      </w:r>
      <w:r w:rsidRPr="00E00F5A">
        <w:rPr>
          <w:szCs w:val="22"/>
        </w:rPr>
        <w:t xml:space="preserve">  </w:t>
      </w:r>
      <w:r>
        <w:rPr>
          <w:szCs w:val="22"/>
        </w:rPr>
        <w:t>Pending action on its proposal, the Commission also granted a limited waiver of the privacy screen rule for all VRS providers.</w:t>
      </w:r>
      <w:r>
        <w:rPr>
          <w:rStyle w:val="FootnoteReference"/>
          <w:szCs w:val="22"/>
        </w:rPr>
        <w:footnoteReference w:id="9"/>
      </w:r>
      <w:r>
        <w:rPr>
          <w:szCs w:val="22"/>
        </w:rPr>
        <w:t xml:space="preserve">  Seeking to “allow VRS providers flexibility to begin providing VRS integrated with video conferencing service without unduly disrupting current video conferencing practices,”</w:t>
      </w:r>
      <w:r>
        <w:rPr>
          <w:rStyle w:val="FootnoteReference"/>
          <w:szCs w:val="22"/>
        </w:rPr>
        <w:footnoteReference w:id="10"/>
      </w:r>
      <w:r>
        <w:rPr>
          <w:szCs w:val="22"/>
        </w:rPr>
        <w:t xml:space="preserve"> the Commission reasoned that, to enable functionally equivalent participation in this “essential means of communication,”</w:t>
      </w:r>
      <w:r>
        <w:rPr>
          <w:rStyle w:val="FootnoteReference"/>
          <w:szCs w:val="22"/>
        </w:rPr>
        <w:footnoteReference w:id="11"/>
      </w:r>
      <w:r>
        <w:rPr>
          <w:szCs w:val="22"/>
        </w:rPr>
        <w:t xml:space="preserve"> </w:t>
      </w:r>
      <w:r w:rsidRPr="00E00F5A">
        <w:rPr>
          <w:szCs w:val="22"/>
        </w:rPr>
        <w:t>VRS users should have the same opportunity (and responsibility when asked) as hearing individuals to participate in a call with their cameras turned off.</w:t>
      </w:r>
      <w:r>
        <w:rPr>
          <w:rStyle w:val="FootnoteReference"/>
          <w:szCs w:val="22"/>
        </w:rPr>
        <w:footnoteReference w:id="12"/>
      </w:r>
      <w:r w:rsidRPr="00E00F5A">
        <w:rPr>
          <w:szCs w:val="22"/>
        </w:rPr>
        <w:t xml:space="preserve"> </w:t>
      </w:r>
      <w:r>
        <w:rPr>
          <w:szCs w:val="22"/>
        </w:rPr>
        <w:t xml:space="preserve"> In addition, the Commission found that, a</w:t>
      </w:r>
      <w:r w:rsidRPr="00AA6257">
        <w:rPr>
          <w:szCs w:val="22"/>
        </w:rPr>
        <w:t xml:space="preserve">bsent a waiver, </w:t>
      </w:r>
      <w:r>
        <w:rPr>
          <w:szCs w:val="22"/>
        </w:rPr>
        <w:t>“</w:t>
      </w:r>
      <w:r w:rsidRPr="00AA6257">
        <w:rPr>
          <w:szCs w:val="22"/>
        </w:rPr>
        <w:t>the privacy screen rule would substantially restrict the ability of VRS providers to explore promising technologies for the provision of such integrated VRS.</w:t>
      </w:r>
      <w:r>
        <w:rPr>
          <w:szCs w:val="22"/>
        </w:rPr>
        <w:t>”</w:t>
      </w:r>
      <w:r>
        <w:rPr>
          <w:rStyle w:val="FootnoteReference"/>
          <w:szCs w:val="22"/>
        </w:rPr>
        <w:footnoteReference w:id="13"/>
      </w:r>
    </w:p>
    <w:p w:rsidR="00A526B5" w:rsidP="00D80DBA" w14:paraId="7426ECE7" w14:textId="77777777">
      <w:pPr>
        <w:pStyle w:val="ParaNum"/>
        <w:numPr>
          <w:ilvl w:val="0"/>
          <w:numId w:val="8"/>
        </w:numPr>
        <w:ind w:left="0" w:firstLine="720"/>
        <w:rPr>
          <w:szCs w:val="22"/>
        </w:rPr>
      </w:pPr>
      <w:r w:rsidRPr="00E00F5A">
        <w:rPr>
          <w:i/>
          <w:iCs/>
          <w:szCs w:val="22"/>
        </w:rPr>
        <w:t>Waiver Standard</w:t>
      </w:r>
      <w:r w:rsidRPr="00E00F5A">
        <w:rPr>
          <w:szCs w:val="22"/>
        </w:rPr>
        <w:t xml:space="preserve">. </w:t>
      </w:r>
      <w:r>
        <w:rPr>
          <w:szCs w:val="22"/>
        </w:rPr>
        <w:t xml:space="preserve"> </w:t>
      </w:r>
      <w:r w:rsidRPr="504484E8">
        <w:t xml:space="preserve">A </w:t>
      </w:r>
      <w:r w:rsidRPr="00E00F5A">
        <w:rPr>
          <w:szCs w:val="22"/>
        </w:rPr>
        <w:t>Commission rule may be waived for “good cause shown.”</w:t>
      </w:r>
      <w:r>
        <w:rPr>
          <w:rStyle w:val="FootnoteReference"/>
          <w:sz w:val="22"/>
          <w:szCs w:val="22"/>
        </w:rPr>
        <w:footnoteReference w:id="14"/>
      </w:r>
      <w:r w:rsidRPr="00E00F5A">
        <w:rPr>
          <w:szCs w:val="22"/>
        </w:rPr>
        <w:t xml:space="preserve">  In particular, a waiver is appropriate where the particular facts make strict compliance inconsistent with the public interest.</w:t>
      </w:r>
      <w:r>
        <w:rPr>
          <w:rStyle w:val="FootnoteReference"/>
          <w:sz w:val="22"/>
          <w:szCs w:val="22"/>
        </w:rPr>
        <w:footnoteReference w:id="15"/>
      </w:r>
      <w:r w:rsidRPr="00E00F5A">
        <w:rPr>
          <w:szCs w:val="22"/>
        </w:rPr>
        <w:t xml:space="preserve">  In addition, we may take into account considerations of hardship, equity, or more effective implementation of overall policy on an individual basis.</w:t>
      </w:r>
      <w:r>
        <w:rPr>
          <w:rStyle w:val="FootnoteReference"/>
          <w:sz w:val="22"/>
          <w:szCs w:val="22"/>
        </w:rPr>
        <w:footnoteReference w:id="16"/>
      </w:r>
      <w:r w:rsidRPr="00E00F5A">
        <w:rPr>
          <w:szCs w:val="22"/>
        </w:rPr>
        <w:t xml:space="preserve">  Good cause for a waiver may be found if special circumstances warrant a deviation from the general rule and such deviation will serve the public interest.</w:t>
      </w:r>
      <w:r>
        <w:rPr>
          <w:rStyle w:val="FootnoteReference"/>
          <w:sz w:val="22"/>
          <w:szCs w:val="22"/>
        </w:rPr>
        <w:footnoteReference w:id="17"/>
      </w:r>
    </w:p>
    <w:p w:rsidR="00A526B5" w:rsidP="00D80DBA" w14:paraId="145B3E64" w14:textId="0A7B4078">
      <w:pPr>
        <w:pStyle w:val="ParaNum"/>
        <w:numPr>
          <w:ilvl w:val="0"/>
          <w:numId w:val="8"/>
        </w:numPr>
        <w:ind w:left="0" w:firstLine="720"/>
        <w:rPr>
          <w:szCs w:val="22"/>
        </w:rPr>
      </w:pPr>
      <w:r>
        <w:rPr>
          <w:i/>
          <w:iCs/>
          <w:szCs w:val="22"/>
        </w:rPr>
        <w:t xml:space="preserve">Discussion.  </w:t>
      </w:r>
      <w:r>
        <w:rPr>
          <w:szCs w:val="22"/>
        </w:rPr>
        <w:t>Th</w:t>
      </w:r>
      <w:r w:rsidRPr="00E00F5A">
        <w:rPr>
          <w:szCs w:val="22"/>
        </w:rPr>
        <w:t xml:space="preserve">e </w:t>
      </w:r>
      <w:r>
        <w:rPr>
          <w:szCs w:val="22"/>
        </w:rPr>
        <w:t xml:space="preserve">Bureau </w:t>
      </w:r>
      <w:r w:rsidRPr="00E00F5A">
        <w:rPr>
          <w:szCs w:val="22"/>
        </w:rPr>
        <w:t>find</w:t>
      </w:r>
      <w:r>
        <w:rPr>
          <w:szCs w:val="22"/>
        </w:rPr>
        <w:t>s</w:t>
      </w:r>
      <w:r w:rsidRPr="00E00F5A">
        <w:rPr>
          <w:szCs w:val="22"/>
        </w:rPr>
        <w:t xml:space="preserve"> </w:t>
      </w:r>
      <w:r>
        <w:rPr>
          <w:szCs w:val="22"/>
        </w:rPr>
        <w:t xml:space="preserve">that </w:t>
      </w:r>
      <w:r w:rsidRPr="00E00F5A">
        <w:rPr>
          <w:szCs w:val="22"/>
        </w:rPr>
        <w:t>there are special circumstances establishing good cause for a</w:t>
      </w:r>
      <w:r>
        <w:rPr>
          <w:szCs w:val="22"/>
        </w:rPr>
        <w:t xml:space="preserve">n </w:t>
      </w:r>
      <w:r w:rsidRPr="00E00F5A">
        <w:rPr>
          <w:szCs w:val="22"/>
        </w:rPr>
        <w:t>extension of the expiration date of this waiver, to avoid an undesirable lapse in the application of this waiver to VRS users and providers.</w:t>
      </w:r>
      <w:r>
        <w:rPr>
          <w:rStyle w:val="FootnoteReference"/>
          <w:szCs w:val="22"/>
        </w:rPr>
        <w:footnoteReference w:id="18"/>
      </w:r>
      <w:r w:rsidRPr="00E00F5A">
        <w:rPr>
          <w:szCs w:val="22"/>
        </w:rPr>
        <w:t xml:space="preserve">  Allowing the current waiver to expire before the effective date of </w:t>
      </w:r>
      <w:r>
        <w:rPr>
          <w:szCs w:val="22"/>
        </w:rPr>
        <w:t xml:space="preserve">a potential </w:t>
      </w:r>
      <w:r w:rsidRPr="00E00F5A">
        <w:rPr>
          <w:szCs w:val="22"/>
        </w:rPr>
        <w:t xml:space="preserve">rule change would needlessly impose a burden on VRS users and CAs when the Commission has determined that </w:t>
      </w:r>
      <w:r>
        <w:rPr>
          <w:szCs w:val="22"/>
        </w:rPr>
        <w:t xml:space="preserve">a limited waiver of this </w:t>
      </w:r>
      <w:r w:rsidRPr="00E00F5A">
        <w:rPr>
          <w:szCs w:val="22"/>
        </w:rPr>
        <w:t xml:space="preserve">rule </w:t>
      </w:r>
      <w:r>
        <w:rPr>
          <w:szCs w:val="22"/>
        </w:rPr>
        <w:t>to allow functionally equivalent participation i</w:t>
      </w:r>
      <w:r w:rsidRPr="00E00F5A">
        <w:rPr>
          <w:szCs w:val="22"/>
        </w:rPr>
        <w:t xml:space="preserve">n video conferencing calls is in the public interest. </w:t>
      </w:r>
      <w:r>
        <w:rPr>
          <w:szCs w:val="22"/>
        </w:rPr>
        <w:t xml:space="preserve"> </w:t>
      </w:r>
      <w:r w:rsidRPr="00E00F5A">
        <w:rPr>
          <w:szCs w:val="22"/>
        </w:rPr>
        <w:t>Therefore, we extend this</w:t>
      </w:r>
      <w:r>
        <w:rPr>
          <w:szCs w:val="22"/>
        </w:rPr>
        <w:t xml:space="preserve"> </w:t>
      </w:r>
      <w:r w:rsidRPr="00E00F5A">
        <w:rPr>
          <w:szCs w:val="22"/>
        </w:rPr>
        <w:t xml:space="preserve">waiver, on our own motion, until </w:t>
      </w:r>
      <w:r>
        <w:rPr>
          <w:szCs w:val="22"/>
        </w:rPr>
        <w:t xml:space="preserve">the </w:t>
      </w:r>
      <w:r w:rsidRPr="00E00F5A">
        <w:rPr>
          <w:szCs w:val="22"/>
        </w:rPr>
        <w:t>date specified above</w:t>
      </w:r>
      <w:r>
        <w:rPr>
          <w:szCs w:val="22"/>
        </w:rPr>
        <w:t xml:space="preserve">.  </w:t>
      </w:r>
    </w:p>
    <w:p w:rsidR="001733D5" w:rsidP="00D80DBA" w14:paraId="0C3ACFB0" w14:textId="77777777">
      <w:pPr>
        <w:pStyle w:val="ParaNum"/>
        <w:numPr>
          <w:ilvl w:val="0"/>
          <w:numId w:val="8"/>
        </w:numPr>
        <w:ind w:left="0" w:firstLine="720"/>
        <w:rPr>
          <w:szCs w:val="22"/>
        </w:rPr>
      </w:pPr>
      <w:r>
        <w:rPr>
          <w:szCs w:val="22"/>
        </w:rPr>
        <w:t>This extended waiver is granted subject to the same conditions imposed by the Commission in the initial grant.  Specifically, a VRS provider relying on this waiver:</w:t>
      </w:r>
    </w:p>
    <w:p w:rsidR="001733D5" w:rsidP="001733D5" w14:paraId="473E38DA" w14:textId="77777777">
      <w:pPr>
        <w:pStyle w:val="ParaNum"/>
        <w:numPr>
          <w:ilvl w:val="0"/>
          <w:numId w:val="7"/>
        </w:numPr>
        <w:rPr>
          <w:szCs w:val="22"/>
        </w:rPr>
      </w:pPr>
      <w:r>
        <w:rPr>
          <w:szCs w:val="22"/>
        </w:rPr>
        <w:t xml:space="preserve">Shall </w:t>
      </w:r>
      <w:r w:rsidRPr="00A17213">
        <w:rPr>
          <w:szCs w:val="22"/>
        </w:rPr>
        <w:t>identify in its monthly compensation requests every video conference call in which VRS is provided on an integrated basis</w:t>
      </w:r>
      <w:r>
        <w:rPr>
          <w:szCs w:val="22"/>
        </w:rPr>
        <w:t>;</w:t>
      </w:r>
    </w:p>
    <w:p w:rsidR="001733D5" w:rsidP="001733D5" w14:paraId="3917D997" w14:textId="77777777">
      <w:pPr>
        <w:pStyle w:val="ParaNum"/>
        <w:numPr>
          <w:ilvl w:val="0"/>
          <w:numId w:val="7"/>
        </w:numPr>
        <w:rPr>
          <w:szCs w:val="22"/>
        </w:rPr>
      </w:pPr>
      <w:r>
        <w:rPr>
          <w:szCs w:val="22"/>
        </w:rPr>
        <w:t>Shall</w:t>
      </w:r>
      <w:r w:rsidRPr="00A17213">
        <w:rPr>
          <w:szCs w:val="22"/>
        </w:rPr>
        <w:t xml:space="preserve"> provide the TRS Fund administrator with all information reasonably requested to determine TRS Fund payments and the compensability of such video conference calls</w:t>
      </w:r>
      <w:r>
        <w:rPr>
          <w:szCs w:val="22"/>
        </w:rPr>
        <w:t>;</w:t>
      </w:r>
      <w:r w:rsidRPr="00A17213">
        <w:rPr>
          <w:szCs w:val="22"/>
        </w:rPr>
        <w:t xml:space="preserve">  </w:t>
      </w:r>
    </w:p>
    <w:p w:rsidR="001733D5" w:rsidRPr="00A17213" w:rsidP="001733D5" w14:paraId="630339E3" w14:textId="77777777">
      <w:pPr>
        <w:pStyle w:val="ParaNum"/>
        <w:numPr>
          <w:ilvl w:val="0"/>
          <w:numId w:val="7"/>
        </w:numPr>
        <w:rPr>
          <w:szCs w:val="22"/>
        </w:rPr>
      </w:pPr>
      <w:r>
        <w:rPr>
          <w:szCs w:val="22"/>
        </w:rPr>
        <w:t>Shall</w:t>
      </w:r>
      <w:r w:rsidRPr="00A17213">
        <w:rPr>
          <w:szCs w:val="22"/>
        </w:rPr>
        <w:t xml:space="preserve"> prominently display a notice to its VRS consumers connecting to video conferencing services </w:t>
      </w:r>
      <w:r>
        <w:rPr>
          <w:szCs w:val="22"/>
        </w:rPr>
        <w:t>on an integrated basis, which shall remain in place until termination of this waiver, stating th</w:t>
      </w:r>
      <w:r w:rsidRPr="00A17213">
        <w:rPr>
          <w:szCs w:val="22"/>
        </w:rPr>
        <w:t>at:</w:t>
      </w:r>
    </w:p>
    <w:p w:rsidR="001733D5" w:rsidRPr="00A17213" w:rsidP="00493C0A" w14:paraId="0DD0B6F9" w14:textId="77777777">
      <w:pPr>
        <w:pStyle w:val="ParaNum"/>
        <w:numPr>
          <w:ilvl w:val="0"/>
          <w:numId w:val="2"/>
        </w:numPr>
        <w:rPr>
          <w:szCs w:val="22"/>
        </w:rPr>
      </w:pPr>
      <w:r w:rsidRPr="00A17213">
        <w:rPr>
          <w:szCs w:val="22"/>
        </w:rPr>
        <w:t>Th</w:t>
      </w:r>
      <w:r>
        <w:rPr>
          <w:szCs w:val="22"/>
        </w:rPr>
        <w:t>e</w:t>
      </w:r>
      <w:r w:rsidRPr="00A17213">
        <w:rPr>
          <w:szCs w:val="22"/>
        </w:rPr>
        <w:t xml:space="preserve"> application </w:t>
      </w:r>
      <w:r>
        <w:rPr>
          <w:szCs w:val="22"/>
        </w:rPr>
        <w:t xml:space="preserve">used to </w:t>
      </w:r>
      <w:r w:rsidRPr="00A17213">
        <w:rPr>
          <w:szCs w:val="22"/>
        </w:rPr>
        <w:t>connect</w:t>
      </w:r>
      <w:r>
        <w:rPr>
          <w:szCs w:val="22"/>
        </w:rPr>
        <w:t xml:space="preserve"> VRS</w:t>
      </w:r>
      <w:r w:rsidRPr="00A17213">
        <w:rPr>
          <w:szCs w:val="22"/>
        </w:rPr>
        <w:t xml:space="preserve"> to video conferencing services is in development and its features and functions may change as development continues;</w:t>
      </w:r>
    </w:p>
    <w:p w:rsidR="001733D5" w:rsidRPr="00A17213" w:rsidP="001733D5" w14:paraId="1B082B74" w14:textId="77777777">
      <w:pPr>
        <w:pStyle w:val="ParaNum"/>
        <w:numPr>
          <w:ilvl w:val="0"/>
          <w:numId w:val="2"/>
        </w:numPr>
        <w:rPr>
          <w:szCs w:val="22"/>
        </w:rPr>
      </w:pPr>
      <w:r w:rsidRPr="00A17213">
        <w:rPr>
          <w:szCs w:val="22"/>
        </w:rPr>
        <w:t>At this time, this application allows connections with only [name applicable IVCS providers] and not all video conferencing services; and,</w:t>
      </w:r>
    </w:p>
    <w:p w:rsidR="00DC027D" w:rsidP="00493C0A" w14:paraId="3CC673DA" w14:textId="7A5548D4">
      <w:pPr>
        <w:pStyle w:val="ParaNum"/>
        <w:numPr>
          <w:ilvl w:val="0"/>
          <w:numId w:val="2"/>
        </w:numPr>
        <w:rPr>
          <w:szCs w:val="22"/>
        </w:rPr>
      </w:pPr>
      <w:r w:rsidRPr="00A17213">
        <w:rPr>
          <w:szCs w:val="22"/>
        </w:rPr>
        <w:t>Consumers should contact a [name of VRS provider] representative at EMAIL/NUMBER if they cannot connect to a [name applicable IVCS provider] video conference with the application or if the application fails during a [name applicable IVCS provider] video conference after an initial connection.</w:t>
      </w:r>
      <w:r>
        <w:rPr>
          <w:rStyle w:val="FootnoteReference"/>
          <w:szCs w:val="22"/>
        </w:rPr>
        <w:footnoteReference w:id="19"/>
      </w:r>
    </w:p>
    <w:p w:rsidR="00DA4354" w:rsidP="00D80DBA" w14:paraId="37D45487" w14:textId="77777777">
      <w:pPr>
        <w:pStyle w:val="ParaNum"/>
        <w:numPr>
          <w:ilvl w:val="0"/>
          <w:numId w:val="8"/>
        </w:numPr>
        <w:ind w:left="0" w:firstLine="720"/>
      </w:pPr>
      <w:r w:rsidRPr="000501A1">
        <w:rPr>
          <w:i/>
          <w:iCs/>
        </w:rPr>
        <w:t>People with Disabilities</w:t>
      </w:r>
      <w:r>
        <w:t>.</w:t>
      </w:r>
      <w:r w:rsidRPr="000501A1">
        <w:t xml:space="preserve">  To request </w:t>
      </w:r>
      <w:r w:rsidRPr="00DA4354">
        <w:rPr>
          <w:szCs w:val="22"/>
        </w:rPr>
        <w:t>materials</w:t>
      </w:r>
      <w:r w:rsidRPr="000501A1">
        <w:t xml:space="preserve"> in </w:t>
      </w:r>
      <w:r w:rsidRPr="00DA4354">
        <w:rPr>
          <w:szCs w:val="22"/>
        </w:rPr>
        <w:t>accessible</w:t>
      </w:r>
      <w:r w:rsidRPr="000501A1">
        <w:t xml:space="preserve"> formats for people with disabilities (Braille, large print, electronic files, audio format), send an e-mail to </w:t>
      </w:r>
      <w:hyperlink r:id="rId5" w:history="1">
        <w:r w:rsidRPr="00D275D1">
          <w:rPr>
            <w:rStyle w:val="Hyperlink"/>
          </w:rPr>
          <w:t>fcc504@fcc.gov</w:t>
        </w:r>
      </w:hyperlink>
      <w:r>
        <w:t xml:space="preserve"> </w:t>
      </w:r>
      <w:r w:rsidRPr="000501A1">
        <w:t>or call the Consumer and Governmental Affairs Bureau at 202-418-0530.</w:t>
      </w:r>
    </w:p>
    <w:p w:rsidR="00DA4354" w:rsidP="00D80DBA" w14:paraId="67BB99C7" w14:textId="77777777">
      <w:pPr>
        <w:pStyle w:val="ParaNum"/>
        <w:numPr>
          <w:ilvl w:val="0"/>
          <w:numId w:val="8"/>
        </w:numPr>
        <w:ind w:left="0" w:firstLine="720"/>
      </w:pPr>
      <w:r w:rsidRPr="000F587F">
        <w:rPr>
          <w:i/>
          <w:iCs/>
        </w:rPr>
        <w:t>Additional Information</w:t>
      </w:r>
      <w:r w:rsidRPr="00BD191B">
        <w:t xml:space="preserve">.  For additional information on this proceeding, contact William Wallace, Disability Rights Office, Consumer and Governmental Affairs Bureau, at 202-418-2716, or </w:t>
      </w:r>
      <w:hyperlink r:id="rId6" w:history="1">
        <w:r w:rsidRPr="00A7336A">
          <w:rPr>
            <w:rStyle w:val="Hyperlink"/>
          </w:rPr>
          <w:t>William.Wallace@fcc.gov</w:t>
        </w:r>
      </w:hyperlink>
      <w:r>
        <w:t xml:space="preserve">. </w:t>
      </w:r>
    </w:p>
    <w:p w:rsidR="00DA4354" w:rsidP="00D80DBA" w14:paraId="23076639" w14:textId="77777777">
      <w:pPr>
        <w:pStyle w:val="ParaNum"/>
        <w:numPr>
          <w:ilvl w:val="0"/>
          <w:numId w:val="8"/>
        </w:numPr>
        <w:ind w:left="0" w:firstLine="720"/>
      </w:pPr>
      <w:bookmarkStart w:id="3" w:name="_Hlk159844506"/>
      <w:r>
        <w:t>Accordingly, IT IS ORDERED that, pursuant to sections 1, 2, 4(</w:t>
      </w:r>
      <w:r>
        <w:t>i</w:t>
      </w:r>
      <w:r>
        <w:t>), 4(j), and 225 of the Communications Act of 1934, as amended, 47 U.S.C. §§ 151, 152, 154(</w:t>
      </w:r>
      <w:r>
        <w:t>i</w:t>
      </w:r>
      <w:r>
        <w:t>), 154(j), and 225, the foregoing ORDER IS ADOPTED.</w:t>
      </w:r>
    </w:p>
    <w:p w:rsidR="00DA4354" w:rsidP="00D80DBA" w14:paraId="6DE96701" w14:textId="77777777">
      <w:pPr>
        <w:pStyle w:val="ParaNum"/>
        <w:numPr>
          <w:ilvl w:val="0"/>
          <w:numId w:val="8"/>
        </w:numPr>
        <w:ind w:left="0" w:firstLine="720"/>
      </w:pPr>
      <w:r>
        <w:t>IT IS FURTHER ORDERED that, pursuant to sections 1, 2, 4(</w:t>
      </w:r>
      <w:r>
        <w:t>i</w:t>
      </w:r>
      <w:r>
        <w:t>), 4(j), and 225 of the Communications Act of 1934, as amended, 47 U.S.C. §§151, 152, 154(</w:t>
      </w:r>
      <w:r>
        <w:t>i</w:t>
      </w:r>
      <w:r>
        <w:t xml:space="preserve">), 154(j), and 225, and section 1.3 of the Commission’s Rules, 47 CFR § 1.3, the restrictions on use of privacy screens in section 64.604(d)(5) of the Commission’s rules, 47 CFR § 64.604(d)(5), with VRS on video conferencing calls are TEMPORARILY WAIVED to the extent set forth in the </w:t>
      </w:r>
      <w:r>
        <w:rPr>
          <w:i/>
          <w:iCs/>
        </w:rPr>
        <w:t xml:space="preserve">Privacy Screen Waiver Order, </w:t>
      </w:r>
      <w:r>
        <w:t>until December 31, 2024, or the effective date of Commission action amending this provision, whichever is earlier.</w:t>
      </w:r>
    </w:p>
    <w:p w:rsidR="00DA4354" w:rsidP="00260D48" w14:paraId="2E218A73" w14:textId="77777777">
      <w:pPr>
        <w:pStyle w:val="ParaNum"/>
        <w:keepNext/>
        <w:widowControl/>
        <w:numPr>
          <w:ilvl w:val="0"/>
          <w:numId w:val="8"/>
        </w:numPr>
        <w:ind w:left="0" w:firstLine="720"/>
      </w:pPr>
      <w:r>
        <w:t>IT IS FURTHER ORDERED that, pursuant to sections 1.4(b) and 1.103(a) of the Commission’s rules, 47 CFR §§ 1.4(b) and 1.103(a), the ORDER SHALL BE EFFECTIVE upon release.</w:t>
      </w:r>
      <w:bookmarkEnd w:id="3"/>
    </w:p>
    <w:p w:rsidR="00493C0A" w:rsidP="006140AA" w14:paraId="141FF405" w14:textId="38AE0CA8">
      <w:pPr>
        <w:pStyle w:val="ParaNum"/>
        <w:ind w:left="2880" w:firstLine="720"/>
      </w:pPr>
      <w:r>
        <w:t>FEDERAL COMMUNICATIONS COMMISSION</w:t>
      </w:r>
    </w:p>
    <w:p w:rsidR="006140AA" w:rsidP="006140AA" w14:paraId="11B9076D" w14:textId="77777777">
      <w:pPr>
        <w:pStyle w:val="ParaNum"/>
        <w:ind w:left="2880" w:firstLine="720"/>
      </w:pPr>
    </w:p>
    <w:p w:rsidR="006140AA" w:rsidP="006140AA" w14:paraId="032F59E3" w14:textId="77777777">
      <w:pPr>
        <w:pStyle w:val="ParaNum"/>
        <w:ind w:left="2880" w:firstLine="720"/>
      </w:pPr>
    </w:p>
    <w:p w:rsidR="006140AA" w:rsidP="00D1450A" w14:paraId="45102F6A" w14:textId="28665F35">
      <w:pPr>
        <w:pStyle w:val="ParaNum"/>
        <w:spacing w:after="0"/>
        <w:ind w:left="2880" w:firstLine="720"/>
      </w:pPr>
      <w:r>
        <w:t>Alejandro Roark, Chief</w:t>
      </w:r>
    </w:p>
    <w:p w:rsidR="00D1450A" w:rsidRPr="00493C0A" w:rsidP="00D1450A" w14:paraId="32D11C96" w14:textId="5E1BC3AF">
      <w:pPr>
        <w:pStyle w:val="ParaNum"/>
        <w:spacing w:after="0"/>
        <w:ind w:left="2880" w:firstLine="720"/>
      </w:pPr>
      <w:r>
        <w:t>Consumer and Governmental Affairs Bureau</w:t>
      </w:r>
    </w:p>
    <w:sectPr w:rsidSect="0055614C">
      <w:headerReference w:type="default" r:id="rId7"/>
      <w:footerReference w:type="even" r:id="rId8"/>
      <w:footerReference w:type="default" r:id="rId9"/>
      <w:headerReference w:type="first" r:id="rId10"/>
      <w:footerReference w:type="first" r:id="rId11"/>
      <w:endnotePr>
        <w:numFmt w:val="decimal"/>
      </w:endnotePr>
      <w:pgSz w:w="12240" w:h="15840"/>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08B3629C"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64DAAE1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7308" w14:paraId="362CECD2"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14:paraId="561B5761"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86C6B" w14:paraId="11541279" w14:textId="77777777">
      <w:r>
        <w:separator/>
      </w:r>
    </w:p>
  </w:footnote>
  <w:footnote w:type="continuationSeparator" w:id="1">
    <w:p w:rsidR="00786C6B" w:rsidP="00C721AC" w14:paraId="272349FE" w14:textId="77777777">
      <w:pPr>
        <w:spacing w:before="120"/>
        <w:rPr>
          <w:sz w:val="20"/>
        </w:rPr>
      </w:pPr>
      <w:r>
        <w:rPr>
          <w:sz w:val="20"/>
        </w:rPr>
        <w:t xml:space="preserve">(Continued from previous page)  </w:t>
      </w:r>
      <w:r>
        <w:rPr>
          <w:sz w:val="20"/>
        </w:rPr>
        <w:separator/>
      </w:r>
    </w:p>
  </w:footnote>
  <w:footnote w:type="continuationNotice" w:id="2">
    <w:p w:rsidR="00786C6B" w:rsidP="00C721AC" w14:paraId="47A0D755" w14:textId="77777777">
      <w:pPr>
        <w:jc w:val="right"/>
        <w:rPr>
          <w:sz w:val="20"/>
        </w:rPr>
      </w:pPr>
      <w:r>
        <w:rPr>
          <w:sz w:val="20"/>
        </w:rPr>
        <w:t>(continued….)</w:t>
      </w:r>
    </w:p>
  </w:footnote>
  <w:footnote w:id="3">
    <w:p w:rsidR="00387854" w:rsidRPr="0079737E" w:rsidP="00387854" w14:paraId="0E65497C" w14:textId="1EA2E97A">
      <w:pPr>
        <w:pStyle w:val="FootnoteText"/>
      </w:pPr>
      <w:r>
        <w:rPr>
          <w:rStyle w:val="FootnoteReference"/>
        </w:rPr>
        <w:footnoteRef/>
      </w:r>
      <w:r>
        <w:t xml:space="preserve"> </w:t>
      </w:r>
      <w:r w:rsidRPr="00D858E6" w:rsidR="00D858E6">
        <w:rPr>
          <w:i/>
          <w:iCs/>
        </w:rPr>
        <w:t xml:space="preserve">See </w:t>
      </w:r>
      <w:r>
        <w:rPr>
          <w:i/>
          <w:iCs/>
        </w:rPr>
        <w:t xml:space="preserve">Access to Video </w:t>
      </w:r>
      <w:r w:rsidRPr="00DC0077">
        <w:rPr>
          <w:i/>
          <w:iCs/>
        </w:rPr>
        <w:t>Conferencing et al.</w:t>
      </w:r>
      <w:r>
        <w:rPr>
          <w:i/>
          <w:iCs/>
        </w:rPr>
        <w:t xml:space="preserve">, </w:t>
      </w:r>
      <w:r>
        <w:t>CG Docket No. 23-161 et al., Report and Order, Notice of Proposed Rulemaking, and Order, FCC 23-50, para. 113 (June 12, 2023) (</w:t>
      </w:r>
      <w:r>
        <w:rPr>
          <w:i/>
          <w:iCs/>
        </w:rPr>
        <w:t xml:space="preserve">2023 Video Conferencing Notice </w:t>
      </w:r>
      <w:r>
        <w:t xml:space="preserve">or </w:t>
      </w:r>
      <w:r>
        <w:rPr>
          <w:i/>
          <w:iCs/>
        </w:rPr>
        <w:t>Privacy Screen Waiver Order</w:t>
      </w:r>
      <w:r>
        <w:t>) (waiving 47 CFR § 64.604(a)(6)(2023)</w:t>
      </w:r>
      <w:r w:rsidR="002D748B">
        <w:t>,</w:t>
      </w:r>
      <w:r>
        <w:t xml:space="preserve"> now 47 CFR § 64.604(d)(5)</w:t>
      </w:r>
      <w:r w:rsidR="004F6EC3">
        <w:t>)</w:t>
      </w:r>
      <w:r>
        <w:t xml:space="preserve">.  The privacy screen rule was renumbered in the </w:t>
      </w:r>
      <w:r>
        <w:rPr>
          <w:i/>
          <w:iCs/>
        </w:rPr>
        <w:t>2023 VRS Improvements Order</w:t>
      </w:r>
      <w:r>
        <w:t xml:space="preserve">.  </w:t>
      </w:r>
      <w:r>
        <w:rPr>
          <w:i/>
          <w:iCs/>
        </w:rPr>
        <w:t>Telecommunications Relay Services and Speech-to-Speech Services for Individuals with Hearing and Speech Disabilities</w:t>
      </w:r>
      <w:r w:rsidRPr="002629DD">
        <w:t>;</w:t>
      </w:r>
      <w:r>
        <w:rPr>
          <w:i/>
          <w:iCs/>
        </w:rPr>
        <w:t xml:space="preserve"> Structure and Practices of the Video Relay Service Program</w:t>
      </w:r>
      <w:r w:rsidRPr="002629DD">
        <w:t>,</w:t>
      </w:r>
      <w:r>
        <w:rPr>
          <w:i/>
          <w:iCs/>
        </w:rPr>
        <w:t xml:space="preserve"> </w:t>
      </w:r>
      <w:r>
        <w:t xml:space="preserve">CG Docket Nos. 03-123 and 10-51, </w:t>
      </w:r>
      <w:r w:rsidR="00613EF2">
        <w:t xml:space="preserve">Report and Order and Order, </w:t>
      </w:r>
      <w:r>
        <w:t>FCC 23-116, App. B, para. 2 (Dec. 20, 2023) (</w:t>
      </w:r>
      <w:r>
        <w:rPr>
          <w:i/>
          <w:iCs/>
        </w:rPr>
        <w:t>2023 VRS Improvements Order</w:t>
      </w:r>
      <w:r>
        <w:t>).</w:t>
      </w:r>
    </w:p>
  </w:footnote>
  <w:footnote w:id="4">
    <w:p w:rsidR="00387854" w:rsidRPr="00E73D55" w:rsidP="00387854" w14:paraId="5EC0C607" w14:textId="77777777">
      <w:pPr>
        <w:pStyle w:val="FootnoteText"/>
      </w:pPr>
      <w:r>
        <w:rPr>
          <w:rStyle w:val="FootnoteReference"/>
        </w:rPr>
        <w:footnoteRef/>
      </w:r>
      <w:r>
        <w:t xml:space="preserve"> </w:t>
      </w:r>
      <w:r w:rsidRPr="003C5D8C">
        <w:t xml:space="preserve">VRS is a form of </w:t>
      </w:r>
      <w:r>
        <w:t>telecommunications relay service (TRS)</w:t>
      </w:r>
      <w:r w:rsidRPr="003C5D8C">
        <w:t xml:space="preserve"> “that allows people with hearing or speech disabilities who use sign language to communicate with voice telephone users through video equipment.  The video link allows the CA to view and interpret the party’s signed conversation and relay the conversation back and forth with a voice caller.”  </w:t>
      </w:r>
      <w:bookmarkStart w:id="0" w:name="_Hlk167971665"/>
      <w:r w:rsidRPr="003C5D8C">
        <w:t xml:space="preserve">47 CFR </w:t>
      </w:r>
      <w:bookmarkEnd w:id="0"/>
      <w:r w:rsidRPr="003C5D8C">
        <w:t>§ 64.601(a)(51).</w:t>
      </w:r>
      <w:r>
        <w:t xml:space="preserve"> </w:t>
      </w:r>
    </w:p>
  </w:footnote>
  <w:footnote w:id="5">
    <w:p w:rsidR="00387854" w:rsidRPr="00DC15F9" w:rsidP="00387854" w14:paraId="2479EC49" w14:textId="39881A23">
      <w:pPr>
        <w:pStyle w:val="FootnoteText"/>
      </w:pPr>
      <w:r>
        <w:rPr>
          <w:rStyle w:val="FootnoteReference"/>
        </w:rPr>
        <w:footnoteRef/>
      </w:r>
      <w:r>
        <w:t xml:space="preserve"> </w:t>
      </w:r>
      <w:r>
        <w:rPr>
          <w:i/>
          <w:iCs/>
        </w:rPr>
        <w:t xml:space="preserve">See 2023 Video Conferencing </w:t>
      </w:r>
      <w:r w:rsidR="00AD2FA8">
        <w:rPr>
          <w:i/>
          <w:iCs/>
        </w:rPr>
        <w:t>Notice</w:t>
      </w:r>
      <w:r>
        <w:t>, paras. 87-89.  The waiver is currently scheduled to expire on June 11, 2024,</w:t>
      </w:r>
      <w:r w:rsidR="00127D48">
        <w:t xml:space="preserve"> </w:t>
      </w:r>
      <w:r>
        <w:t xml:space="preserve">or the effective date of Commission action modifying the rule, if earlier.  </w:t>
      </w:r>
      <w:r>
        <w:rPr>
          <w:i/>
          <w:iCs/>
        </w:rPr>
        <w:t>Privacy Screen Waiver Order</w:t>
      </w:r>
      <w:r>
        <w:t>, para. 118.</w:t>
      </w:r>
    </w:p>
  </w:footnote>
  <w:footnote w:id="6">
    <w:p w:rsidR="00DC027D" w:rsidP="00DC027D" w14:paraId="4AF27B0D" w14:textId="62DA388A">
      <w:pPr>
        <w:pStyle w:val="FootnoteText"/>
      </w:pPr>
      <w:r>
        <w:rPr>
          <w:rStyle w:val="FootnoteReference"/>
        </w:rPr>
        <w:footnoteRef/>
      </w:r>
      <w:r>
        <w:t xml:space="preserve"> </w:t>
      </w:r>
      <w:r w:rsidRPr="00D35849">
        <w:t>47 CFR § 64.601(a)(5</w:t>
      </w:r>
      <w:r w:rsidR="00302FD6">
        <w:t>3</w:t>
      </w:r>
      <w:r w:rsidRPr="00D35849">
        <w:t>).</w:t>
      </w:r>
    </w:p>
  </w:footnote>
  <w:footnote w:id="7">
    <w:p w:rsidR="00DC027D" w:rsidP="00DC027D" w14:paraId="53676F93" w14:textId="1442FE63">
      <w:pPr>
        <w:pStyle w:val="FootnoteText"/>
      </w:pPr>
      <w:r>
        <w:rPr>
          <w:rStyle w:val="FootnoteReference"/>
        </w:rPr>
        <w:footnoteRef/>
      </w:r>
      <w:r>
        <w:t xml:space="preserve"> </w:t>
      </w:r>
      <w:r w:rsidRPr="00E528F1" w:rsidR="00E528F1">
        <w:rPr>
          <w:i/>
          <w:iCs/>
        </w:rPr>
        <w:t>Id.</w:t>
      </w:r>
      <w:r w:rsidRPr="00C53087">
        <w:t xml:space="preserve"> § 64.604(d)(5)</w:t>
      </w:r>
      <w:r>
        <w:t>.</w:t>
      </w:r>
      <w:r w:rsidRPr="00F93B40">
        <w:t xml:space="preserve"> </w:t>
      </w:r>
      <w:r>
        <w:t xml:space="preserve"> The stated purpose of the rule, adopted in </w:t>
      </w:r>
      <w:r w:rsidRPr="00F93B40">
        <w:t xml:space="preserve">2011 as one of numerous </w:t>
      </w:r>
      <w:r>
        <w:t xml:space="preserve">anti-fraud </w:t>
      </w:r>
      <w:r w:rsidRPr="00F93B40">
        <w:t>measures</w:t>
      </w:r>
      <w:r>
        <w:t>,</w:t>
      </w:r>
      <w:r w:rsidRPr="00F93B40">
        <w:t xml:space="preserve"> </w:t>
      </w:r>
      <w:r>
        <w:t xml:space="preserve">is </w:t>
      </w:r>
      <w:r w:rsidRPr="00FF3ECA">
        <w:t xml:space="preserve">to </w:t>
      </w:r>
      <w:r>
        <w:t>help prevent</w:t>
      </w:r>
      <w:r w:rsidRPr="00FF3ECA">
        <w:t xml:space="preserve"> “illicit schemes that result in calls ‘running’ without any communication between the parties for the sole purpose of fraudulently billing the Fund.”</w:t>
      </w:r>
      <w:r>
        <w:t xml:space="preserve">  </w:t>
      </w:r>
      <w:r w:rsidRPr="00335E57">
        <w:rPr>
          <w:i/>
          <w:iCs/>
        </w:rPr>
        <w:t>Structure and Practices of the Video Relay Service Program,</w:t>
      </w:r>
      <w:r w:rsidRPr="00335E57">
        <w:t xml:space="preserve"> CG Docket No. 10-51, Report and Order and Further Notice of Proposed Rulemaking, 26 FCC </w:t>
      </w:r>
      <w:r w:rsidRPr="00335E57">
        <w:t>Rcd</w:t>
      </w:r>
      <w:r w:rsidRPr="00335E57">
        <w:t xml:space="preserve"> 5545</w:t>
      </w:r>
      <w:r>
        <w:t xml:space="preserve">, </w:t>
      </w:r>
      <w:r w:rsidRPr="0094010A">
        <w:t>5567, para. 40</w:t>
      </w:r>
      <w:r w:rsidRPr="00335E57">
        <w:t xml:space="preserve"> (2011) (</w:t>
      </w:r>
      <w:r w:rsidRPr="00335E57">
        <w:rPr>
          <w:i/>
          <w:iCs/>
        </w:rPr>
        <w:t>2011 VRS Call Practices Order</w:t>
      </w:r>
      <w:r w:rsidRPr="00335E57">
        <w:t>).</w:t>
      </w:r>
    </w:p>
  </w:footnote>
  <w:footnote w:id="8">
    <w:p w:rsidR="00DC027D" w:rsidRPr="00755FEB" w:rsidP="00DC027D" w14:paraId="423029AD" w14:textId="1B27DED9">
      <w:pPr>
        <w:pStyle w:val="FootnoteText"/>
      </w:pPr>
      <w:r>
        <w:rPr>
          <w:rStyle w:val="FootnoteReference"/>
        </w:rPr>
        <w:footnoteRef/>
      </w:r>
      <w:r>
        <w:t xml:space="preserve"> </w:t>
      </w:r>
      <w:r>
        <w:rPr>
          <w:i/>
          <w:iCs/>
        </w:rPr>
        <w:t>2023 Video Conferencing Notice</w:t>
      </w:r>
      <w:r>
        <w:t xml:space="preserve">, paras. 87-89 (proposing to allow VRS CAs to continue providing relay services integrated with a multi-party video conference when the VRS user who requested service has turned off his or her video connection for more than five minutes, as long as at least one other party is continuing to speak and the VRS user is still connected to the video conference). </w:t>
      </w:r>
    </w:p>
  </w:footnote>
  <w:footnote w:id="9">
    <w:p w:rsidR="00DC027D" w:rsidP="00DC027D" w14:paraId="4CBBB26E" w14:textId="60426861">
      <w:pPr>
        <w:pStyle w:val="FootnoteText"/>
      </w:pPr>
      <w:r>
        <w:rPr>
          <w:rStyle w:val="FootnoteReference"/>
        </w:rPr>
        <w:footnoteRef/>
      </w:r>
      <w:r>
        <w:t xml:space="preserve"> </w:t>
      </w:r>
      <w:r w:rsidRPr="009B7109">
        <w:rPr>
          <w:i/>
          <w:iCs/>
        </w:rPr>
        <w:t>Privacy Screen Waiver Order</w:t>
      </w:r>
      <w:r w:rsidRPr="009B7109">
        <w:t>, para. 116</w:t>
      </w:r>
      <w:r>
        <w:t xml:space="preserve">; </w:t>
      </w:r>
      <w:r w:rsidRPr="00142A04">
        <w:rPr>
          <w:i/>
          <w:iCs/>
        </w:rPr>
        <w:t>see also</w:t>
      </w:r>
      <w:r>
        <w:t xml:space="preserve"> </w:t>
      </w:r>
      <w:r w:rsidRPr="00E964B0">
        <w:t xml:space="preserve">Petition of Sorenson Communications, LLC for a Limited Waiver of the Privacy Screen Rule for Piloting VRS Integration with Video Conferencing Services, CG Docket Nos. 03-123 and 10-51 (filed Dec. 19, 2022) (Sorenson Petition), </w:t>
      </w:r>
      <w:hyperlink r:id="rId1" w:history="1">
        <w:r w:rsidRPr="00A7336A">
          <w:rPr>
            <w:rStyle w:val="Hyperlink"/>
          </w:rPr>
          <w:t>https://www.fcc.gov/ecfs/document/12190888126091/1</w:t>
        </w:r>
      </w:hyperlink>
      <w:r w:rsidR="00AE7BFB">
        <w:rPr>
          <w:rStyle w:val="Hyperlink"/>
        </w:rPr>
        <w:t xml:space="preserve">  </w:t>
      </w:r>
      <w:r w:rsidR="00AE7BFB">
        <w:rPr>
          <w:rStyle w:val="Hyperlink"/>
          <w:color w:val="auto"/>
          <w:u w:val="none"/>
        </w:rPr>
        <w:t>(requesting such a waiver)</w:t>
      </w:r>
      <w:r w:rsidRPr="00E964B0">
        <w:t>.</w:t>
      </w:r>
    </w:p>
  </w:footnote>
  <w:footnote w:id="10">
    <w:p w:rsidR="00DC027D" w:rsidP="00DC027D" w14:paraId="57B904F8" w14:textId="77777777">
      <w:pPr>
        <w:pStyle w:val="FootnoteText"/>
      </w:pPr>
      <w:r>
        <w:rPr>
          <w:rStyle w:val="FootnoteReference"/>
        </w:rPr>
        <w:footnoteRef/>
      </w:r>
      <w:r>
        <w:t xml:space="preserve"> </w:t>
      </w:r>
      <w:bookmarkStart w:id="1" w:name="_Hlk167973553"/>
      <w:r w:rsidRPr="00403F4F">
        <w:rPr>
          <w:i/>
          <w:iCs/>
        </w:rPr>
        <w:t>Privacy Screen Waiver Order</w:t>
      </w:r>
      <w:r w:rsidRPr="00403F4F">
        <w:t>, para. 11</w:t>
      </w:r>
      <w:r>
        <w:t>3.</w:t>
      </w:r>
      <w:bookmarkEnd w:id="1"/>
    </w:p>
  </w:footnote>
  <w:footnote w:id="11">
    <w:p w:rsidR="00DC027D" w:rsidP="00DC027D" w14:paraId="70008438" w14:textId="467CBF75">
      <w:pPr>
        <w:pStyle w:val="FootnoteText"/>
      </w:pPr>
      <w:r>
        <w:rPr>
          <w:rStyle w:val="FootnoteReference"/>
        </w:rPr>
        <w:footnoteRef/>
      </w:r>
      <w:r>
        <w:t xml:space="preserve"> </w:t>
      </w:r>
      <w:r w:rsidR="00E528F1">
        <w:rPr>
          <w:i/>
          <w:iCs/>
        </w:rPr>
        <w:t>Id.</w:t>
      </w:r>
      <w:r w:rsidRPr="00DC0BA2">
        <w:t>, para. 11</w:t>
      </w:r>
      <w:r>
        <w:t>7</w:t>
      </w:r>
      <w:r w:rsidRPr="00DC0BA2">
        <w:t>.</w:t>
      </w:r>
    </w:p>
  </w:footnote>
  <w:footnote w:id="12">
    <w:p w:rsidR="00DC027D" w:rsidRPr="00BB3719" w:rsidP="00DC027D" w14:paraId="5EDD4849" w14:textId="5B1FBABE">
      <w:pPr>
        <w:pStyle w:val="FootnoteText"/>
      </w:pPr>
      <w:r>
        <w:rPr>
          <w:rStyle w:val="FootnoteReference"/>
        </w:rPr>
        <w:footnoteRef/>
      </w:r>
      <w:r>
        <w:t xml:space="preserve"> </w:t>
      </w:r>
      <w:bookmarkStart w:id="2" w:name="_Hlk167973997"/>
      <w:r w:rsidRPr="00AB3142">
        <w:rPr>
          <w:i/>
          <w:iCs/>
        </w:rPr>
        <w:t>See</w:t>
      </w:r>
      <w:r w:rsidRPr="00AB3142">
        <w:t xml:space="preserve"> </w:t>
      </w:r>
      <w:r w:rsidR="00E528F1">
        <w:rPr>
          <w:i/>
          <w:iCs/>
        </w:rPr>
        <w:t>id.</w:t>
      </w:r>
      <w:r w:rsidRPr="00403F4F">
        <w:t>, para. 11</w:t>
      </w:r>
      <w:r>
        <w:t>6.</w:t>
      </w:r>
      <w:bookmarkEnd w:id="2"/>
    </w:p>
  </w:footnote>
  <w:footnote w:id="13">
    <w:p w:rsidR="00DC027D" w:rsidP="00DC027D" w14:paraId="6A2B00BE" w14:textId="743EDBAC">
      <w:pPr>
        <w:pStyle w:val="FootnoteText"/>
      </w:pPr>
      <w:r>
        <w:rPr>
          <w:rStyle w:val="FootnoteReference"/>
        </w:rPr>
        <w:footnoteRef/>
      </w:r>
      <w:r>
        <w:t xml:space="preserve"> </w:t>
      </w:r>
      <w:r w:rsidR="00291E12">
        <w:rPr>
          <w:i/>
          <w:iCs/>
        </w:rPr>
        <w:t>I</w:t>
      </w:r>
      <w:r w:rsidR="00E528F1">
        <w:rPr>
          <w:i/>
          <w:iCs/>
        </w:rPr>
        <w:t>d.</w:t>
      </w:r>
      <w:r w:rsidRPr="003D569A">
        <w:t>, para. 11</w:t>
      </w:r>
      <w:r>
        <w:t>7</w:t>
      </w:r>
      <w:r w:rsidRPr="003D569A">
        <w:t>.</w:t>
      </w:r>
    </w:p>
  </w:footnote>
  <w:footnote w:id="14">
    <w:p w:rsidR="00A526B5" w:rsidP="00A526B5" w14:paraId="0B753CDA" w14:textId="77777777">
      <w:pPr>
        <w:pStyle w:val="FootnoteText"/>
      </w:pPr>
      <w:r>
        <w:rPr>
          <w:rStyle w:val="FootnoteReference"/>
        </w:rPr>
        <w:footnoteRef/>
      </w:r>
      <w:r>
        <w:t xml:space="preserve"> 47 CFR § 1.3.</w:t>
      </w:r>
    </w:p>
  </w:footnote>
  <w:footnote w:id="15">
    <w:p w:rsidR="00A526B5" w:rsidP="00A526B5" w14:paraId="2BAC255A" w14:textId="77777777">
      <w:pPr>
        <w:pStyle w:val="FootnoteText"/>
      </w:pPr>
      <w:r>
        <w:rPr>
          <w:rStyle w:val="FootnoteReference"/>
        </w:rPr>
        <w:footnoteRef/>
      </w:r>
      <w:r>
        <w:t xml:space="preserve"> </w:t>
      </w:r>
      <w:r>
        <w:rPr>
          <w:i/>
        </w:rPr>
        <w:t>Northeast Cellular Tel. Co. v. FCC</w:t>
      </w:r>
      <w:r>
        <w:t>, 897 F.2d 1164, 1166 (D.C. Cir. 1990).</w:t>
      </w:r>
    </w:p>
  </w:footnote>
  <w:footnote w:id="16">
    <w:p w:rsidR="00A526B5" w:rsidP="00A526B5" w14:paraId="0621C358" w14:textId="77777777">
      <w:pPr>
        <w:pStyle w:val="FootnoteText"/>
      </w:pPr>
      <w:r>
        <w:rPr>
          <w:rStyle w:val="FootnoteReference"/>
        </w:rPr>
        <w:footnoteRef/>
      </w:r>
      <w:r>
        <w:t xml:space="preserve"> </w:t>
      </w:r>
      <w:r>
        <w:rPr>
          <w:i/>
        </w:rPr>
        <w:t>WAIT Radio v. FCC</w:t>
      </w:r>
      <w:r>
        <w:t xml:space="preserve">, 418 F.2d 1153, 1159 (D.C. Cir. 1969), </w:t>
      </w:r>
      <w:r>
        <w:rPr>
          <w:i/>
        </w:rPr>
        <w:t>cert. denied</w:t>
      </w:r>
      <w:r>
        <w:t xml:space="preserve">, 409 U.S. 1027 (1972); </w:t>
      </w:r>
      <w:r>
        <w:rPr>
          <w:i/>
        </w:rPr>
        <w:t>Northeast Cellular</w:t>
      </w:r>
      <w:r>
        <w:t>, 897 F.2d at 1166.</w:t>
      </w:r>
    </w:p>
  </w:footnote>
  <w:footnote w:id="17">
    <w:p w:rsidR="00A526B5" w:rsidP="00A526B5" w14:paraId="584FABAF" w14:textId="77777777">
      <w:pPr>
        <w:pStyle w:val="FootnoteText"/>
      </w:pPr>
      <w:r>
        <w:rPr>
          <w:rStyle w:val="FootnoteReference"/>
        </w:rPr>
        <w:footnoteRef/>
      </w:r>
      <w:r>
        <w:t xml:space="preserve"> </w:t>
      </w:r>
      <w:r>
        <w:rPr>
          <w:i/>
        </w:rPr>
        <w:t xml:space="preserve">Northeast </w:t>
      </w:r>
      <w:r w:rsidRPr="00310851">
        <w:rPr>
          <w:i/>
        </w:rPr>
        <w:t>Cellular</w:t>
      </w:r>
      <w:r>
        <w:t>, 897 F.2d at 1166.</w:t>
      </w:r>
    </w:p>
  </w:footnote>
  <w:footnote w:id="18">
    <w:p w:rsidR="00A526B5" w:rsidRPr="00474940" w:rsidP="00A526B5" w14:paraId="037A3291" w14:textId="77777777">
      <w:pPr>
        <w:pStyle w:val="FootnoteText"/>
      </w:pPr>
      <w:r w:rsidRPr="00474940">
        <w:rPr>
          <w:rStyle w:val="FootnoteReference"/>
        </w:rPr>
        <w:footnoteRef/>
      </w:r>
      <w:r w:rsidRPr="00474940">
        <w:t xml:space="preserve"> </w:t>
      </w:r>
      <w:r w:rsidRPr="00474940">
        <w:rPr>
          <w:i/>
          <w:iCs/>
        </w:rPr>
        <w:t>See</w:t>
      </w:r>
      <w:r w:rsidRPr="00474940">
        <w:t xml:space="preserve"> </w:t>
      </w:r>
      <w:r w:rsidRPr="00474940">
        <w:rPr>
          <w:i/>
          <w:iCs/>
        </w:rPr>
        <w:t>Privacy Screen Waiver Order</w:t>
      </w:r>
      <w:r w:rsidRPr="00474940">
        <w:t>, para. 117.</w:t>
      </w:r>
    </w:p>
  </w:footnote>
  <w:footnote w:id="19">
    <w:p w:rsidR="00511A28" w:rsidRPr="00474940" w14:paraId="34D7DD1C" w14:textId="62A15F50">
      <w:pPr>
        <w:pStyle w:val="FootnoteText"/>
      </w:pPr>
      <w:r w:rsidRPr="00474940">
        <w:rPr>
          <w:rStyle w:val="FootnoteReference"/>
        </w:rPr>
        <w:footnoteRef/>
      </w:r>
      <w:r w:rsidRPr="00474940">
        <w:t xml:space="preserve"> </w:t>
      </w:r>
      <w:r w:rsidRPr="00474940">
        <w:rPr>
          <w:i/>
          <w:iCs/>
        </w:rPr>
        <w:t xml:space="preserve">See </w:t>
      </w:r>
      <w:r w:rsidR="006F2898">
        <w:rPr>
          <w:i/>
          <w:iCs/>
        </w:rPr>
        <w:t>id</w:t>
      </w:r>
      <w:r w:rsidR="00E528F1">
        <w:rPr>
          <w:i/>
          <w:iCs/>
        </w:rPr>
        <w:t>.</w:t>
      </w:r>
      <w:r w:rsidRPr="00474940">
        <w:rPr>
          <w:i/>
          <w:iCs/>
        </w:rPr>
        <w:t xml:space="preserve">, </w:t>
      </w:r>
      <w:r w:rsidRPr="00474940" w:rsidR="00474940">
        <w:t>para. 119.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33B826D1" w14:textId="14676765">
    <w:pPr>
      <w:pStyle w:val="Header"/>
      <w:rPr>
        <w:b w:val="0"/>
      </w:rPr>
    </w:pPr>
    <w:r>
      <w:tab/>
      <w:t>Federal Communications Commission</w:t>
    </w:r>
    <w:r>
      <w:tab/>
    </w:r>
    <w:r w:rsidR="00D80DBA">
      <w:t>DA 24-</w:t>
    </w:r>
    <w:r w:rsidR="00F926A7">
      <w:t>545</w:t>
    </w:r>
  </w:p>
  <w:p w:rsidR="00D25FB5" w14:paraId="3AB5EA41" w14:textId="77777777">
    <w:pPr>
      <w:tabs>
        <w:tab w:val="left" w:pos="-720"/>
      </w:tabs>
      <w:suppressAutoHyphens/>
      <w:spacing w:line="19" w:lineRule="exact"/>
      <w:rPr>
        <w:spacing w:val="-2"/>
      </w:rPr>
    </w:pPr>
    <w:r>
      <w:rPr>
        <w:noProof/>
      </w:rPr>
      <w:pict>
        <v:rect id="Rectangle 1" o:spid="_x0000_s2049" style="width:468pt;height:0.95pt;margin-top:0;margin-left:0;mso-position-horizontal-relative:margin;position:absolute;visibility:visible;z-index:-251658240" o:allowincell="f" fillcolor="black" stroked="f" strokeweight="0.05pt">
          <w10:wrap anchorx="margin"/>
        </v:rect>
      </w:pict>
    </w:r>
  </w:p>
  <w:p w:rsidR="00D25FB5" w14:paraId="6FE8A0A5"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0F20D36E" w14:textId="28C716DC">
    <w:pPr>
      <w:pStyle w:val="Header"/>
      <w:rPr>
        <w:b w:val="0"/>
      </w:rPr>
    </w:pPr>
    <w:r>
      <w:rPr>
        <w:noProof/>
      </w:rPr>
      <w:pict>
        <v:rect id="Rectangle 3" o:spid="_x0000_s2050"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00474940">
      <w:rPr>
        <w:spacing w:val="-2"/>
      </w:rPr>
      <w:t>DA 24-</w:t>
    </w:r>
    <w:r>
      <w:rPr>
        <w:spacing w:val="-2"/>
      </w:rPr>
      <w:t>545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AF71994"/>
    <w:multiLevelType w:val="hybridMultilevel"/>
    <w:tmpl w:val="DC94D66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4F861F29"/>
    <w:multiLevelType w:val="hybridMultilevel"/>
    <w:tmpl w:val="1E645E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1182925"/>
    <w:multiLevelType w:val="singleLevel"/>
    <w:tmpl w:val="04090003"/>
    <w:lvl w:ilvl="0">
      <w:start w:val="1"/>
      <w:numFmt w:val="bullet"/>
      <w:lvlText w:val="o"/>
      <w:lvlJc w:val="left"/>
      <w:pPr>
        <w:ind w:left="1080" w:hanging="360"/>
      </w:pPr>
      <w:rPr>
        <w:rFonts w:ascii="Courier New" w:hAnsi="Courier New" w:cs="Courier New" w:hint="default"/>
      </w:rPr>
    </w:lvl>
  </w:abstractNum>
  <w:num w:numId="1">
    <w:abstractNumId w:val="1"/>
  </w:num>
  <w:num w:numId="2">
    <w:abstractNumId w:val="7"/>
  </w:num>
  <w:num w:numId="3">
    <w:abstractNumId w:val="3"/>
  </w:num>
  <w:num w:numId="4">
    <w:abstractNumId w:val="5"/>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89"/>
    <w:rsid w:val="00024D3B"/>
    <w:rsid w:val="00036039"/>
    <w:rsid w:val="00037F90"/>
    <w:rsid w:val="000501A1"/>
    <w:rsid w:val="00062B11"/>
    <w:rsid w:val="000875BF"/>
    <w:rsid w:val="00096D8C"/>
    <w:rsid w:val="000C0B65"/>
    <w:rsid w:val="000E05FE"/>
    <w:rsid w:val="000E3D42"/>
    <w:rsid w:val="000F587F"/>
    <w:rsid w:val="00122BD5"/>
    <w:rsid w:val="00127D48"/>
    <w:rsid w:val="00133F79"/>
    <w:rsid w:val="00142A04"/>
    <w:rsid w:val="001733D5"/>
    <w:rsid w:val="00194A66"/>
    <w:rsid w:val="001D6BCF"/>
    <w:rsid w:val="001E01CA"/>
    <w:rsid w:val="00260D48"/>
    <w:rsid w:val="002629DD"/>
    <w:rsid w:val="0027032C"/>
    <w:rsid w:val="00275CF5"/>
    <w:rsid w:val="0028301F"/>
    <w:rsid w:val="00285017"/>
    <w:rsid w:val="00291E12"/>
    <w:rsid w:val="002A2D2E"/>
    <w:rsid w:val="002C00E8"/>
    <w:rsid w:val="002C1007"/>
    <w:rsid w:val="002D748B"/>
    <w:rsid w:val="002F41FC"/>
    <w:rsid w:val="00302FD6"/>
    <w:rsid w:val="00310851"/>
    <w:rsid w:val="00335E57"/>
    <w:rsid w:val="00343749"/>
    <w:rsid w:val="003660ED"/>
    <w:rsid w:val="00387854"/>
    <w:rsid w:val="003B0550"/>
    <w:rsid w:val="003B694F"/>
    <w:rsid w:val="003C5D8C"/>
    <w:rsid w:val="003D569A"/>
    <w:rsid w:val="003E4419"/>
    <w:rsid w:val="003F171C"/>
    <w:rsid w:val="00403F4F"/>
    <w:rsid w:val="00412FC5"/>
    <w:rsid w:val="00421FB1"/>
    <w:rsid w:val="00422276"/>
    <w:rsid w:val="004242F1"/>
    <w:rsid w:val="00445A00"/>
    <w:rsid w:val="00451B0F"/>
    <w:rsid w:val="004645AF"/>
    <w:rsid w:val="00474940"/>
    <w:rsid w:val="00493C0A"/>
    <w:rsid w:val="004C2EE3"/>
    <w:rsid w:val="004C346D"/>
    <w:rsid w:val="004E4A22"/>
    <w:rsid w:val="004F6EC3"/>
    <w:rsid w:val="00511968"/>
    <w:rsid w:val="00511A28"/>
    <w:rsid w:val="0055614C"/>
    <w:rsid w:val="00566D06"/>
    <w:rsid w:val="005915C0"/>
    <w:rsid w:val="00591BB9"/>
    <w:rsid w:val="0059293F"/>
    <w:rsid w:val="005A6B19"/>
    <w:rsid w:val="005D5D85"/>
    <w:rsid w:val="005E14C2"/>
    <w:rsid w:val="005E6A2A"/>
    <w:rsid w:val="00607BA5"/>
    <w:rsid w:val="0061180A"/>
    <w:rsid w:val="00613EF2"/>
    <w:rsid w:val="006140AA"/>
    <w:rsid w:val="00626EB6"/>
    <w:rsid w:val="00655D03"/>
    <w:rsid w:val="0067451B"/>
    <w:rsid w:val="00683388"/>
    <w:rsid w:val="00683F84"/>
    <w:rsid w:val="006A6A81"/>
    <w:rsid w:val="006B1F20"/>
    <w:rsid w:val="006F2898"/>
    <w:rsid w:val="006F7393"/>
    <w:rsid w:val="0070224F"/>
    <w:rsid w:val="0070774A"/>
    <w:rsid w:val="007115F7"/>
    <w:rsid w:val="00755FEB"/>
    <w:rsid w:val="007752B6"/>
    <w:rsid w:val="00785689"/>
    <w:rsid w:val="00786C6B"/>
    <w:rsid w:val="0079737E"/>
    <w:rsid w:val="0079754B"/>
    <w:rsid w:val="007A1E6D"/>
    <w:rsid w:val="007B0EB2"/>
    <w:rsid w:val="007F7D1E"/>
    <w:rsid w:val="00810B6F"/>
    <w:rsid w:val="00822CE0"/>
    <w:rsid w:val="00841AB1"/>
    <w:rsid w:val="008634A1"/>
    <w:rsid w:val="008C68F1"/>
    <w:rsid w:val="00921803"/>
    <w:rsid w:val="00926503"/>
    <w:rsid w:val="0094010A"/>
    <w:rsid w:val="009726D8"/>
    <w:rsid w:val="009B7109"/>
    <w:rsid w:val="009D7308"/>
    <w:rsid w:val="009F76DB"/>
    <w:rsid w:val="00A17213"/>
    <w:rsid w:val="00A32C3B"/>
    <w:rsid w:val="00A350AC"/>
    <w:rsid w:val="00A45F4F"/>
    <w:rsid w:val="00A526B5"/>
    <w:rsid w:val="00A600A9"/>
    <w:rsid w:val="00A7336A"/>
    <w:rsid w:val="00AA55B7"/>
    <w:rsid w:val="00AA5B9E"/>
    <w:rsid w:val="00AA6257"/>
    <w:rsid w:val="00AB2407"/>
    <w:rsid w:val="00AB3142"/>
    <w:rsid w:val="00AB4DB2"/>
    <w:rsid w:val="00AB53DF"/>
    <w:rsid w:val="00AD2FA8"/>
    <w:rsid w:val="00AD555D"/>
    <w:rsid w:val="00AE69BD"/>
    <w:rsid w:val="00AE7BFB"/>
    <w:rsid w:val="00B01779"/>
    <w:rsid w:val="00B07E5C"/>
    <w:rsid w:val="00B35C34"/>
    <w:rsid w:val="00B811F7"/>
    <w:rsid w:val="00BA5DC6"/>
    <w:rsid w:val="00BA6196"/>
    <w:rsid w:val="00BB3719"/>
    <w:rsid w:val="00BC6D8C"/>
    <w:rsid w:val="00BD191B"/>
    <w:rsid w:val="00BE2082"/>
    <w:rsid w:val="00C30689"/>
    <w:rsid w:val="00C34006"/>
    <w:rsid w:val="00C36372"/>
    <w:rsid w:val="00C36B4C"/>
    <w:rsid w:val="00C426B1"/>
    <w:rsid w:val="00C53087"/>
    <w:rsid w:val="00C66160"/>
    <w:rsid w:val="00C721AC"/>
    <w:rsid w:val="00C90D6A"/>
    <w:rsid w:val="00CA247E"/>
    <w:rsid w:val="00CA6D21"/>
    <w:rsid w:val="00CC5945"/>
    <w:rsid w:val="00CC72B6"/>
    <w:rsid w:val="00CF03AF"/>
    <w:rsid w:val="00D0218D"/>
    <w:rsid w:val="00D1450A"/>
    <w:rsid w:val="00D25FB5"/>
    <w:rsid w:val="00D275D1"/>
    <w:rsid w:val="00D35849"/>
    <w:rsid w:val="00D44223"/>
    <w:rsid w:val="00D80DBA"/>
    <w:rsid w:val="00D858E6"/>
    <w:rsid w:val="00DA2529"/>
    <w:rsid w:val="00DA4354"/>
    <w:rsid w:val="00DB130A"/>
    <w:rsid w:val="00DB2EBB"/>
    <w:rsid w:val="00DB7732"/>
    <w:rsid w:val="00DC0077"/>
    <w:rsid w:val="00DC027D"/>
    <w:rsid w:val="00DC0BA2"/>
    <w:rsid w:val="00DC10A1"/>
    <w:rsid w:val="00DC15F9"/>
    <w:rsid w:val="00DC26AF"/>
    <w:rsid w:val="00DC655F"/>
    <w:rsid w:val="00DD0B59"/>
    <w:rsid w:val="00DD7EBD"/>
    <w:rsid w:val="00DE79DC"/>
    <w:rsid w:val="00DF62B6"/>
    <w:rsid w:val="00E00F5A"/>
    <w:rsid w:val="00E07225"/>
    <w:rsid w:val="00E528F1"/>
    <w:rsid w:val="00E5409F"/>
    <w:rsid w:val="00E63B8C"/>
    <w:rsid w:val="00E73D55"/>
    <w:rsid w:val="00E82C10"/>
    <w:rsid w:val="00E964B0"/>
    <w:rsid w:val="00EE6488"/>
    <w:rsid w:val="00EE706C"/>
    <w:rsid w:val="00F021FA"/>
    <w:rsid w:val="00F462D5"/>
    <w:rsid w:val="00F62E97"/>
    <w:rsid w:val="00F64209"/>
    <w:rsid w:val="00F8564D"/>
    <w:rsid w:val="00F926A7"/>
    <w:rsid w:val="00F93B40"/>
    <w:rsid w:val="00F93BF5"/>
    <w:rsid w:val="00FB6F7D"/>
    <w:rsid w:val="00FD56AC"/>
    <w:rsid w:val="00FF3ECA"/>
    <w:rsid w:val="24F48353"/>
    <w:rsid w:val="504484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AA8D6F7"/>
  <w15:chartTrackingRefBased/>
  <w15:docId w15:val="{8B949B39-E652-4D39-B129-29445624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E07225"/>
    <w:pPr>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 Char Char Char1,Footnote Text Char Char1 Char Char Char Char,Footnote Text Char1,Footnote Text Char1 Char Char1 Char Char,Footnote Text Char2 Char1 Char,Footnote Text Char3 Char,Footnote Text Char5,fn"/>
    <w:link w:val="FootnoteTextChar"/>
    <w:rsid w:val="000E3D42"/>
    <w:pPr>
      <w:spacing w:after="120"/>
    </w:pPr>
  </w:style>
  <w:style w:type="character" w:styleId="FootnoteReference">
    <w:name w:val="footnote reference"/>
    <w:aliases w:val="(NECG) Footnote Reference,Appel note de bas de p,FR,Footnote Reference/,Style 12,Style 124,Style 13,Style 17,Style 3,Style 6,fr,o"/>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erChar">
    <w:name w:val="Footer Char"/>
    <w:link w:val="Footer"/>
    <w:uiPriority w:val="99"/>
    <w:rsid w:val="009D7308"/>
    <w:rPr>
      <w:snapToGrid w:val="0"/>
      <w:kern w:val="28"/>
      <w:sz w:val="22"/>
    </w:rPr>
  </w:style>
  <w:style w:type="character" w:customStyle="1" w:styleId="FootnoteTextChar">
    <w:name w:val="Footnote Text Char"/>
    <w:aliases w:val="Footnote Text Char Char Char Char1 Char,Footnote Text Char Char1 Char Char Char Char Char,Footnote Text Char1 Char,Footnote Text Char1 Char Char1 Char Char Char,Footnote Text Char2 Char1 Char Char,Footnote Text Char3 Char Char,fn Char"/>
    <w:basedOn w:val="DefaultParagraphFont"/>
    <w:link w:val="FootnoteText"/>
    <w:rsid w:val="00387854"/>
  </w:style>
  <w:style w:type="character" w:customStyle="1" w:styleId="ParaNumChar">
    <w:name w:val="ParaNum Char"/>
    <w:link w:val="ParaNum"/>
    <w:locked/>
    <w:rsid w:val="00387854"/>
    <w:rPr>
      <w:snapToGrid w:val="0"/>
      <w:kern w:val="28"/>
      <w:sz w:val="22"/>
    </w:rPr>
  </w:style>
  <w:style w:type="paragraph" w:styleId="Revision">
    <w:name w:val="Revision"/>
    <w:hidden/>
    <w:uiPriority w:val="99"/>
    <w:semiHidden/>
    <w:rsid w:val="00AB4DB2"/>
    <w:rPr>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mailto:fcc504@fcc.gov" TargetMode="External" /><Relationship Id="rId6" Type="http://schemas.openxmlformats.org/officeDocument/2006/relationships/hyperlink" Target="mailto:William.Wallace@fcc.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footnotes.xml.rels><?xml version="1.0" encoding="utf-8" standalone="yes"?><Relationships xmlns="http://schemas.openxmlformats.org/package/2006/relationships"><Relationship Id="rId1" Type="http://schemas.openxmlformats.org/officeDocument/2006/relationships/hyperlink" Target="https://www.fcc.gov/ecfs/document/12190888126091/1"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