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D16" w:rsidRPr="00757D16" w:rsidRDefault="00757D16" w:rsidP="00757D16">
      <w:pPr>
        <w:spacing w:after="0" w:line="240" w:lineRule="auto"/>
        <w:jc w:val="center"/>
        <w:rPr>
          <w:rFonts w:ascii="Times New Roman" w:eastAsia="Times New Roman" w:hAnsi="Times New Roman" w:cs="Times New Roman"/>
          <w:b/>
          <w:caps/>
          <w:snapToGrid w:val="0"/>
          <w:kern w:val="28"/>
        </w:rPr>
      </w:pPr>
      <w:bookmarkStart w:id="0" w:name="_GoBack"/>
      <w:bookmarkEnd w:id="0"/>
      <w:r w:rsidRPr="00757D16">
        <w:rPr>
          <w:rFonts w:ascii="Times New Roman" w:eastAsia="Times New Roman" w:hAnsi="Times New Roman" w:cs="Times New Roman"/>
          <w:b/>
          <w:caps/>
          <w:snapToGrid w:val="0"/>
          <w:kern w:val="28"/>
        </w:rPr>
        <w:t xml:space="preserve">Statement of </w:t>
      </w:r>
    </w:p>
    <w:p w:rsidR="00757D16" w:rsidRPr="00757D16" w:rsidRDefault="00757D16" w:rsidP="00757D16">
      <w:pPr>
        <w:spacing w:after="0" w:line="240" w:lineRule="auto"/>
        <w:jc w:val="center"/>
        <w:rPr>
          <w:rFonts w:ascii="Times New Roman" w:eastAsia="Times New Roman" w:hAnsi="Times New Roman" w:cs="Times New Roman"/>
          <w:b/>
          <w:caps/>
          <w:snapToGrid w:val="0"/>
          <w:kern w:val="28"/>
        </w:rPr>
      </w:pPr>
      <w:r w:rsidRPr="00757D16">
        <w:rPr>
          <w:rFonts w:ascii="Times New Roman" w:eastAsia="Times New Roman" w:hAnsi="Times New Roman" w:cs="Times New Roman"/>
          <w:b/>
          <w:caps/>
          <w:snapToGrid w:val="0"/>
          <w:kern w:val="28"/>
        </w:rPr>
        <w:t>Commissioner Mignon L. Clyburn</w:t>
      </w:r>
    </w:p>
    <w:p w:rsidR="00757D16" w:rsidRPr="00757D16" w:rsidRDefault="00757D16" w:rsidP="00757D16">
      <w:pPr>
        <w:spacing w:after="0" w:line="240" w:lineRule="auto"/>
        <w:jc w:val="center"/>
        <w:rPr>
          <w:rFonts w:ascii="Times New Roman" w:eastAsia="Times New Roman" w:hAnsi="Times New Roman" w:cs="Times New Roman"/>
          <w:b/>
          <w:snapToGrid w:val="0"/>
          <w:kern w:val="28"/>
        </w:rPr>
      </w:pPr>
    </w:p>
    <w:p w:rsidR="00757D16" w:rsidRPr="00757D16" w:rsidRDefault="00757D16" w:rsidP="00757D16">
      <w:pPr>
        <w:spacing w:after="0" w:line="240" w:lineRule="auto"/>
        <w:ind w:left="720" w:hanging="720"/>
        <w:rPr>
          <w:rFonts w:ascii="Times New Roman" w:eastAsia="Times New Roman" w:hAnsi="Times New Roman" w:cs="Times New Roman"/>
          <w:i/>
          <w:snapToGrid w:val="0"/>
          <w:kern w:val="28"/>
        </w:rPr>
      </w:pPr>
      <w:r w:rsidRPr="00757D16">
        <w:rPr>
          <w:rFonts w:ascii="Times New Roman" w:eastAsia="Times New Roman" w:hAnsi="Times New Roman" w:cs="Times New Roman"/>
          <w:i/>
          <w:snapToGrid w:val="0"/>
          <w:kern w:val="28"/>
        </w:rPr>
        <w:t>Re</w:t>
      </w:r>
      <w:r w:rsidRPr="00757D16">
        <w:rPr>
          <w:rFonts w:ascii="Times New Roman" w:eastAsia="Times New Roman" w:hAnsi="Times New Roman" w:cs="Times New Roman"/>
          <w:b/>
          <w:i/>
          <w:snapToGrid w:val="0"/>
          <w:kern w:val="28"/>
        </w:rPr>
        <w:t xml:space="preserve">: </w:t>
      </w:r>
      <w:r w:rsidRPr="00757D16">
        <w:rPr>
          <w:rFonts w:ascii="Times New Roman" w:eastAsia="Times New Roman" w:hAnsi="Times New Roman" w:cs="Times New Roman"/>
          <w:i/>
          <w:snapToGrid w:val="0"/>
          <w:kern w:val="28"/>
        </w:rPr>
        <w:t xml:space="preserve"> </w:t>
      </w:r>
      <w:r w:rsidRPr="00757D16">
        <w:rPr>
          <w:rFonts w:ascii="Times New Roman" w:eastAsia="Times New Roman" w:hAnsi="Times New Roman" w:cs="Times New Roman"/>
          <w:i/>
          <w:snapToGrid w:val="0"/>
          <w:kern w:val="28"/>
        </w:rPr>
        <w:tab/>
      </w:r>
      <w:r w:rsidRPr="00757D16">
        <w:rPr>
          <w:rFonts w:ascii="Times New Roman" w:eastAsia="Times New Roman" w:hAnsi="Times New Roman" w:cs="Times New Roman"/>
          <w:i/>
          <w:snapToGrid w:val="0"/>
          <w:spacing w:val="-2"/>
          <w:kern w:val="28"/>
        </w:rPr>
        <w:t xml:space="preserve">Technology Transitions, </w:t>
      </w:r>
      <w:r w:rsidRPr="00757D16">
        <w:rPr>
          <w:rFonts w:ascii="Times New Roman" w:eastAsia="Times New Roman" w:hAnsi="Times New Roman" w:cs="Times New Roman"/>
          <w:snapToGrid w:val="0"/>
          <w:spacing w:val="-2"/>
          <w:kern w:val="28"/>
        </w:rPr>
        <w:t>GN Docket No. 13-5;</w:t>
      </w:r>
      <w:r w:rsidRPr="00757D16">
        <w:rPr>
          <w:rFonts w:ascii="Times New Roman" w:eastAsia="Times New Roman" w:hAnsi="Times New Roman" w:cs="Times New Roman"/>
          <w:i/>
          <w:snapToGrid w:val="0"/>
          <w:spacing w:val="-2"/>
          <w:kern w:val="28"/>
        </w:rPr>
        <w:t xml:space="preserve"> AT&amp;T Petition to Launch a Proceeding Concerning the TDM-to-IP Transition, </w:t>
      </w:r>
      <w:r w:rsidRPr="00757D16">
        <w:rPr>
          <w:rFonts w:ascii="Times New Roman" w:eastAsia="Times New Roman" w:hAnsi="Times New Roman" w:cs="Times New Roman"/>
          <w:snapToGrid w:val="0"/>
          <w:spacing w:val="-2"/>
          <w:kern w:val="28"/>
        </w:rPr>
        <w:t>GN Docket No. 12-353</w:t>
      </w:r>
      <w:r w:rsidRPr="00757D16">
        <w:rPr>
          <w:rFonts w:ascii="Times New Roman" w:eastAsia="Times New Roman" w:hAnsi="Times New Roman" w:cs="Times New Roman"/>
          <w:i/>
          <w:snapToGrid w:val="0"/>
          <w:spacing w:val="-2"/>
          <w:kern w:val="28"/>
        </w:rPr>
        <w:t xml:space="preserve">; Connect America Fund, </w:t>
      </w:r>
      <w:r w:rsidRPr="00757D16">
        <w:rPr>
          <w:rFonts w:ascii="Times New Roman" w:eastAsia="Times New Roman" w:hAnsi="Times New Roman" w:cs="Times New Roman"/>
          <w:snapToGrid w:val="0"/>
          <w:spacing w:val="-2"/>
          <w:kern w:val="28"/>
        </w:rPr>
        <w:t xml:space="preserve">WC Docket No. 10-90; </w:t>
      </w:r>
      <w:r w:rsidRPr="00757D16">
        <w:rPr>
          <w:rFonts w:ascii="Times New Roman" w:eastAsia="Times New Roman" w:hAnsi="Times New Roman" w:cs="Times New Roman"/>
          <w:i/>
          <w:snapToGrid w:val="0"/>
          <w:spacing w:val="-2"/>
          <w:kern w:val="28"/>
        </w:rPr>
        <w:t xml:space="preserve">Structure and Practices of the Video Relay Service Program, </w:t>
      </w:r>
      <w:r w:rsidRPr="00757D16">
        <w:rPr>
          <w:rFonts w:ascii="Times New Roman" w:eastAsia="Times New Roman" w:hAnsi="Times New Roman" w:cs="Times New Roman"/>
          <w:snapToGrid w:val="0"/>
          <w:spacing w:val="-2"/>
          <w:kern w:val="28"/>
        </w:rPr>
        <w:t>CG Docket No.  10-51;</w:t>
      </w:r>
      <w:r w:rsidRPr="00757D16">
        <w:rPr>
          <w:rFonts w:ascii="Times New Roman" w:eastAsia="Times New Roman" w:hAnsi="Times New Roman" w:cs="Times New Roman"/>
          <w:i/>
          <w:snapToGrid w:val="0"/>
          <w:spacing w:val="-2"/>
          <w:kern w:val="28"/>
        </w:rPr>
        <w:t xml:space="preserve"> </w:t>
      </w:r>
      <w:r w:rsidRPr="00757D16">
        <w:rPr>
          <w:rFonts w:ascii="Times New Roman" w:eastAsia="Times New Roman" w:hAnsi="Times New Roman" w:cs="Times New Roman"/>
          <w:i/>
          <w:snapToGrid w:val="0"/>
          <w:kern w:val="28"/>
        </w:rPr>
        <w:t xml:space="preserve">Telecommunications Relay Services and Speech-to-Speech Services for Individuals with Hearing and Speech Disabilities, </w:t>
      </w:r>
      <w:r w:rsidRPr="00757D16">
        <w:rPr>
          <w:rFonts w:ascii="Times New Roman" w:eastAsia="Times New Roman" w:hAnsi="Times New Roman" w:cs="Times New Roman"/>
          <w:snapToGrid w:val="0"/>
          <w:kern w:val="28"/>
        </w:rPr>
        <w:t>CG Docket No. 03-123;</w:t>
      </w:r>
      <w:r w:rsidRPr="00757D16">
        <w:rPr>
          <w:rFonts w:ascii="Times New Roman" w:eastAsia="Times New Roman" w:hAnsi="Times New Roman" w:cs="Times New Roman"/>
          <w:i/>
          <w:snapToGrid w:val="0"/>
          <w:kern w:val="28"/>
        </w:rPr>
        <w:t xml:space="preserve"> Numbering Policies for Modern Communications, </w:t>
      </w:r>
      <w:r w:rsidRPr="00757D16">
        <w:rPr>
          <w:rFonts w:ascii="Times New Roman" w:eastAsia="Times New Roman" w:hAnsi="Times New Roman" w:cs="Times New Roman"/>
          <w:snapToGrid w:val="0"/>
          <w:kern w:val="28"/>
        </w:rPr>
        <w:t>WC Docket No. 13-97.</w:t>
      </w:r>
    </w:p>
    <w:p w:rsidR="00757D16" w:rsidRPr="00757D16" w:rsidRDefault="00757D16" w:rsidP="00757D16">
      <w:pPr>
        <w:spacing w:after="0" w:line="240" w:lineRule="auto"/>
        <w:rPr>
          <w:rFonts w:ascii="Times New Roman" w:eastAsia="Times New Roman" w:hAnsi="Times New Roman" w:cs="Times New Roman"/>
          <w:snapToGrid w:val="0"/>
          <w:kern w:val="28"/>
        </w:rPr>
      </w:pPr>
    </w:p>
    <w:p w:rsidR="00757D16" w:rsidRPr="00757D16" w:rsidRDefault="00757D16" w:rsidP="00757D16">
      <w:pPr>
        <w:spacing w:after="0" w:line="240" w:lineRule="auto"/>
        <w:ind w:firstLine="720"/>
        <w:rPr>
          <w:rFonts w:ascii="Times New Roman" w:eastAsia="Times New Roman" w:hAnsi="Times New Roman" w:cs="Times New Roman"/>
          <w:snapToGrid w:val="0"/>
          <w:kern w:val="28"/>
        </w:rPr>
      </w:pPr>
      <w:r w:rsidRPr="00757D16">
        <w:rPr>
          <w:rFonts w:ascii="Times New Roman" w:eastAsia="Times New Roman" w:hAnsi="Times New Roman" w:cs="Times New Roman"/>
          <w:snapToGrid w:val="0"/>
          <w:kern w:val="28"/>
        </w:rPr>
        <w:t xml:space="preserve">I say this quite often when it comes to technology that this is an exciting time to be in this space.  While walking the floor at the Consumer Electronics Show (CES) earlier this month, I had a first-hand view of new and innovative products that are game-changing, mind boggling, and life-altering.  Full color, 3-D printed confections (yes, I am still a bit fixated on customized sweets), a device that augments previously inaudible sounds which could help wounded soldiers improve their hearing and quality of life. The concept cars of yesterday are the smart cars of today and hold the promise of saving lives and avoiding collisions. Technological advancements and innovation abound with limitless potential.  </w:t>
      </w:r>
    </w:p>
    <w:p w:rsidR="00757D16" w:rsidRPr="00757D16" w:rsidRDefault="00757D16" w:rsidP="00757D16">
      <w:pPr>
        <w:spacing w:after="0" w:line="240" w:lineRule="auto"/>
        <w:rPr>
          <w:rFonts w:ascii="Times New Roman" w:eastAsia="Times New Roman" w:hAnsi="Times New Roman" w:cs="Times New Roman"/>
          <w:snapToGrid w:val="0"/>
          <w:kern w:val="28"/>
        </w:rPr>
      </w:pPr>
    </w:p>
    <w:p w:rsidR="00757D16" w:rsidRPr="00757D16" w:rsidRDefault="00757D16" w:rsidP="00757D16">
      <w:pPr>
        <w:spacing w:after="0" w:line="240" w:lineRule="auto"/>
        <w:rPr>
          <w:rFonts w:ascii="Times New Roman" w:eastAsia="Times New Roman" w:hAnsi="Times New Roman" w:cs="Times New Roman"/>
          <w:snapToGrid w:val="0"/>
          <w:kern w:val="28"/>
        </w:rPr>
      </w:pPr>
      <w:r w:rsidRPr="00757D16">
        <w:rPr>
          <w:rFonts w:ascii="Times New Roman" w:eastAsia="Times New Roman" w:hAnsi="Times New Roman" w:cs="Times New Roman"/>
          <w:snapToGrid w:val="0"/>
          <w:kern w:val="28"/>
        </w:rPr>
        <w:tab/>
        <w:t xml:space="preserve">I am proud to say that during my tenure, the Commission has taken a number of actions to promote investment and innovation in this area.  The National Broadband Plan will celebrate its fourth anniversary in March.  It set forth a blueprint for the nation to move from legacy telephone services to the broadband enabled era in all sectors, including health and education, and recommended that the Commission update its policies to promote and reflect IP networks.  </w:t>
      </w:r>
    </w:p>
    <w:p w:rsidR="00757D16" w:rsidRPr="00757D16" w:rsidRDefault="00757D16" w:rsidP="00757D16">
      <w:pPr>
        <w:spacing w:after="0" w:line="240" w:lineRule="auto"/>
        <w:rPr>
          <w:rFonts w:ascii="Times New Roman" w:eastAsia="Times New Roman" w:hAnsi="Times New Roman" w:cs="Times New Roman"/>
          <w:snapToGrid w:val="0"/>
          <w:kern w:val="28"/>
        </w:rPr>
      </w:pPr>
    </w:p>
    <w:p w:rsidR="00757D16" w:rsidRPr="00757D16" w:rsidRDefault="00757D16" w:rsidP="00757D16">
      <w:pPr>
        <w:spacing w:after="0" w:line="240" w:lineRule="auto"/>
        <w:ind w:firstLine="720"/>
        <w:rPr>
          <w:rFonts w:ascii="Times New Roman" w:eastAsia="Times New Roman" w:hAnsi="Times New Roman" w:cs="Times New Roman"/>
          <w:snapToGrid w:val="0"/>
          <w:kern w:val="28"/>
        </w:rPr>
      </w:pPr>
      <w:r w:rsidRPr="00757D16">
        <w:rPr>
          <w:rFonts w:ascii="Times New Roman" w:eastAsia="Times New Roman" w:hAnsi="Times New Roman" w:cs="Times New Roman"/>
          <w:snapToGrid w:val="0"/>
          <w:kern w:val="28"/>
        </w:rPr>
        <w:t>Today’s action, is another in a series that the Commission has undertaken to implement many of these recommendations, including the landmark, bipartisan reform of universal service and intercarrier compensation.  In acting on these recommendations the Commission found that these legacy systems not only were subsidizing services of a bygone era, but also were deterring the transition to IP networks.  The Commission provided a path to “promote innovation by eliminating barriers to the transformation of today’s telephone networks into the all-IP broadband networks of the future.”</w:t>
      </w:r>
      <w:r w:rsidRPr="00757D16">
        <w:rPr>
          <w:rFonts w:ascii="Times New Roman" w:eastAsia="Times New Roman" w:hAnsi="Times New Roman" w:cs="Times New Roman"/>
          <w:snapToGrid w:val="0"/>
          <w:kern w:val="28"/>
          <w:vertAlign w:val="superscript"/>
        </w:rPr>
        <w:footnoteReference w:id="1"/>
      </w:r>
      <w:r w:rsidRPr="00757D16">
        <w:rPr>
          <w:rFonts w:ascii="Times New Roman" w:eastAsia="Times New Roman" w:hAnsi="Times New Roman" w:cs="Times New Roman"/>
          <w:snapToGrid w:val="0"/>
          <w:kern w:val="28"/>
        </w:rPr>
        <w:t xml:space="preserve"> </w:t>
      </w:r>
    </w:p>
    <w:p w:rsidR="00757D16" w:rsidRPr="00757D16" w:rsidRDefault="00757D16" w:rsidP="00757D16">
      <w:pPr>
        <w:spacing w:after="0" w:line="240" w:lineRule="auto"/>
        <w:rPr>
          <w:rFonts w:ascii="Times New Roman" w:eastAsia="Times New Roman" w:hAnsi="Times New Roman" w:cs="Times New Roman"/>
          <w:snapToGrid w:val="0"/>
          <w:kern w:val="28"/>
        </w:rPr>
      </w:pPr>
    </w:p>
    <w:p w:rsidR="00757D16" w:rsidRPr="00757D16" w:rsidRDefault="00757D16" w:rsidP="00757D16">
      <w:pPr>
        <w:spacing w:after="0" w:line="240" w:lineRule="auto"/>
        <w:rPr>
          <w:rFonts w:ascii="Times New Roman" w:eastAsia="Times New Roman" w:hAnsi="Times New Roman" w:cs="Times New Roman"/>
          <w:snapToGrid w:val="0"/>
          <w:kern w:val="28"/>
        </w:rPr>
      </w:pPr>
      <w:r w:rsidRPr="00757D16">
        <w:rPr>
          <w:rFonts w:ascii="Times New Roman" w:eastAsia="Times New Roman" w:hAnsi="Times New Roman" w:cs="Times New Roman"/>
          <w:snapToGrid w:val="0"/>
          <w:kern w:val="28"/>
        </w:rPr>
        <w:tab/>
        <w:t xml:space="preserve">In the two years since the Commission adopted the </w:t>
      </w:r>
      <w:r w:rsidRPr="00757D16">
        <w:rPr>
          <w:rFonts w:ascii="Times New Roman" w:eastAsia="Times New Roman" w:hAnsi="Times New Roman" w:cs="Times New Roman"/>
          <w:i/>
          <w:snapToGrid w:val="0"/>
          <w:kern w:val="28"/>
        </w:rPr>
        <w:t>USF/ICC Transformation Order</w:t>
      </w:r>
      <w:r w:rsidRPr="00757D16">
        <w:rPr>
          <w:rFonts w:ascii="Times New Roman" w:eastAsia="Times New Roman" w:hAnsi="Times New Roman" w:cs="Times New Roman"/>
          <w:snapToGrid w:val="0"/>
          <w:kern w:val="28"/>
        </w:rPr>
        <w:t xml:space="preserve">, providers have increased their deployment of IP equipment and facilities so much so that today we launch a process for interested parties to submit proposals for experiments, which would shift entirely away from legacy equipment and facilities.  I am pleased that the Order recognizes what I have maintained all along – that the core values embodied in the Communications Act – competition, consumer protection, universal service and public safety, do not change as technologies evolve, and must guide the Commission’s process going forward.  While the transition holds potential for the introduction of next generation 911, with features such as video call and more reliability and redundancy, there is also a risk of unintended consequences for consumers, public safety, and competition.  The parameters for these experiments, including protections for these core values as well as the means to identify data that would be useful for experiments should provide the Commission and the states information needed to make decisions going </w:t>
      </w:r>
      <w:r w:rsidRPr="00757D16">
        <w:rPr>
          <w:rFonts w:ascii="Times New Roman" w:eastAsia="Times New Roman" w:hAnsi="Times New Roman" w:cs="Times New Roman"/>
          <w:snapToGrid w:val="0"/>
          <w:kern w:val="28"/>
        </w:rPr>
        <w:lastRenderedPageBreak/>
        <w:t xml:space="preserve">forward.  I am also pleased that the Order instructs the Commission to consult with states and Tribal governments in geographic areas where entities propose a trial.  </w:t>
      </w:r>
    </w:p>
    <w:p w:rsidR="00757D16" w:rsidRPr="00757D16" w:rsidRDefault="00757D16" w:rsidP="00757D16">
      <w:pPr>
        <w:spacing w:after="0" w:line="240" w:lineRule="auto"/>
        <w:rPr>
          <w:rFonts w:ascii="Times New Roman" w:eastAsia="Times New Roman" w:hAnsi="Times New Roman" w:cs="Times New Roman"/>
          <w:snapToGrid w:val="0"/>
          <w:kern w:val="28"/>
        </w:rPr>
      </w:pPr>
    </w:p>
    <w:p w:rsidR="00757D16" w:rsidRPr="00757D16" w:rsidRDefault="00757D16" w:rsidP="00757D16">
      <w:pPr>
        <w:spacing w:after="0" w:line="240" w:lineRule="auto"/>
        <w:rPr>
          <w:rFonts w:ascii="Times New Roman" w:eastAsia="Times New Roman" w:hAnsi="Times New Roman" w:cs="Times New Roman"/>
          <w:snapToGrid w:val="0"/>
          <w:kern w:val="28"/>
        </w:rPr>
      </w:pPr>
      <w:r w:rsidRPr="00757D16">
        <w:rPr>
          <w:rFonts w:ascii="Times New Roman" w:eastAsia="Times New Roman" w:hAnsi="Times New Roman" w:cs="Times New Roman"/>
          <w:snapToGrid w:val="0"/>
          <w:kern w:val="28"/>
        </w:rPr>
        <w:tab/>
        <w:t xml:space="preserve">At the same time, we must acknowledge that not everyone in this country has the luxury of being able to take advantage of those products, devices and applications I saw at CES.  Most of us in this room are fortunate to have the ability to be the first adopters, but millions cannot because they live in rural areas.  Millions more have access but cannot afford to do so. The Commission has a duty as provided in section 254 of the Telecommunications Act to close digital divides and ensure that all Americans, including low-income consumers and those in rural, insular and high cost areas have access to advanced telecommunications and information services reasonably comparable to those in urban areas. </w:t>
      </w:r>
    </w:p>
    <w:p w:rsidR="00757D16" w:rsidRPr="00757D16" w:rsidRDefault="00757D16" w:rsidP="00757D16">
      <w:pPr>
        <w:spacing w:after="0" w:line="240" w:lineRule="auto"/>
        <w:rPr>
          <w:rFonts w:ascii="Times New Roman" w:eastAsia="Times New Roman" w:hAnsi="Times New Roman" w:cs="Times New Roman"/>
          <w:snapToGrid w:val="0"/>
          <w:kern w:val="28"/>
        </w:rPr>
      </w:pPr>
    </w:p>
    <w:p w:rsidR="00757D16" w:rsidRPr="00757D16" w:rsidRDefault="00757D16" w:rsidP="00757D16">
      <w:pPr>
        <w:spacing w:after="0" w:line="240" w:lineRule="auto"/>
        <w:rPr>
          <w:rFonts w:ascii="Times New Roman" w:eastAsia="Times New Roman" w:hAnsi="Times New Roman" w:cs="Times New Roman"/>
          <w:snapToGrid w:val="0"/>
          <w:kern w:val="28"/>
        </w:rPr>
      </w:pPr>
      <w:r w:rsidRPr="00757D16">
        <w:rPr>
          <w:rFonts w:ascii="Times New Roman" w:eastAsia="Times New Roman" w:hAnsi="Times New Roman" w:cs="Times New Roman"/>
          <w:snapToGrid w:val="0"/>
          <w:kern w:val="28"/>
        </w:rPr>
        <w:tab/>
        <w:t xml:space="preserve">I remain firmly committed to ensuring that the Commission lives up to this Congressional mandate, and I believe the rural broadband trials in the Order and Further Notice could be a vehicle to help achieve these goals.  The </w:t>
      </w:r>
      <w:r w:rsidRPr="00757D16">
        <w:rPr>
          <w:rFonts w:ascii="Times New Roman" w:eastAsia="Times New Roman" w:hAnsi="Times New Roman" w:cs="Times New Roman"/>
          <w:i/>
          <w:snapToGrid w:val="0"/>
          <w:kern w:val="28"/>
        </w:rPr>
        <w:t>USF/ICC</w:t>
      </w:r>
      <w:r w:rsidRPr="00757D16">
        <w:rPr>
          <w:rFonts w:ascii="Times New Roman" w:eastAsia="Times New Roman" w:hAnsi="Times New Roman" w:cs="Times New Roman"/>
          <w:snapToGrid w:val="0"/>
          <w:kern w:val="28"/>
        </w:rPr>
        <w:t xml:space="preserve"> </w:t>
      </w:r>
      <w:r w:rsidRPr="00757D16">
        <w:rPr>
          <w:rFonts w:ascii="Times New Roman" w:eastAsia="Times New Roman" w:hAnsi="Times New Roman" w:cs="Times New Roman"/>
          <w:i/>
          <w:snapToGrid w:val="0"/>
          <w:kern w:val="28"/>
        </w:rPr>
        <w:t>Transformation Order</w:t>
      </w:r>
      <w:r w:rsidRPr="00757D16">
        <w:rPr>
          <w:rFonts w:ascii="Times New Roman" w:eastAsia="Times New Roman" w:hAnsi="Times New Roman" w:cs="Times New Roman"/>
          <w:snapToGrid w:val="0"/>
          <w:kern w:val="28"/>
        </w:rPr>
        <w:t xml:space="preserve"> sets up a process to give incumbent carriers the right of first refusal to accept or decline state-wide support using a forward-looking cost model to provide broadband and voice to unserved areas.  The Commission sought comment on the competitive process for the distributing Connect American Fund Phase II support in areas where the incumbent declines its right of first refusal. These rural broadband trials could help facilitate the Commission’s ability to structure the competitive process, while the Order makes clear that the distribution of Phase II support under the forward-looking model continues on a parallel track without delay.  </w:t>
      </w:r>
    </w:p>
    <w:p w:rsidR="00757D16" w:rsidRPr="00757D16" w:rsidRDefault="00757D16" w:rsidP="00757D16">
      <w:pPr>
        <w:spacing w:after="0" w:line="240" w:lineRule="auto"/>
        <w:rPr>
          <w:rFonts w:ascii="Times New Roman" w:eastAsia="Times New Roman" w:hAnsi="Times New Roman" w:cs="Times New Roman"/>
          <w:snapToGrid w:val="0"/>
          <w:kern w:val="28"/>
        </w:rPr>
      </w:pPr>
    </w:p>
    <w:p w:rsidR="00757D16" w:rsidRPr="00757D16" w:rsidRDefault="00757D16" w:rsidP="00757D16">
      <w:pPr>
        <w:spacing w:after="0" w:line="240" w:lineRule="auto"/>
        <w:rPr>
          <w:rFonts w:ascii="Times New Roman" w:eastAsia="Times New Roman" w:hAnsi="Times New Roman" w:cs="Times New Roman"/>
          <w:snapToGrid w:val="0"/>
          <w:kern w:val="28"/>
        </w:rPr>
      </w:pPr>
      <w:r w:rsidRPr="00757D16">
        <w:rPr>
          <w:rFonts w:ascii="Times New Roman" w:eastAsia="Times New Roman" w:hAnsi="Times New Roman" w:cs="Times New Roman"/>
          <w:snapToGrid w:val="0"/>
          <w:kern w:val="28"/>
        </w:rPr>
        <w:tab/>
        <w:t xml:space="preserve">These rural broadband experiments and the technology transitions, present an incredible opportunity to explore how best to achieve the Commission’s goals adopted in the </w:t>
      </w:r>
      <w:r w:rsidRPr="00757D16">
        <w:rPr>
          <w:rFonts w:ascii="Times New Roman" w:eastAsia="Times New Roman" w:hAnsi="Times New Roman" w:cs="Times New Roman"/>
          <w:i/>
          <w:snapToGrid w:val="0"/>
          <w:kern w:val="28"/>
        </w:rPr>
        <w:t>USF/ICC Transformation Order</w:t>
      </w:r>
      <w:r w:rsidRPr="00757D16">
        <w:rPr>
          <w:rFonts w:ascii="Times New Roman" w:eastAsia="Times New Roman" w:hAnsi="Times New Roman" w:cs="Times New Roman"/>
          <w:snapToGrid w:val="0"/>
          <w:kern w:val="28"/>
        </w:rPr>
        <w:t xml:space="preserve"> of “ensur[ing] universal availability of modern networks capable of providing voice and broadband service to homes, businesses, and community anchor institutions.”</w:t>
      </w:r>
      <w:r w:rsidRPr="00757D16">
        <w:rPr>
          <w:rFonts w:ascii="Times New Roman" w:eastAsia="Times New Roman" w:hAnsi="Times New Roman" w:cs="Times New Roman"/>
          <w:snapToGrid w:val="0"/>
          <w:kern w:val="28"/>
          <w:vertAlign w:val="superscript"/>
        </w:rPr>
        <w:footnoteReference w:id="2"/>
      </w:r>
      <w:r w:rsidRPr="00757D16">
        <w:rPr>
          <w:rFonts w:ascii="Times New Roman" w:eastAsia="Times New Roman" w:hAnsi="Times New Roman" w:cs="Times New Roman"/>
          <w:snapToGrid w:val="0"/>
          <w:kern w:val="28"/>
        </w:rPr>
        <w:t xml:space="preserve">  Connecting anchor institutions was something I strongly advocated leading up to the adoption of the </w:t>
      </w:r>
      <w:r w:rsidRPr="00757D16">
        <w:rPr>
          <w:rFonts w:ascii="Times New Roman" w:eastAsia="Times New Roman" w:hAnsi="Times New Roman" w:cs="Times New Roman"/>
          <w:i/>
          <w:snapToGrid w:val="0"/>
          <w:kern w:val="28"/>
        </w:rPr>
        <w:t>USF/ICC Transformation Order</w:t>
      </w:r>
      <w:r w:rsidRPr="00757D16">
        <w:rPr>
          <w:rFonts w:ascii="Times New Roman" w:eastAsia="Times New Roman" w:hAnsi="Times New Roman" w:cs="Times New Roman"/>
          <w:snapToGrid w:val="0"/>
          <w:kern w:val="28"/>
        </w:rPr>
        <w:t xml:space="preserve">.   I believe the Commission should leverage the Connect America Fund to achieve all of our obligations in section 254 including serving rural and low-income consumers, and connecting anchor institutions and health care facilities.  This Order invites experiments to further explore these issues, to ensure that the goals of connecting anchor institutions in the </w:t>
      </w:r>
      <w:r w:rsidRPr="00757D16">
        <w:rPr>
          <w:rFonts w:ascii="Times New Roman" w:eastAsia="Times New Roman" w:hAnsi="Times New Roman" w:cs="Times New Roman"/>
          <w:i/>
          <w:snapToGrid w:val="0"/>
          <w:kern w:val="28"/>
        </w:rPr>
        <w:t>USF/ICC Transformation Order</w:t>
      </w:r>
      <w:r w:rsidRPr="00757D16">
        <w:rPr>
          <w:rFonts w:ascii="Times New Roman" w:eastAsia="Times New Roman" w:hAnsi="Times New Roman" w:cs="Times New Roman"/>
          <w:snapToGrid w:val="0"/>
          <w:kern w:val="28"/>
        </w:rPr>
        <w:t xml:space="preserve"> are realized. </w:t>
      </w:r>
    </w:p>
    <w:p w:rsidR="00757D16" w:rsidRPr="00757D16" w:rsidRDefault="00757D16" w:rsidP="00757D16">
      <w:pPr>
        <w:spacing w:after="0" w:line="240" w:lineRule="auto"/>
        <w:rPr>
          <w:rFonts w:ascii="Times New Roman" w:eastAsia="Times New Roman" w:hAnsi="Times New Roman" w:cs="Times New Roman"/>
          <w:snapToGrid w:val="0"/>
          <w:kern w:val="28"/>
        </w:rPr>
      </w:pPr>
    </w:p>
    <w:p w:rsidR="00757D16" w:rsidRPr="00757D16" w:rsidRDefault="00757D16" w:rsidP="00757D16">
      <w:pPr>
        <w:spacing w:after="0" w:line="240" w:lineRule="auto"/>
        <w:rPr>
          <w:rFonts w:ascii="Times New Roman" w:eastAsia="Times New Roman" w:hAnsi="Times New Roman" w:cs="Times New Roman"/>
          <w:snapToGrid w:val="0"/>
          <w:kern w:val="28"/>
        </w:rPr>
      </w:pPr>
      <w:r w:rsidRPr="00757D16">
        <w:rPr>
          <w:rFonts w:ascii="Times New Roman" w:eastAsia="Times New Roman" w:hAnsi="Times New Roman" w:cs="Times New Roman"/>
          <w:snapToGrid w:val="0"/>
          <w:kern w:val="28"/>
        </w:rPr>
        <w:tab/>
        <w:t xml:space="preserve">I appreciate the support of my request for comment on healthcare broadband experiments which could ensure that consumers and health care providers in rural areas have access to advanced telemedicine and other remote monitoring services.  Technological advancements are transforming the delivery of healthcare, and some Americans stand to be left behind because they either lack access, or the means, to these services. I believe our universal service mandate includes ensuring that consumers have access to these advanced services, and hope to work with the Chairman and my colleagues to move quickly to adopt an order approving these healthcare trials.  </w:t>
      </w:r>
    </w:p>
    <w:p w:rsidR="00757D16" w:rsidRPr="00757D16" w:rsidRDefault="00757D16" w:rsidP="00757D16">
      <w:pPr>
        <w:spacing w:after="0" w:line="240" w:lineRule="auto"/>
        <w:rPr>
          <w:rFonts w:ascii="Times New Roman" w:eastAsia="Times New Roman" w:hAnsi="Times New Roman" w:cs="Times New Roman"/>
          <w:snapToGrid w:val="0"/>
          <w:kern w:val="28"/>
        </w:rPr>
      </w:pPr>
      <w:r w:rsidRPr="00757D16">
        <w:rPr>
          <w:rFonts w:ascii="Times New Roman" w:eastAsia="Times New Roman" w:hAnsi="Times New Roman" w:cs="Times New Roman"/>
          <w:snapToGrid w:val="0"/>
          <w:kern w:val="28"/>
        </w:rPr>
        <w:tab/>
      </w:r>
    </w:p>
    <w:p w:rsidR="00757D16" w:rsidRPr="00757D16" w:rsidRDefault="00757D16" w:rsidP="00757D16">
      <w:pPr>
        <w:spacing w:after="0" w:line="240" w:lineRule="auto"/>
        <w:rPr>
          <w:rFonts w:ascii="Times New Roman" w:eastAsia="Times New Roman" w:hAnsi="Times New Roman" w:cs="Times New Roman"/>
          <w:snapToGrid w:val="0"/>
          <w:kern w:val="28"/>
        </w:rPr>
      </w:pPr>
      <w:r w:rsidRPr="00757D16">
        <w:rPr>
          <w:rFonts w:ascii="Times New Roman" w:eastAsia="Times New Roman" w:hAnsi="Times New Roman" w:cs="Times New Roman"/>
          <w:snapToGrid w:val="0"/>
          <w:kern w:val="28"/>
        </w:rPr>
        <w:tab/>
        <w:t xml:space="preserve">With regard to disabilities access, I am excited that the Order adopts the $3 million budget proposed in the Video Relay Services Reform Order for research focusing on the impact of IP-based technologies and services for persons with disabilities.  The goal is to ensure, that the Telecommunications Relay Services, offer functionally equivalent voice services, and improve the efficiency and availability of TRS. Research here could focus on the specific needs of this community including effects on different demographics, and the relationship with health care.  The technology transitions have opened tremendous doors and opportunities for persons with disabilities and I strongly </w:t>
      </w:r>
      <w:r w:rsidRPr="00757D16">
        <w:rPr>
          <w:rFonts w:ascii="Times New Roman" w:eastAsia="Times New Roman" w:hAnsi="Times New Roman" w:cs="Times New Roman"/>
          <w:snapToGrid w:val="0"/>
          <w:kern w:val="28"/>
        </w:rPr>
        <w:lastRenderedPageBreak/>
        <w:t>encourage all interested parties to submit research proposals for the Commission’s consideration to evaluate how to improve our TRS services.</w:t>
      </w:r>
    </w:p>
    <w:p w:rsidR="00757D16" w:rsidRPr="00757D16" w:rsidRDefault="00757D16" w:rsidP="00757D16">
      <w:pPr>
        <w:spacing w:after="0" w:line="240" w:lineRule="auto"/>
        <w:rPr>
          <w:rFonts w:ascii="Times New Roman" w:eastAsia="Times New Roman" w:hAnsi="Times New Roman" w:cs="Times New Roman"/>
          <w:snapToGrid w:val="0"/>
          <w:kern w:val="28"/>
        </w:rPr>
      </w:pPr>
    </w:p>
    <w:p w:rsidR="00757D16" w:rsidRPr="00757D16" w:rsidRDefault="00757D16" w:rsidP="00757D16">
      <w:pPr>
        <w:spacing w:after="0" w:line="240" w:lineRule="auto"/>
        <w:rPr>
          <w:rFonts w:ascii="Times New Roman" w:eastAsia="Times New Roman" w:hAnsi="Times New Roman" w:cs="Times New Roman"/>
          <w:snapToGrid w:val="0"/>
          <w:kern w:val="28"/>
        </w:rPr>
      </w:pPr>
      <w:r w:rsidRPr="00757D16">
        <w:rPr>
          <w:rFonts w:ascii="Times New Roman" w:eastAsia="Times New Roman" w:hAnsi="Times New Roman" w:cs="Times New Roman"/>
          <w:snapToGrid w:val="0"/>
          <w:kern w:val="28"/>
        </w:rPr>
        <w:tab/>
        <w:t xml:space="preserve">Finally, I am pleased my colleagues agreed with my suggestion to seek the input of the Federal-State Joint Conference on Advanced Telecommunications Services a request to help improve the Commission’s own consumer complaint processes, by learning best practices from the states.  I believe we can learn from our state partners, particularly on consumer complaints, something that states know very well. </w:t>
      </w:r>
    </w:p>
    <w:p w:rsidR="00757D16" w:rsidRPr="00757D16" w:rsidRDefault="00757D16" w:rsidP="00757D16">
      <w:pPr>
        <w:spacing w:after="0" w:line="240" w:lineRule="auto"/>
        <w:rPr>
          <w:rFonts w:ascii="Times New Roman" w:eastAsia="Times New Roman" w:hAnsi="Times New Roman" w:cs="Times New Roman"/>
          <w:snapToGrid w:val="0"/>
          <w:kern w:val="28"/>
        </w:rPr>
      </w:pPr>
    </w:p>
    <w:p w:rsidR="00757D16" w:rsidRPr="00757D16" w:rsidRDefault="00757D16" w:rsidP="00757D16">
      <w:pPr>
        <w:spacing w:after="0" w:line="240" w:lineRule="auto"/>
        <w:rPr>
          <w:rFonts w:ascii="Times New Roman" w:eastAsia="Times New Roman" w:hAnsi="Times New Roman" w:cs="Times New Roman"/>
          <w:snapToGrid w:val="0"/>
          <w:kern w:val="28"/>
        </w:rPr>
      </w:pPr>
      <w:r w:rsidRPr="00757D16">
        <w:rPr>
          <w:rFonts w:ascii="Times New Roman" w:eastAsia="Times New Roman" w:hAnsi="Times New Roman" w:cs="Times New Roman"/>
          <w:snapToGrid w:val="0"/>
          <w:kern w:val="28"/>
        </w:rPr>
        <w:tab/>
        <w:t>This item is comprehensive in scope, and I want to thank the Chairman for his leadership, and the dedicated team of public servants, who worked so diligently.  While the list includes many talented staff in virtually all of the Commission’s Bureaus and Offices, allow me to specifically thank, Jonathan Sallet, Stephanie Weiner, Jonathan Chambers, Nick Alexander, Matthew Quinn, Julie Veach, Carol Mattey, Tim Stelzig, Admiral David Simpson, and Henning Schulzrinne.</w:t>
      </w:r>
    </w:p>
    <w:p w:rsidR="00757D16" w:rsidRPr="00757D16" w:rsidRDefault="00757D16" w:rsidP="00757D16">
      <w:pPr>
        <w:spacing w:after="0" w:line="240" w:lineRule="auto"/>
        <w:rPr>
          <w:rFonts w:ascii="Times New Roman" w:eastAsia="Times New Roman" w:hAnsi="Times New Roman" w:cs="Times New Roman"/>
          <w:snapToGrid w:val="0"/>
          <w:kern w:val="28"/>
        </w:rPr>
      </w:pPr>
      <w:r w:rsidRPr="00757D16">
        <w:rPr>
          <w:rFonts w:ascii="Times New Roman" w:eastAsia="Times New Roman" w:hAnsi="Times New Roman" w:cs="Times New Roman"/>
          <w:snapToGrid w:val="0"/>
          <w:kern w:val="28"/>
        </w:rPr>
        <w:tab/>
      </w:r>
    </w:p>
    <w:p w:rsidR="00171016" w:rsidRPr="00757D16" w:rsidRDefault="00171016"/>
    <w:sectPr w:rsidR="00171016" w:rsidRPr="00757D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AA" w:rsidRDefault="007933AA" w:rsidP="00757D16">
      <w:pPr>
        <w:spacing w:after="0" w:line="240" w:lineRule="auto"/>
      </w:pPr>
      <w:r>
        <w:separator/>
      </w:r>
    </w:p>
  </w:endnote>
  <w:endnote w:type="continuationSeparator" w:id="0">
    <w:p w:rsidR="007933AA" w:rsidRDefault="007933AA" w:rsidP="0075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95" w:rsidRDefault="009561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95" w:rsidRDefault="009561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95" w:rsidRDefault="00956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AA" w:rsidRDefault="007933AA" w:rsidP="00757D16">
      <w:pPr>
        <w:spacing w:after="0" w:line="240" w:lineRule="auto"/>
      </w:pPr>
      <w:r>
        <w:separator/>
      </w:r>
    </w:p>
  </w:footnote>
  <w:footnote w:type="continuationSeparator" w:id="0">
    <w:p w:rsidR="007933AA" w:rsidRDefault="007933AA" w:rsidP="00757D16">
      <w:pPr>
        <w:spacing w:after="0" w:line="240" w:lineRule="auto"/>
      </w:pPr>
      <w:r>
        <w:continuationSeparator/>
      </w:r>
    </w:p>
  </w:footnote>
  <w:footnote w:id="1">
    <w:p w:rsidR="00757D16" w:rsidRPr="00EF2CA6" w:rsidRDefault="00757D16" w:rsidP="00757D16">
      <w:pPr>
        <w:pStyle w:val="FootnoteText"/>
        <w:rPr>
          <w:rFonts w:ascii="Times New Roman" w:hAnsi="Times New Roman" w:cs="Times New Roman"/>
        </w:rPr>
      </w:pPr>
      <w:r w:rsidRPr="00EF2CA6">
        <w:rPr>
          <w:rStyle w:val="FootnoteReference"/>
          <w:rFonts w:cs="Times New Roman"/>
        </w:rPr>
        <w:footnoteRef/>
      </w:r>
      <w:r w:rsidRPr="00EF2CA6">
        <w:rPr>
          <w:rFonts w:ascii="Times New Roman" w:hAnsi="Times New Roman" w:cs="Times New Roman"/>
        </w:rPr>
        <w:t xml:space="preserve"> </w:t>
      </w:r>
      <w:r w:rsidRPr="00EF2CA6">
        <w:rPr>
          <w:rFonts w:ascii="Times New Roman" w:hAnsi="Times New Roman" w:cs="Times New Roman"/>
          <w:i/>
        </w:rPr>
        <w:t>See</w:t>
      </w:r>
      <w:r w:rsidRPr="00EF2CA6">
        <w:rPr>
          <w:rFonts w:ascii="Times New Roman" w:hAnsi="Times New Roman" w:cs="Times New Roman"/>
        </w:rPr>
        <w:t xml:space="preserve"> </w:t>
      </w:r>
      <w:r w:rsidRPr="00EF2CA6">
        <w:rPr>
          <w:rFonts w:ascii="Times New Roman" w:hAnsi="Times New Roman" w:cs="Times New Roman"/>
          <w:i/>
          <w:iCs/>
        </w:rPr>
        <w:t>Connect America Fund</w:t>
      </w:r>
      <w:r w:rsidRPr="00EF2CA6">
        <w:rPr>
          <w:rFonts w:ascii="Times New Roman" w:hAnsi="Times New Roman" w:cs="Times New Roman"/>
          <w:iCs/>
        </w:rPr>
        <w:t>;</w:t>
      </w:r>
      <w:r w:rsidRPr="00EF2CA6">
        <w:rPr>
          <w:rFonts w:ascii="Times New Roman" w:hAnsi="Times New Roman" w:cs="Times New Roman"/>
          <w:i/>
          <w:iCs/>
        </w:rPr>
        <w:t xml:space="preserve"> A National Broadband Plan for Our Future; Establishing Just and Reasonable Rates for Local Exchange Carriers; High-Cost Universal Service Support; Developing an Unified Intercarrier Compensation Regime; Federal-State Joint Board on Universal Service; Lifeline and Link-Up</w:t>
      </w:r>
      <w:r w:rsidRPr="00EF2CA6">
        <w:rPr>
          <w:rFonts w:ascii="Times New Roman" w:hAnsi="Times New Roman" w:cs="Times New Roman"/>
          <w:iCs/>
        </w:rPr>
        <w:t xml:space="preserve">; </w:t>
      </w:r>
      <w:r w:rsidRPr="00EF2CA6">
        <w:rPr>
          <w:rFonts w:ascii="Times New Roman" w:hAnsi="Times New Roman" w:cs="Times New Roman"/>
          <w:i/>
          <w:iCs/>
        </w:rPr>
        <w:t>Universal Service Reform</w:t>
      </w:r>
      <w:r w:rsidRPr="00EF2CA6">
        <w:rPr>
          <w:rFonts w:ascii="Times New Roman" w:hAnsi="Times New Roman" w:cs="Times New Roman"/>
        </w:rPr>
        <w:t xml:space="preserve"> – </w:t>
      </w:r>
      <w:r w:rsidRPr="00EF2CA6">
        <w:rPr>
          <w:rFonts w:ascii="Times New Roman" w:hAnsi="Times New Roman" w:cs="Times New Roman"/>
          <w:i/>
          <w:iCs/>
        </w:rPr>
        <w:t>Mobility Fund</w:t>
      </w:r>
      <w:r w:rsidRPr="00EF2CA6">
        <w:rPr>
          <w:rFonts w:ascii="Times New Roman" w:hAnsi="Times New Roman" w:cs="Times New Roman"/>
          <w:i/>
        </w:rPr>
        <w:t>,</w:t>
      </w:r>
      <w:r w:rsidRPr="00EF2CA6">
        <w:rPr>
          <w:rFonts w:ascii="Times New Roman" w:hAnsi="Times New Roman" w:cs="Times New Roman"/>
        </w:rPr>
        <w:t xml:space="preserve"> WC Docket Nos. 10-90, 07-135, 05-337, 03-109, GN Docket No. 09-51, CC Docket Nos. 01-92, 96-45, WT Docket No. 10-208, Report and Order and Further Notice of Proposed Rulemaking, 26 FCC Rcd 17663, 17680 para. 648 (2011) (</w:t>
      </w:r>
      <w:r w:rsidRPr="00EF2CA6">
        <w:rPr>
          <w:rFonts w:ascii="Times New Roman" w:hAnsi="Times New Roman" w:cs="Times New Roman"/>
          <w:i/>
          <w:iCs/>
        </w:rPr>
        <w:t>USF/ICC Transformation Order</w:t>
      </w:r>
      <w:r w:rsidRPr="00EF2CA6">
        <w:rPr>
          <w:rFonts w:ascii="Times New Roman" w:hAnsi="Times New Roman" w:cs="Times New Roman"/>
        </w:rPr>
        <w:t>),</w:t>
      </w:r>
      <w:r w:rsidRPr="00EF2CA6">
        <w:rPr>
          <w:rFonts w:ascii="Times New Roman" w:hAnsi="Times New Roman" w:cs="Times New Roman"/>
          <w:i/>
          <w:iCs/>
        </w:rPr>
        <w:t xml:space="preserve"> pets. for review pending</w:t>
      </w:r>
      <w:r w:rsidRPr="00EF2CA6">
        <w:rPr>
          <w:rFonts w:ascii="Times New Roman" w:hAnsi="Times New Roman" w:cs="Times New Roman"/>
        </w:rPr>
        <w:t xml:space="preserve"> </w:t>
      </w:r>
      <w:r w:rsidRPr="00EF2CA6">
        <w:rPr>
          <w:rFonts w:ascii="Times New Roman" w:hAnsi="Times New Roman" w:cs="Times New Roman"/>
          <w:i/>
          <w:iCs/>
        </w:rPr>
        <w:t xml:space="preserve">sub nom. In re </w:t>
      </w:r>
      <w:r w:rsidRPr="00EF2CA6">
        <w:rPr>
          <w:rFonts w:ascii="Times New Roman" w:hAnsi="Times New Roman" w:cs="Times New Roman"/>
          <w:iCs/>
        </w:rPr>
        <w:t>FCC 11-161</w:t>
      </w:r>
      <w:r w:rsidRPr="00EF2CA6">
        <w:rPr>
          <w:rFonts w:ascii="Times New Roman" w:hAnsi="Times New Roman" w:cs="Times New Roman"/>
          <w:i/>
          <w:iCs/>
        </w:rPr>
        <w:t xml:space="preserve">, </w:t>
      </w:r>
      <w:r w:rsidRPr="00EF2CA6">
        <w:rPr>
          <w:rFonts w:ascii="Times New Roman" w:hAnsi="Times New Roman" w:cs="Times New Roman"/>
        </w:rPr>
        <w:t xml:space="preserve">No. 11-9900 (10th Cir. filed Dec. 8, 2011). </w:t>
      </w:r>
    </w:p>
  </w:footnote>
  <w:footnote w:id="2">
    <w:p w:rsidR="00757D16" w:rsidRPr="00EF2CA6" w:rsidRDefault="00757D16" w:rsidP="00757D16">
      <w:pPr>
        <w:pStyle w:val="FootnoteText"/>
        <w:rPr>
          <w:rFonts w:ascii="Times New Roman" w:hAnsi="Times New Roman" w:cs="Times New Roman"/>
        </w:rPr>
      </w:pPr>
      <w:r w:rsidRPr="00EF2CA6">
        <w:rPr>
          <w:rStyle w:val="FootnoteReference"/>
          <w:rFonts w:cs="Times New Roman"/>
        </w:rPr>
        <w:footnoteRef/>
      </w:r>
      <w:r w:rsidRPr="00EF2CA6">
        <w:rPr>
          <w:rFonts w:ascii="Times New Roman" w:hAnsi="Times New Roman" w:cs="Times New Roman"/>
        </w:rPr>
        <w:t xml:space="preserve"> </w:t>
      </w:r>
      <w:r w:rsidRPr="00EF2CA6">
        <w:rPr>
          <w:rFonts w:ascii="Times New Roman" w:hAnsi="Times New Roman" w:cs="Times New Roman"/>
          <w:i/>
          <w:iCs/>
        </w:rPr>
        <w:t xml:space="preserve">USF/ICC Transformation Order, </w:t>
      </w:r>
      <w:r w:rsidRPr="00EF2CA6">
        <w:rPr>
          <w:rFonts w:ascii="Times New Roman" w:hAnsi="Times New Roman" w:cs="Times New Roman"/>
        </w:rPr>
        <w:t>26 FCC Rcd at 17873, para.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95" w:rsidRDefault="009561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95" w:rsidRDefault="00956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95" w:rsidRDefault="009561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16"/>
    <w:rsid w:val="00171016"/>
    <w:rsid w:val="004A3404"/>
    <w:rsid w:val="00757D16"/>
    <w:rsid w:val="007933AA"/>
    <w:rsid w:val="00956195"/>
    <w:rsid w:val="00BB444A"/>
    <w:rsid w:val="00EF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7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D16"/>
    <w:rPr>
      <w:sz w:val="20"/>
      <w:szCs w:val="20"/>
    </w:rPr>
  </w:style>
  <w:style w:type="character" w:styleId="FootnoteReference">
    <w:name w:val="footnote reference"/>
    <w:aliases w:val="Style 13,Style 12,(NECG) Footnote Reference,Appel note de bas de p,Style 124,o,fr,Style 3,FR,Style 17,Footnote Reference/,Style 6,Style 7"/>
    <w:rsid w:val="00757D16"/>
    <w:rPr>
      <w:rFonts w:ascii="Times New Roman" w:hAnsi="Times New Roman"/>
      <w:dstrike w:val="0"/>
      <w:color w:val="auto"/>
      <w:sz w:val="20"/>
      <w:vertAlign w:val="superscript"/>
    </w:rPr>
  </w:style>
  <w:style w:type="paragraph" w:styleId="Header">
    <w:name w:val="header"/>
    <w:basedOn w:val="Normal"/>
    <w:link w:val="HeaderChar"/>
    <w:uiPriority w:val="99"/>
    <w:unhideWhenUsed/>
    <w:rsid w:val="00956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195"/>
  </w:style>
  <w:style w:type="paragraph" w:styleId="Footer">
    <w:name w:val="footer"/>
    <w:basedOn w:val="Normal"/>
    <w:link w:val="FooterChar"/>
    <w:uiPriority w:val="99"/>
    <w:unhideWhenUsed/>
    <w:rsid w:val="00956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1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7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D16"/>
    <w:rPr>
      <w:sz w:val="20"/>
      <w:szCs w:val="20"/>
    </w:rPr>
  </w:style>
  <w:style w:type="character" w:styleId="FootnoteReference">
    <w:name w:val="footnote reference"/>
    <w:aliases w:val="Style 13,Style 12,(NECG) Footnote Reference,Appel note de bas de p,Style 124,o,fr,Style 3,FR,Style 17,Footnote Reference/,Style 6,Style 7"/>
    <w:rsid w:val="00757D16"/>
    <w:rPr>
      <w:rFonts w:ascii="Times New Roman" w:hAnsi="Times New Roman"/>
      <w:dstrike w:val="0"/>
      <w:color w:val="auto"/>
      <w:sz w:val="20"/>
      <w:vertAlign w:val="superscript"/>
    </w:rPr>
  </w:style>
  <w:style w:type="paragraph" w:styleId="Header">
    <w:name w:val="header"/>
    <w:basedOn w:val="Normal"/>
    <w:link w:val="HeaderChar"/>
    <w:uiPriority w:val="99"/>
    <w:unhideWhenUsed/>
    <w:rsid w:val="00956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195"/>
  </w:style>
  <w:style w:type="paragraph" w:styleId="Footer">
    <w:name w:val="footer"/>
    <w:basedOn w:val="Normal"/>
    <w:link w:val="FooterChar"/>
    <w:uiPriority w:val="99"/>
    <w:unhideWhenUsed/>
    <w:rsid w:val="00956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7112</Characters>
  <Application>Microsoft Office Word</Application>
  <DocSecurity>0</DocSecurity>
  <Lines>105</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8424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2014-01-31T20:17:00Z</dcterms:created>
  <dcterms:modified xsi:type="dcterms:W3CDTF">2014-01-31T20:17:00Z</dcterms:modified>
  <cp:category> </cp:category>
  <cp:contentStatus> </cp:contentStatus>
</cp:coreProperties>
</file>