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04" w:rsidRPr="00A604A0" w:rsidRDefault="00134604" w:rsidP="00134604">
      <w:pPr>
        <w:pStyle w:val="StyleBoldCentered"/>
        <w:rPr>
          <w:caps w:val="0"/>
        </w:rPr>
      </w:pPr>
      <w:bookmarkStart w:id="0" w:name="_GoBack"/>
      <w:bookmarkEnd w:id="0"/>
      <w:r w:rsidRPr="00A604A0">
        <w:rPr>
          <w:caps w:val="0"/>
        </w:rPr>
        <w:t>Before the</w:t>
      </w:r>
    </w:p>
    <w:p w:rsidR="00134604" w:rsidRDefault="00134604" w:rsidP="00134604">
      <w:pPr>
        <w:pStyle w:val="StyleBoldCentered"/>
      </w:pPr>
      <w:r>
        <w:t>F</w:t>
      </w:r>
      <w:r>
        <w:rPr>
          <w:caps w:val="0"/>
        </w:rPr>
        <w:t>ederal Communications Commission</w:t>
      </w:r>
    </w:p>
    <w:p w:rsidR="00134604" w:rsidRDefault="00134604" w:rsidP="00134604">
      <w:pPr>
        <w:pStyle w:val="StyleBoldCentered"/>
      </w:pPr>
      <w:r>
        <w:rPr>
          <w:caps w:val="0"/>
        </w:rPr>
        <w:t>Washington, D.C. 20554</w:t>
      </w:r>
    </w:p>
    <w:p w:rsidR="00134604" w:rsidRDefault="00134604" w:rsidP="00134604"/>
    <w:tbl>
      <w:tblPr>
        <w:tblW w:w="0" w:type="auto"/>
        <w:tblLayout w:type="fixed"/>
        <w:tblLook w:val="0000" w:firstRow="0" w:lastRow="0" w:firstColumn="0" w:lastColumn="0" w:noHBand="0" w:noVBand="0"/>
      </w:tblPr>
      <w:tblGrid>
        <w:gridCol w:w="4698"/>
        <w:gridCol w:w="630"/>
        <w:gridCol w:w="4248"/>
      </w:tblGrid>
      <w:tr w:rsidR="00134604" w:rsidTr="001B42F7">
        <w:tc>
          <w:tcPr>
            <w:tcW w:w="4698" w:type="dxa"/>
          </w:tcPr>
          <w:p w:rsidR="00134604" w:rsidRDefault="00134604" w:rsidP="001B42F7">
            <w:pPr>
              <w:tabs>
                <w:tab w:val="center" w:pos="4680"/>
              </w:tabs>
              <w:suppressAutoHyphens/>
              <w:rPr>
                <w:spacing w:val="-2"/>
              </w:rPr>
            </w:pPr>
            <w:r>
              <w:rPr>
                <w:spacing w:val="-2"/>
              </w:rPr>
              <w:t>In the Matter of</w:t>
            </w:r>
          </w:p>
          <w:p w:rsidR="00134604" w:rsidRDefault="00134604" w:rsidP="001B42F7">
            <w:pPr>
              <w:tabs>
                <w:tab w:val="center" w:pos="4680"/>
              </w:tabs>
              <w:suppressAutoHyphens/>
              <w:rPr>
                <w:spacing w:val="-2"/>
              </w:rPr>
            </w:pPr>
          </w:p>
          <w:p w:rsidR="00134604" w:rsidRPr="004F45AE" w:rsidRDefault="00134604" w:rsidP="001B42F7">
            <w:pPr>
              <w:tabs>
                <w:tab w:val="center" w:pos="4680"/>
              </w:tabs>
              <w:suppressAutoHyphens/>
              <w:rPr>
                <w:spacing w:val="-2"/>
              </w:rPr>
            </w:pPr>
            <w:r w:rsidRPr="004F45AE">
              <w:rPr>
                <w:spacing w:val="-2"/>
              </w:rPr>
              <w:t xml:space="preserve">Structure and Practices of the Video Relay Service Program </w:t>
            </w:r>
          </w:p>
          <w:p w:rsidR="00134604" w:rsidRPr="004F45AE" w:rsidRDefault="00134604" w:rsidP="001B42F7">
            <w:pPr>
              <w:tabs>
                <w:tab w:val="center" w:pos="4680"/>
              </w:tabs>
              <w:suppressAutoHyphens/>
              <w:rPr>
                <w:spacing w:val="-2"/>
              </w:rPr>
            </w:pPr>
          </w:p>
          <w:p w:rsidR="00134604" w:rsidRPr="004F45AE" w:rsidRDefault="00134604" w:rsidP="001B42F7">
            <w:pPr>
              <w:tabs>
                <w:tab w:val="center" w:pos="4680"/>
              </w:tabs>
              <w:suppressAutoHyphens/>
              <w:rPr>
                <w:spacing w:val="-2"/>
              </w:rPr>
            </w:pPr>
            <w:r w:rsidRPr="004F45AE">
              <w:rPr>
                <w:spacing w:val="-2"/>
              </w:rPr>
              <w:t>Telecommunications Relay Services and Speech-to-Speech Services for Individuals with Hearing and Speech Disabilities</w:t>
            </w:r>
          </w:p>
          <w:p w:rsidR="00134604" w:rsidRPr="007115F7" w:rsidRDefault="00134604" w:rsidP="001B42F7">
            <w:pPr>
              <w:tabs>
                <w:tab w:val="center" w:pos="4680"/>
              </w:tabs>
              <w:suppressAutoHyphens/>
              <w:rPr>
                <w:spacing w:val="-2"/>
              </w:rPr>
            </w:pPr>
          </w:p>
        </w:tc>
        <w:tc>
          <w:tcPr>
            <w:tcW w:w="630" w:type="dxa"/>
          </w:tcPr>
          <w:p w:rsidR="00134604" w:rsidRDefault="00134604" w:rsidP="001B42F7">
            <w:pPr>
              <w:tabs>
                <w:tab w:val="center" w:pos="4680"/>
              </w:tabs>
              <w:suppressAutoHyphens/>
              <w:rPr>
                <w:b/>
                <w:spacing w:val="-2"/>
              </w:rPr>
            </w:pPr>
            <w:r>
              <w:rPr>
                <w:b/>
                <w:spacing w:val="-2"/>
              </w:rPr>
              <w:t>)</w:t>
            </w:r>
          </w:p>
          <w:p w:rsidR="00134604" w:rsidRDefault="00134604" w:rsidP="001B42F7">
            <w:pPr>
              <w:tabs>
                <w:tab w:val="center" w:pos="4680"/>
              </w:tabs>
              <w:suppressAutoHyphens/>
              <w:rPr>
                <w:b/>
                <w:spacing w:val="-2"/>
              </w:rPr>
            </w:pPr>
            <w:r>
              <w:rPr>
                <w:b/>
                <w:spacing w:val="-2"/>
              </w:rPr>
              <w:t>)</w:t>
            </w:r>
          </w:p>
          <w:p w:rsidR="00134604" w:rsidRDefault="00134604" w:rsidP="001B42F7">
            <w:pPr>
              <w:tabs>
                <w:tab w:val="center" w:pos="4680"/>
              </w:tabs>
              <w:suppressAutoHyphens/>
              <w:rPr>
                <w:b/>
                <w:spacing w:val="-2"/>
              </w:rPr>
            </w:pPr>
            <w:r>
              <w:rPr>
                <w:b/>
                <w:spacing w:val="-2"/>
              </w:rPr>
              <w:t>)</w:t>
            </w:r>
          </w:p>
          <w:p w:rsidR="00134604" w:rsidRDefault="00134604" w:rsidP="001B42F7">
            <w:pPr>
              <w:tabs>
                <w:tab w:val="center" w:pos="4680"/>
              </w:tabs>
              <w:suppressAutoHyphens/>
              <w:rPr>
                <w:b/>
                <w:spacing w:val="-2"/>
              </w:rPr>
            </w:pPr>
            <w:r>
              <w:rPr>
                <w:b/>
                <w:spacing w:val="-2"/>
              </w:rPr>
              <w:t>)</w:t>
            </w:r>
          </w:p>
          <w:p w:rsidR="00134604" w:rsidRDefault="00134604" w:rsidP="001B42F7">
            <w:pPr>
              <w:tabs>
                <w:tab w:val="center" w:pos="4680"/>
              </w:tabs>
              <w:suppressAutoHyphens/>
              <w:rPr>
                <w:b/>
                <w:spacing w:val="-2"/>
              </w:rPr>
            </w:pPr>
            <w:r>
              <w:rPr>
                <w:b/>
                <w:spacing w:val="-2"/>
              </w:rPr>
              <w:t>)</w:t>
            </w:r>
          </w:p>
          <w:p w:rsidR="00134604" w:rsidRDefault="00134604" w:rsidP="001B42F7">
            <w:pPr>
              <w:tabs>
                <w:tab w:val="center" w:pos="4680"/>
              </w:tabs>
              <w:suppressAutoHyphens/>
              <w:rPr>
                <w:b/>
                <w:spacing w:val="-2"/>
              </w:rPr>
            </w:pPr>
            <w:r>
              <w:rPr>
                <w:b/>
                <w:spacing w:val="-2"/>
              </w:rPr>
              <w:t>)</w:t>
            </w:r>
          </w:p>
          <w:p w:rsidR="00134604" w:rsidRDefault="00134604" w:rsidP="001B42F7">
            <w:pPr>
              <w:tabs>
                <w:tab w:val="center" w:pos="4680"/>
              </w:tabs>
              <w:suppressAutoHyphens/>
              <w:rPr>
                <w:b/>
                <w:spacing w:val="-2"/>
              </w:rPr>
            </w:pPr>
            <w:r>
              <w:rPr>
                <w:b/>
                <w:spacing w:val="-2"/>
              </w:rPr>
              <w:t>)</w:t>
            </w:r>
          </w:p>
          <w:p w:rsidR="00134604" w:rsidRPr="00C254BF" w:rsidRDefault="00134604" w:rsidP="001B42F7">
            <w:pPr>
              <w:tabs>
                <w:tab w:val="center" w:pos="4680"/>
              </w:tabs>
              <w:suppressAutoHyphens/>
              <w:rPr>
                <w:b/>
                <w:spacing w:val="-2"/>
              </w:rPr>
            </w:pPr>
            <w:r>
              <w:rPr>
                <w:b/>
                <w:spacing w:val="-2"/>
              </w:rPr>
              <w:t>)</w:t>
            </w:r>
          </w:p>
        </w:tc>
        <w:tc>
          <w:tcPr>
            <w:tcW w:w="4248" w:type="dxa"/>
          </w:tcPr>
          <w:p w:rsidR="00134604" w:rsidRDefault="00134604" w:rsidP="001B42F7">
            <w:pPr>
              <w:tabs>
                <w:tab w:val="center" w:pos="4680"/>
              </w:tabs>
              <w:suppressAutoHyphens/>
              <w:rPr>
                <w:spacing w:val="-2"/>
              </w:rPr>
            </w:pPr>
          </w:p>
          <w:p w:rsidR="00134604" w:rsidRPr="00596EBF" w:rsidRDefault="00134604" w:rsidP="001B42F7">
            <w:pPr>
              <w:pStyle w:val="TOAHeading"/>
              <w:tabs>
                <w:tab w:val="clear" w:pos="9360"/>
                <w:tab w:val="center" w:pos="4680"/>
              </w:tabs>
            </w:pPr>
          </w:p>
          <w:p w:rsidR="00134604" w:rsidRPr="00596EBF" w:rsidRDefault="00134604" w:rsidP="001B42F7">
            <w:pPr>
              <w:pStyle w:val="TOAHeading"/>
            </w:pPr>
            <w:r w:rsidRPr="00596EBF">
              <w:t>CG Docket No. 10-51</w:t>
            </w:r>
          </w:p>
          <w:p w:rsidR="00134604" w:rsidRPr="00596EBF" w:rsidRDefault="00134604" w:rsidP="001B42F7">
            <w:pPr>
              <w:pStyle w:val="TOAHeading"/>
              <w:tabs>
                <w:tab w:val="clear" w:pos="9360"/>
                <w:tab w:val="center" w:pos="4680"/>
              </w:tabs>
            </w:pPr>
          </w:p>
          <w:p w:rsidR="00134604" w:rsidRPr="00596EBF" w:rsidRDefault="00134604" w:rsidP="001B42F7">
            <w:pPr>
              <w:pStyle w:val="TOAHeading"/>
              <w:tabs>
                <w:tab w:val="clear" w:pos="9360"/>
                <w:tab w:val="center" w:pos="4680"/>
              </w:tabs>
            </w:pPr>
          </w:p>
          <w:p w:rsidR="00C254BF" w:rsidRDefault="00134604" w:rsidP="001B42F7">
            <w:pPr>
              <w:tabs>
                <w:tab w:val="center" w:pos="4680"/>
              </w:tabs>
              <w:suppressAutoHyphens/>
              <w:rPr>
                <w:spacing w:val="-2"/>
              </w:rPr>
            </w:pPr>
            <w:r w:rsidRPr="00596EBF">
              <w:rPr>
                <w:spacing w:val="-2"/>
              </w:rPr>
              <w:t>CG Docket No. 03-123</w:t>
            </w:r>
          </w:p>
          <w:p w:rsidR="00C254BF" w:rsidRPr="00C254BF" w:rsidRDefault="00C254BF" w:rsidP="00C254BF"/>
          <w:p w:rsidR="00C254BF" w:rsidRDefault="00C254BF" w:rsidP="00C254BF"/>
          <w:p w:rsidR="00134604" w:rsidRPr="00C254BF" w:rsidRDefault="00C254BF" w:rsidP="00C254BF">
            <w:pPr>
              <w:tabs>
                <w:tab w:val="left" w:pos="1180"/>
              </w:tabs>
            </w:pPr>
            <w:r>
              <w:tab/>
            </w:r>
          </w:p>
        </w:tc>
      </w:tr>
    </w:tbl>
    <w:p w:rsidR="00134604" w:rsidRDefault="00134604" w:rsidP="00134604"/>
    <w:p w:rsidR="00134604" w:rsidRDefault="00134604" w:rsidP="00134604">
      <w:pPr>
        <w:pStyle w:val="StyleBoldCentered"/>
      </w:pPr>
      <w:r>
        <w:t>report and order, notice of inquiry, further notice of proposed rulemaking, and order</w:t>
      </w:r>
    </w:p>
    <w:p w:rsidR="00134604" w:rsidRPr="00C939E2" w:rsidRDefault="00134604" w:rsidP="00134604">
      <w:pPr>
        <w:tabs>
          <w:tab w:val="left" w:pos="-720"/>
        </w:tabs>
        <w:suppressAutoHyphens/>
        <w:spacing w:line="227" w:lineRule="auto"/>
        <w:rPr>
          <w:spacing w:val="-2"/>
        </w:rPr>
      </w:pPr>
    </w:p>
    <w:p w:rsidR="00134604" w:rsidRDefault="00134604" w:rsidP="00134604">
      <w:pPr>
        <w:tabs>
          <w:tab w:val="left" w:pos="720"/>
          <w:tab w:val="right" w:pos="9360"/>
        </w:tabs>
        <w:suppressAutoHyphens/>
        <w:spacing w:line="227" w:lineRule="auto"/>
        <w:rPr>
          <w:spacing w:val="-2"/>
        </w:rPr>
      </w:pPr>
      <w:r>
        <w:rPr>
          <w:b/>
          <w:spacing w:val="-2"/>
        </w:rPr>
        <w:t xml:space="preserve">Adopted:  </w:t>
      </w:r>
      <w:r w:rsidR="000F784D">
        <w:rPr>
          <w:b/>
          <w:spacing w:val="-2"/>
        </w:rPr>
        <w:t>March 23, 2017</w:t>
      </w:r>
      <w:r>
        <w:rPr>
          <w:b/>
          <w:spacing w:val="-2"/>
        </w:rPr>
        <w:tab/>
        <w:t xml:space="preserve">Released:  </w:t>
      </w:r>
      <w:r w:rsidR="000F784D">
        <w:rPr>
          <w:b/>
          <w:spacing w:val="-2"/>
        </w:rPr>
        <w:t>March 23, 2017</w:t>
      </w:r>
    </w:p>
    <w:p w:rsidR="00134604" w:rsidRDefault="00134604" w:rsidP="00134604"/>
    <w:p w:rsidR="00134604" w:rsidRDefault="00134604" w:rsidP="00134604">
      <w:pPr>
        <w:widowControl/>
        <w:rPr>
          <w:b/>
          <w:szCs w:val="22"/>
        </w:rPr>
      </w:pPr>
      <w:r>
        <w:rPr>
          <w:b/>
          <w:szCs w:val="22"/>
        </w:rPr>
        <w:t>Comment Date for Sections IV.A–B and F:  April 24, 2017</w:t>
      </w:r>
    </w:p>
    <w:p w:rsidR="00134604" w:rsidRPr="004C52D0" w:rsidRDefault="00134604" w:rsidP="00134604">
      <w:pPr>
        <w:widowControl/>
        <w:rPr>
          <w:b/>
          <w:szCs w:val="22"/>
        </w:rPr>
      </w:pPr>
      <w:r>
        <w:rPr>
          <w:b/>
          <w:szCs w:val="22"/>
        </w:rPr>
        <w:t>Reply Comment Date for Sections IV.A–B and F:  May 4, 2017</w:t>
      </w:r>
    </w:p>
    <w:p w:rsidR="00134604" w:rsidRDefault="00134604" w:rsidP="00134604"/>
    <w:p w:rsidR="00134604" w:rsidRDefault="00134604" w:rsidP="00134604">
      <w:pPr>
        <w:widowControl/>
        <w:rPr>
          <w:b/>
          <w:szCs w:val="22"/>
        </w:rPr>
      </w:pPr>
      <w:r>
        <w:rPr>
          <w:b/>
          <w:szCs w:val="22"/>
        </w:rPr>
        <w:t>Comment Date for Part III and Sections IV.C–E and G–H:  (45 days after Publication in the Federal Register)</w:t>
      </w:r>
    </w:p>
    <w:p w:rsidR="00134604" w:rsidRPr="004C52D0" w:rsidRDefault="00134604" w:rsidP="00134604">
      <w:pPr>
        <w:widowControl/>
        <w:rPr>
          <w:b/>
          <w:szCs w:val="22"/>
        </w:rPr>
      </w:pPr>
      <w:r>
        <w:rPr>
          <w:b/>
          <w:szCs w:val="22"/>
        </w:rPr>
        <w:t>Reply Comment Date for Part III and Sections IV.C–E and G–H:  (75 days after Publication in the Federal Register)</w:t>
      </w:r>
    </w:p>
    <w:p w:rsidR="00134604" w:rsidRDefault="00134604" w:rsidP="00134604"/>
    <w:p w:rsidR="00134604" w:rsidRDefault="00134604" w:rsidP="00134604">
      <w:pPr>
        <w:rPr>
          <w:spacing w:val="-2"/>
        </w:rPr>
      </w:pPr>
      <w:r>
        <w:t xml:space="preserve">By the </w:t>
      </w:r>
      <w:r>
        <w:rPr>
          <w:spacing w:val="-2"/>
        </w:rPr>
        <w:t>Commission:</w:t>
      </w:r>
      <w:r w:rsidR="00C254BF">
        <w:rPr>
          <w:spacing w:val="-2"/>
        </w:rPr>
        <w:t xml:space="preserve">  Chairman Pai and Commissioners Clyburn and O’Rielly issuing separate statements.</w:t>
      </w:r>
    </w:p>
    <w:p w:rsidR="00134604" w:rsidRDefault="00134604" w:rsidP="00134604">
      <w:pPr>
        <w:rPr>
          <w:spacing w:val="-2"/>
        </w:rPr>
      </w:pPr>
    </w:p>
    <w:p w:rsidR="00134604" w:rsidRDefault="00134604" w:rsidP="00134604">
      <w:pPr>
        <w:pStyle w:val="TOCTitle"/>
      </w:pPr>
      <w:bookmarkStart w:id="1" w:name="TOChere"/>
      <w:r>
        <w:t>Table of Contents</w:t>
      </w:r>
    </w:p>
    <w:p w:rsidR="00134604" w:rsidRDefault="00134604" w:rsidP="00134604">
      <w:pPr>
        <w:pStyle w:val="Paratitle"/>
      </w:pPr>
      <w:r>
        <w:t>Heading</w:t>
      </w:r>
      <w:r>
        <w:tab/>
        <w:t>Paragraph #</w:t>
      </w:r>
      <w:bookmarkStart w:id="2" w:name="start_here"/>
      <w:bookmarkEnd w:id="2"/>
    </w:p>
    <w:p w:rsidR="00134604" w:rsidRPr="00134604" w:rsidRDefault="00134604" w:rsidP="00134604">
      <w:pPr>
        <w:pStyle w:val="TOC1"/>
        <w:rPr>
          <w:rFonts w:ascii="Calibri" w:hAnsi="Calibri"/>
          <w:caps w:val="0"/>
          <w:snapToGrid/>
          <w:kern w:val="0"/>
          <w:szCs w:val="22"/>
        </w:rPr>
      </w:pPr>
      <w:r>
        <w:t>I.</w:t>
      </w:r>
      <w:r w:rsidRPr="00134604">
        <w:rPr>
          <w:rFonts w:ascii="Calibri" w:hAnsi="Calibri"/>
          <w:caps w:val="0"/>
          <w:snapToGrid/>
          <w:kern w:val="0"/>
          <w:szCs w:val="22"/>
        </w:rPr>
        <w:tab/>
      </w:r>
      <w:r>
        <w:t>introduction</w:t>
      </w:r>
      <w:r>
        <w:tab/>
        <w:t>1</w:t>
      </w:r>
    </w:p>
    <w:p w:rsidR="00134604" w:rsidRPr="00134604" w:rsidRDefault="00134604" w:rsidP="00134604">
      <w:pPr>
        <w:pStyle w:val="TOC1"/>
        <w:rPr>
          <w:rFonts w:ascii="Calibri" w:hAnsi="Calibri"/>
          <w:caps w:val="0"/>
          <w:snapToGrid/>
          <w:kern w:val="0"/>
          <w:szCs w:val="22"/>
        </w:rPr>
      </w:pPr>
      <w:r w:rsidRPr="000507FF">
        <w:rPr>
          <w:rFonts w:eastAsia="Calibri"/>
          <w:snapToGrid/>
        </w:rPr>
        <w:t>II.</w:t>
      </w:r>
      <w:r w:rsidRPr="00134604">
        <w:rPr>
          <w:rFonts w:ascii="Calibri" w:hAnsi="Calibri"/>
          <w:caps w:val="0"/>
          <w:snapToGrid/>
          <w:kern w:val="0"/>
          <w:szCs w:val="22"/>
        </w:rPr>
        <w:tab/>
      </w:r>
      <w:r w:rsidRPr="000507FF">
        <w:rPr>
          <w:rFonts w:eastAsia="Calibri"/>
          <w:snapToGrid/>
        </w:rPr>
        <w:t>Report and Order ON VRS ImPROVEMENTS</w:t>
      </w:r>
      <w:r>
        <w:tab/>
        <w:t>2</w:t>
      </w:r>
    </w:p>
    <w:p w:rsidR="00134604" w:rsidRPr="00134604" w:rsidRDefault="00134604" w:rsidP="00134604">
      <w:pPr>
        <w:pStyle w:val="TOC2"/>
        <w:tabs>
          <w:tab w:val="left" w:pos="360"/>
        </w:tabs>
        <w:rPr>
          <w:rFonts w:ascii="Calibri" w:hAnsi="Calibri"/>
          <w:snapToGrid/>
          <w:kern w:val="0"/>
          <w:szCs w:val="22"/>
        </w:rPr>
      </w:pPr>
      <w:r>
        <w:t>A.</w:t>
      </w:r>
      <w:r w:rsidRPr="00134604">
        <w:rPr>
          <w:rFonts w:ascii="Calibri" w:hAnsi="Calibri"/>
          <w:snapToGrid/>
          <w:kern w:val="0"/>
          <w:szCs w:val="22"/>
        </w:rPr>
        <w:tab/>
      </w:r>
      <w:r>
        <w:t>Background</w:t>
      </w:r>
      <w:r>
        <w:tab/>
        <w:t>2</w:t>
      </w:r>
    </w:p>
    <w:p w:rsidR="00134604" w:rsidRPr="00134604" w:rsidRDefault="00134604" w:rsidP="00134604">
      <w:pPr>
        <w:pStyle w:val="TOC2"/>
        <w:tabs>
          <w:tab w:val="left" w:pos="360"/>
        </w:tabs>
        <w:rPr>
          <w:rFonts w:ascii="Calibri" w:hAnsi="Calibri"/>
          <w:snapToGrid/>
          <w:kern w:val="0"/>
          <w:szCs w:val="22"/>
        </w:rPr>
      </w:pPr>
      <w:r>
        <w:t>B.</w:t>
      </w:r>
      <w:r w:rsidRPr="00134604">
        <w:rPr>
          <w:rFonts w:ascii="Calibri" w:hAnsi="Calibri"/>
          <w:snapToGrid/>
          <w:kern w:val="0"/>
          <w:szCs w:val="22"/>
        </w:rPr>
        <w:tab/>
      </w:r>
      <w:r>
        <w:t>Trial of Skills-Based Routing</w:t>
      </w:r>
      <w:r>
        <w:tab/>
        <w:t>4</w:t>
      </w:r>
    </w:p>
    <w:p w:rsidR="00134604" w:rsidRPr="00134604" w:rsidRDefault="00134604" w:rsidP="00134604">
      <w:pPr>
        <w:pStyle w:val="TOC3"/>
        <w:tabs>
          <w:tab w:val="left" w:pos="360"/>
        </w:tabs>
        <w:rPr>
          <w:rFonts w:ascii="Calibri" w:hAnsi="Calibri"/>
          <w:snapToGrid/>
          <w:kern w:val="0"/>
          <w:szCs w:val="22"/>
        </w:rPr>
      </w:pPr>
      <w:r>
        <w:t>1.</w:t>
      </w:r>
      <w:r w:rsidRPr="00134604">
        <w:rPr>
          <w:rFonts w:ascii="Calibri" w:hAnsi="Calibri"/>
          <w:snapToGrid/>
          <w:kern w:val="0"/>
          <w:szCs w:val="22"/>
        </w:rPr>
        <w:tab/>
      </w:r>
      <w:r>
        <w:t>Rule Waivers</w:t>
      </w:r>
      <w:r>
        <w:tab/>
        <w:t>10</w:t>
      </w:r>
    </w:p>
    <w:p w:rsidR="00134604" w:rsidRPr="00134604" w:rsidRDefault="00134604" w:rsidP="00134604">
      <w:pPr>
        <w:pStyle w:val="TOC3"/>
        <w:tabs>
          <w:tab w:val="left" w:pos="360"/>
        </w:tabs>
        <w:rPr>
          <w:rFonts w:ascii="Calibri" w:hAnsi="Calibri"/>
          <w:snapToGrid/>
          <w:kern w:val="0"/>
          <w:szCs w:val="22"/>
        </w:rPr>
      </w:pPr>
      <w:r>
        <w:t>2.</w:t>
      </w:r>
      <w:r w:rsidRPr="00134604">
        <w:rPr>
          <w:rFonts w:ascii="Calibri" w:hAnsi="Calibri"/>
          <w:snapToGrid/>
          <w:kern w:val="0"/>
          <w:szCs w:val="22"/>
        </w:rPr>
        <w:tab/>
      </w:r>
      <w:r>
        <w:t>Data Collection</w:t>
      </w:r>
      <w:r>
        <w:tab/>
        <w:t>15</w:t>
      </w:r>
    </w:p>
    <w:p w:rsidR="00134604" w:rsidRPr="00134604" w:rsidRDefault="00134604" w:rsidP="00134604">
      <w:pPr>
        <w:pStyle w:val="TOC2"/>
        <w:tabs>
          <w:tab w:val="left" w:pos="360"/>
        </w:tabs>
        <w:rPr>
          <w:rFonts w:ascii="Calibri" w:hAnsi="Calibri"/>
          <w:snapToGrid/>
          <w:kern w:val="0"/>
          <w:szCs w:val="22"/>
        </w:rPr>
      </w:pPr>
      <w:r>
        <w:t>C.</w:t>
      </w:r>
      <w:r w:rsidRPr="00134604">
        <w:rPr>
          <w:rFonts w:ascii="Calibri" w:hAnsi="Calibri"/>
          <w:snapToGrid/>
          <w:kern w:val="0"/>
          <w:szCs w:val="22"/>
        </w:rPr>
        <w:tab/>
      </w:r>
      <w:r>
        <w:t>Trial of Deaf Interpreters</w:t>
      </w:r>
      <w:r>
        <w:tab/>
        <w:t>20</w:t>
      </w:r>
    </w:p>
    <w:p w:rsidR="00134604" w:rsidRPr="00134604" w:rsidRDefault="00134604" w:rsidP="00134604">
      <w:pPr>
        <w:pStyle w:val="TOC2"/>
        <w:tabs>
          <w:tab w:val="left" w:pos="360"/>
        </w:tabs>
        <w:rPr>
          <w:rFonts w:ascii="Calibri" w:hAnsi="Calibri"/>
          <w:snapToGrid/>
          <w:kern w:val="0"/>
          <w:szCs w:val="22"/>
        </w:rPr>
      </w:pPr>
      <w:r>
        <w:t>D.</w:t>
      </w:r>
      <w:r w:rsidRPr="00134604">
        <w:rPr>
          <w:rFonts w:ascii="Calibri" w:hAnsi="Calibri"/>
          <w:snapToGrid/>
          <w:kern w:val="0"/>
          <w:szCs w:val="22"/>
        </w:rPr>
        <w:tab/>
      </w:r>
      <w:r>
        <w:t>Speed of Answer</w:t>
      </w:r>
      <w:r>
        <w:tab/>
        <w:t>29</w:t>
      </w:r>
    </w:p>
    <w:p w:rsidR="00134604" w:rsidRPr="00134604" w:rsidRDefault="00134604" w:rsidP="00134604">
      <w:pPr>
        <w:pStyle w:val="TOC2"/>
        <w:tabs>
          <w:tab w:val="left" w:pos="360"/>
        </w:tabs>
        <w:rPr>
          <w:rFonts w:ascii="Calibri" w:hAnsi="Calibri"/>
          <w:snapToGrid/>
          <w:kern w:val="0"/>
          <w:szCs w:val="22"/>
        </w:rPr>
      </w:pPr>
      <w:r>
        <w:t>E.</w:t>
      </w:r>
      <w:r w:rsidRPr="00134604">
        <w:rPr>
          <w:rFonts w:ascii="Calibri" w:hAnsi="Calibri"/>
          <w:snapToGrid/>
          <w:kern w:val="0"/>
          <w:szCs w:val="22"/>
        </w:rPr>
        <w:tab/>
      </w:r>
      <w:r>
        <w:t>iTRS Numbers for Hearing People</w:t>
      </w:r>
      <w:r>
        <w:tab/>
        <w:t>38</w:t>
      </w:r>
    </w:p>
    <w:p w:rsidR="00134604" w:rsidRPr="00134604" w:rsidRDefault="00134604" w:rsidP="00134604">
      <w:pPr>
        <w:pStyle w:val="TOC2"/>
        <w:tabs>
          <w:tab w:val="left" w:pos="360"/>
        </w:tabs>
        <w:rPr>
          <w:rFonts w:ascii="Calibri" w:hAnsi="Calibri"/>
          <w:snapToGrid/>
          <w:kern w:val="0"/>
          <w:szCs w:val="22"/>
        </w:rPr>
      </w:pPr>
      <w:r>
        <w:t>F.</w:t>
      </w:r>
      <w:r w:rsidRPr="00134604">
        <w:rPr>
          <w:rFonts w:ascii="Calibri" w:hAnsi="Calibri"/>
          <w:snapToGrid/>
          <w:kern w:val="0"/>
          <w:szCs w:val="22"/>
        </w:rPr>
        <w:tab/>
      </w:r>
      <w:r>
        <w:t>At-Home VRS Call Handling</w:t>
      </w:r>
      <w:r>
        <w:tab/>
        <w:t>46</w:t>
      </w:r>
    </w:p>
    <w:p w:rsidR="00134604" w:rsidRPr="00134604" w:rsidRDefault="00134604" w:rsidP="00134604">
      <w:pPr>
        <w:pStyle w:val="TOC3"/>
        <w:tabs>
          <w:tab w:val="left" w:pos="360"/>
        </w:tabs>
        <w:rPr>
          <w:rFonts w:ascii="Calibri" w:hAnsi="Calibri"/>
          <w:snapToGrid/>
          <w:kern w:val="0"/>
          <w:szCs w:val="22"/>
        </w:rPr>
      </w:pPr>
      <w:r>
        <w:t>1.</w:t>
      </w:r>
      <w:r w:rsidRPr="00134604">
        <w:rPr>
          <w:rFonts w:ascii="Calibri" w:hAnsi="Calibri"/>
          <w:snapToGrid/>
          <w:kern w:val="0"/>
          <w:szCs w:val="22"/>
        </w:rPr>
        <w:tab/>
      </w:r>
      <w:r>
        <w:t>Changed Circumstances Justify At-Home Call Handling Trial</w:t>
      </w:r>
      <w:r>
        <w:tab/>
        <w:t>48</w:t>
      </w:r>
    </w:p>
    <w:p w:rsidR="00134604" w:rsidRPr="00134604" w:rsidRDefault="00134604" w:rsidP="00134604">
      <w:pPr>
        <w:pStyle w:val="TOC3"/>
        <w:tabs>
          <w:tab w:val="left" w:pos="360"/>
        </w:tabs>
        <w:rPr>
          <w:rFonts w:ascii="Calibri" w:hAnsi="Calibri"/>
          <w:snapToGrid/>
          <w:kern w:val="0"/>
          <w:szCs w:val="22"/>
        </w:rPr>
      </w:pPr>
      <w:r>
        <w:t>2.</w:t>
      </w:r>
      <w:r w:rsidRPr="00134604">
        <w:rPr>
          <w:rFonts w:ascii="Calibri" w:hAnsi="Calibri"/>
          <w:snapToGrid/>
          <w:kern w:val="0"/>
          <w:szCs w:val="22"/>
        </w:rPr>
        <w:tab/>
      </w:r>
      <w:r>
        <w:t>Safeguards for At-Home Workstations</w:t>
      </w:r>
      <w:r>
        <w:tab/>
        <w:t>51</w:t>
      </w:r>
    </w:p>
    <w:p w:rsidR="00134604" w:rsidRPr="00134604" w:rsidRDefault="00134604" w:rsidP="00134604">
      <w:pPr>
        <w:pStyle w:val="TOC3"/>
        <w:tabs>
          <w:tab w:val="left" w:pos="360"/>
        </w:tabs>
        <w:rPr>
          <w:rFonts w:ascii="Calibri" w:hAnsi="Calibri"/>
          <w:snapToGrid/>
          <w:kern w:val="0"/>
          <w:szCs w:val="22"/>
        </w:rPr>
      </w:pPr>
      <w:r>
        <w:t>3.</w:t>
      </w:r>
      <w:r w:rsidRPr="00134604">
        <w:rPr>
          <w:rFonts w:ascii="Calibri" w:hAnsi="Calibri"/>
          <w:snapToGrid/>
          <w:kern w:val="0"/>
          <w:szCs w:val="22"/>
        </w:rPr>
        <w:tab/>
      </w:r>
      <w:r>
        <w:t>Participation in the Pilot Program</w:t>
      </w:r>
      <w:r>
        <w:tab/>
        <w:t>55</w:t>
      </w:r>
    </w:p>
    <w:p w:rsidR="00134604" w:rsidRPr="00134604" w:rsidRDefault="00134604" w:rsidP="00134604">
      <w:pPr>
        <w:pStyle w:val="TOC3"/>
        <w:tabs>
          <w:tab w:val="left" w:pos="360"/>
        </w:tabs>
        <w:rPr>
          <w:rFonts w:ascii="Calibri" w:hAnsi="Calibri"/>
          <w:snapToGrid/>
          <w:kern w:val="0"/>
          <w:szCs w:val="22"/>
        </w:rPr>
      </w:pPr>
      <w:r>
        <w:t>4.</w:t>
      </w:r>
      <w:r w:rsidRPr="00134604">
        <w:rPr>
          <w:rFonts w:ascii="Calibri" w:hAnsi="Calibri"/>
          <w:snapToGrid/>
          <w:kern w:val="0"/>
          <w:szCs w:val="22"/>
        </w:rPr>
        <w:tab/>
      </w:r>
      <w:r>
        <w:t>Data Collection</w:t>
      </w:r>
      <w:r>
        <w:tab/>
        <w:t>57</w:t>
      </w:r>
    </w:p>
    <w:p w:rsidR="00134604" w:rsidRPr="00134604" w:rsidRDefault="00134604" w:rsidP="00134604">
      <w:pPr>
        <w:pStyle w:val="TOC2"/>
        <w:tabs>
          <w:tab w:val="left" w:pos="360"/>
        </w:tabs>
        <w:rPr>
          <w:rFonts w:ascii="Calibri" w:hAnsi="Calibri"/>
          <w:snapToGrid/>
          <w:kern w:val="0"/>
          <w:szCs w:val="22"/>
        </w:rPr>
      </w:pPr>
      <w:r>
        <w:t>G.</w:t>
      </w:r>
      <w:r w:rsidRPr="00134604">
        <w:rPr>
          <w:rFonts w:ascii="Calibri" w:hAnsi="Calibri"/>
          <w:snapToGrid/>
          <w:kern w:val="0"/>
          <w:szCs w:val="22"/>
        </w:rPr>
        <w:tab/>
      </w:r>
      <w:r>
        <w:t>Legal Authority for Trials of Skills-Based Routing and Deaf Interpreters, and Pilot Program for At-Home Interpreting</w:t>
      </w:r>
      <w:r>
        <w:tab/>
        <w:t>60</w:t>
      </w:r>
    </w:p>
    <w:p w:rsidR="00134604" w:rsidRPr="00134604" w:rsidRDefault="00134604" w:rsidP="00134604">
      <w:pPr>
        <w:pStyle w:val="TOC1"/>
        <w:rPr>
          <w:rFonts w:ascii="Calibri" w:hAnsi="Calibri"/>
          <w:caps w:val="0"/>
          <w:snapToGrid/>
          <w:kern w:val="0"/>
          <w:szCs w:val="22"/>
        </w:rPr>
      </w:pPr>
      <w:r w:rsidRPr="000507FF">
        <w:rPr>
          <w:rFonts w:eastAsia="Calibri"/>
          <w:snapToGrid/>
        </w:rPr>
        <w:t>III.</w:t>
      </w:r>
      <w:r w:rsidRPr="00134604">
        <w:rPr>
          <w:rFonts w:ascii="Calibri" w:hAnsi="Calibri"/>
          <w:caps w:val="0"/>
          <w:snapToGrid/>
          <w:kern w:val="0"/>
          <w:szCs w:val="22"/>
        </w:rPr>
        <w:tab/>
      </w:r>
      <w:r w:rsidRPr="000507FF">
        <w:rPr>
          <w:rFonts w:eastAsia="Calibri"/>
          <w:snapToGrid/>
        </w:rPr>
        <w:t>Notice of Inquiry on service quality metrics for VRS</w:t>
      </w:r>
      <w:r>
        <w:tab/>
        <w:t>61</w:t>
      </w:r>
    </w:p>
    <w:p w:rsidR="00134604" w:rsidRPr="00134604" w:rsidRDefault="00134604" w:rsidP="00134604">
      <w:pPr>
        <w:pStyle w:val="TOC2"/>
        <w:tabs>
          <w:tab w:val="left" w:pos="360"/>
        </w:tabs>
        <w:rPr>
          <w:rFonts w:ascii="Calibri" w:hAnsi="Calibri"/>
          <w:snapToGrid/>
          <w:kern w:val="0"/>
          <w:szCs w:val="22"/>
        </w:rPr>
      </w:pPr>
      <w:r>
        <w:t>A.</w:t>
      </w:r>
      <w:r w:rsidRPr="00134604">
        <w:rPr>
          <w:rFonts w:ascii="Calibri" w:hAnsi="Calibri"/>
          <w:snapToGrid/>
          <w:kern w:val="0"/>
          <w:szCs w:val="22"/>
        </w:rPr>
        <w:tab/>
      </w:r>
      <w:r>
        <w:t>Performance Goals</w:t>
      </w:r>
      <w:r>
        <w:tab/>
        <w:t>62</w:t>
      </w:r>
    </w:p>
    <w:p w:rsidR="00134604" w:rsidRPr="00134604" w:rsidRDefault="00134604" w:rsidP="00134604">
      <w:pPr>
        <w:pStyle w:val="TOC2"/>
        <w:tabs>
          <w:tab w:val="left" w:pos="360"/>
        </w:tabs>
        <w:rPr>
          <w:rFonts w:ascii="Calibri" w:hAnsi="Calibri"/>
          <w:snapToGrid/>
          <w:kern w:val="0"/>
          <w:szCs w:val="22"/>
        </w:rPr>
      </w:pPr>
      <w:r>
        <w:t>B.</w:t>
      </w:r>
      <w:r w:rsidRPr="00134604">
        <w:rPr>
          <w:rFonts w:ascii="Calibri" w:hAnsi="Calibri"/>
          <w:snapToGrid/>
          <w:kern w:val="0"/>
          <w:szCs w:val="22"/>
        </w:rPr>
        <w:tab/>
      </w:r>
      <w:r>
        <w:t>Performance Measures</w:t>
      </w:r>
      <w:r>
        <w:tab/>
        <w:t>65</w:t>
      </w:r>
    </w:p>
    <w:p w:rsidR="00134604" w:rsidRPr="00134604" w:rsidRDefault="00134604" w:rsidP="00134604">
      <w:pPr>
        <w:pStyle w:val="TOC2"/>
        <w:tabs>
          <w:tab w:val="left" w:pos="360"/>
        </w:tabs>
        <w:rPr>
          <w:rFonts w:ascii="Calibri" w:hAnsi="Calibri"/>
          <w:snapToGrid/>
          <w:kern w:val="0"/>
          <w:szCs w:val="22"/>
        </w:rPr>
      </w:pPr>
      <w:r>
        <w:lastRenderedPageBreak/>
        <w:t>C.</w:t>
      </w:r>
      <w:r w:rsidRPr="00134604">
        <w:rPr>
          <w:rFonts w:ascii="Calibri" w:hAnsi="Calibri"/>
          <w:snapToGrid/>
          <w:kern w:val="0"/>
          <w:szCs w:val="22"/>
        </w:rPr>
        <w:tab/>
      </w:r>
      <w:r>
        <w:t>Phony VRS Calls</w:t>
      </w:r>
      <w:r>
        <w:tab/>
        <w:t>78</w:t>
      </w:r>
    </w:p>
    <w:p w:rsidR="00134604" w:rsidRPr="00134604" w:rsidRDefault="00134604" w:rsidP="00134604">
      <w:pPr>
        <w:pStyle w:val="TOC1"/>
        <w:rPr>
          <w:rFonts w:ascii="Calibri" w:hAnsi="Calibri"/>
          <w:caps w:val="0"/>
          <w:snapToGrid/>
          <w:kern w:val="0"/>
          <w:szCs w:val="22"/>
        </w:rPr>
      </w:pPr>
      <w:r>
        <w:t>IV.</w:t>
      </w:r>
      <w:r w:rsidRPr="00134604">
        <w:rPr>
          <w:rFonts w:ascii="Calibri" w:hAnsi="Calibri"/>
          <w:caps w:val="0"/>
          <w:snapToGrid/>
          <w:kern w:val="0"/>
          <w:szCs w:val="22"/>
        </w:rPr>
        <w:tab/>
      </w:r>
      <w:r>
        <w:t>further notice of proposed rulemaking</w:t>
      </w:r>
      <w:r>
        <w:tab/>
        <w:t>80</w:t>
      </w:r>
    </w:p>
    <w:p w:rsidR="00134604" w:rsidRPr="00134604" w:rsidRDefault="00134604" w:rsidP="00134604">
      <w:pPr>
        <w:pStyle w:val="TOC2"/>
        <w:tabs>
          <w:tab w:val="left" w:pos="360"/>
        </w:tabs>
        <w:rPr>
          <w:rFonts w:ascii="Calibri" w:hAnsi="Calibri"/>
          <w:snapToGrid/>
          <w:kern w:val="0"/>
          <w:szCs w:val="22"/>
        </w:rPr>
      </w:pPr>
      <w:r>
        <w:t>A.</w:t>
      </w:r>
      <w:r w:rsidRPr="00134604">
        <w:rPr>
          <w:rFonts w:ascii="Calibri" w:hAnsi="Calibri"/>
          <w:snapToGrid/>
          <w:kern w:val="0"/>
          <w:szCs w:val="22"/>
        </w:rPr>
        <w:tab/>
      </w:r>
      <w:r>
        <w:t>VRS Compensation Rates</w:t>
      </w:r>
      <w:r>
        <w:tab/>
        <w:t>81</w:t>
      </w:r>
    </w:p>
    <w:p w:rsidR="00134604" w:rsidRPr="00134604" w:rsidRDefault="00134604" w:rsidP="00134604">
      <w:pPr>
        <w:pStyle w:val="TOC2"/>
        <w:tabs>
          <w:tab w:val="left" w:pos="360"/>
        </w:tabs>
        <w:rPr>
          <w:rFonts w:ascii="Calibri" w:hAnsi="Calibri"/>
          <w:snapToGrid/>
          <w:kern w:val="0"/>
          <w:szCs w:val="22"/>
        </w:rPr>
      </w:pPr>
      <w:r>
        <w:t>B.</w:t>
      </w:r>
      <w:r w:rsidRPr="00134604">
        <w:rPr>
          <w:rFonts w:ascii="Calibri" w:hAnsi="Calibri"/>
          <w:snapToGrid/>
          <w:kern w:val="0"/>
          <w:szCs w:val="22"/>
        </w:rPr>
        <w:tab/>
      </w:r>
      <w:r>
        <w:t>Server-Based Routing</w:t>
      </w:r>
      <w:r>
        <w:tab/>
        <w:t>107</w:t>
      </w:r>
    </w:p>
    <w:p w:rsidR="00134604" w:rsidRPr="00134604" w:rsidRDefault="00134604" w:rsidP="00134604">
      <w:pPr>
        <w:pStyle w:val="TOC2"/>
        <w:tabs>
          <w:tab w:val="left" w:pos="360"/>
        </w:tabs>
        <w:rPr>
          <w:rFonts w:ascii="Calibri" w:hAnsi="Calibri"/>
          <w:snapToGrid/>
          <w:kern w:val="0"/>
          <w:szCs w:val="22"/>
        </w:rPr>
      </w:pPr>
      <w:r>
        <w:t>C.</w:t>
      </w:r>
      <w:r w:rsidRPr="00134604">
        <w:rPr>
          <w:rFonts w:ascii="Calibri" w:hAnsi="Calibri"/>
          <w:snapToGrid/>
          <w:kern w:val="0"/>
          <w:szCs w:val="22"/>
        </w:rPr>
        <w:tab/>
      </w:r>
      <w:r>
        <w:t>VRS Use of Enterprise and Public Videophones</w:t>
      </w:r>
      <w:r>
        <w:tab/>
        <w:t>116</w:t>
      </w:r>
    </w:p>
    <w:p w:rsidR="00134604" w:rsidRPr="00134604" w:rsidRDefault="00134604" w:rsidP="00134604">
      <w:pPr>
        <w:pStyle w:val="TOC2"/>
        <w:tabs>
          <w:tab w:val="left" w:pos="360"/>
        </w:tabs>
        <w:rPr>
          <w:rFonts w:ascii="Calibri" w:hAnsi="Calibri"/>
          <w:snapToGrid/>
          <w:kern w:val="0"/>
          <w:szCs w:val="22"/>
        </w:rPr>
      </w:pPr>
      <w:r>
        <w:t>D.</w:t>
      </w:r>
      <w:r w:rsidRPr="00134604">
        <w:rPr>
          <w:rFonts w:ascii="Calibri" w:hAnsi="Calibri"/>
          <w:snapToGrid/>
          <w:kern w:val="0"/>
          <w:szCs w:val="22"/>
        </w:rPr>
        <w:tab/>
      </w:r>
      <w:r>
        <w:t>Direct Video Calling Customer Support Services</w:t>
      </w:r>
      <w:r>
        <w:tab/>
        <w:t>125</w:t>
      </w:r>
    </w:p>
    <w:p w:rsidR="00134604" w:rsidRPr="00134604" w:rsidRDefault="00134604" w:rsidP="00134604">
      <w:pPr>
        <w:pStyle w:val="TOC2"/>
        <w:tabs>
          <w:tab w:val="left" w:pos="360"/>
        </w:tabs>
        <w:rPr>
          <w:rFonts w:ascii="Calibri" w:hAnsi="Calibri"/>
          <w:snapToGrid/>
          <w:kern w:val="0"/>
          <w:szCs w:val="22"/>
        </w:rPr>
      </w:pPr>
      <w:r>
        <w:t>E.</w:t>
      </w:r>
      <w:r w:rsidRPr="00134604">
        <w:rPr>
          <w:rFonts w:ascii="Calibri" w:hAnsi="Calibri"/>
          <w:snapToGrid/>
          <w:kern w:val="0"/>
          <w:szCs w:val="22"/>
        </w:rPr>
        <w:tab/>
      </w:r>
      <w:r>
        <w:t>Per call validation procedures</w:t>
      </w:r>
      <w:r>
        <w:tab/>
        <w:t>127</w:t>
      </w:r>
    </w:p>
    <w:p w:rsidR="00134604" w:rsidRPr="00134604" w:rsidRDefault="00134604" w:rsidP="00134604">
      <w:pPr>
        <w:pStyle w:val="TOC2"/>
        <w:tabs>
          <w:tab w:val="left" w:pos="360"/>
        </w:tabs>
        <w:rPr>
          <w:rFonts w:ascii="Calibri" w:hAnsi="Calibri"/>
          <w:snapToGrid/>
          <w:kern w:val="0"/>
          <w:szCs w:val="22"/>
        </w:rPr>
      </w:pPr>
      <w:r>
        <w:t>F.</w:t>
      </w:r>
      <w:r w:rsidRPr="00134604">
        <w:rPr>
          <w:rFonts w:ascii="Calibri" w:hAnsi="Calibri"/>
          <w:snapToGrid/>
          <w:kern w:val="0"/>
          <w:szCs w:val="22"/>
        </w:rPr>
        <w:tab/>
      </w:r>
      <w:r>
        <w:t>Research and Development</w:t>
      </w:r>
      <w:r>
        <w:tab/>
        <w:t>129</w:t>
      </w:r>
    </w:p>
    <w:p w:rsidR="00134604" w:rsidRPr="00134604" w:rsidRDefault="00134604" w:rsidP="00134604">
      <w:pPr>
        <w:pStyle w:val="TOC2"/>
        <w:tabs>
          <w:tab w:val="left" w:pos="360"/>
        </w:tabs>
        <w:rPr>
          <w:rFonts w:ascii="Calibri" w:hAnsi="Calibri"/>
          <w:snapToGrid/>
          <w:kern w:val="0"/>
          <w:szCs w:val="22"/>
        </w:rPr>
      </w:pPr>
      <w:r>
        <w:t>G.</w:t>
      </w:r>
      <w:r w:rsidRPr="00134604">
        <w:rPr>
          <w:rFonts w:ascii="Calibri" w:hAnsi="Calibri"/>
          <w:snapToGrid/>
          <w:kern w:val="0"/>
          <w:szCs w:val="22"/>
        </w:rPr>
        <w:tab/>
      </w:r>
      <w:r>
        <w:t>Non-Service Related Inducements to Sign Up for VRS</w:t>
      </w:r>
      <w:r>
        <w:tab/>
        <w:t>131</w:t>
      </w:r>
    </w:p>
    <w:p w:rsidR="00134604" w:rsidRPr="00134604" w:rsidRDefault="00134604" w:rsidP="00134604">
      <w:pPr>
        <w:pStyle w:val="TOC2"/>
        <w:tabs>
          <w:tab w:val="left" w:pos="360"/>
        </w:tabs>
        <w:rPr>
          <w:rFonts w:ascii="Calibri" w:hAnsi="Calibri"/>
          <w:snapToGrid/>
          <w:kern w:val="0"/>
          <w:szCs w:val="22"/>
        </w:rPr>
      </w:pPr>
      <w:r>
        <w:t>H.</w:t>
      </w:r>
      <w:r w:rsidRPr="00134604">
        <w:rPr>
          <w:rFonts w:ascii="Calibri" w:hAnsi="Calibri"/>
          <w:snapToGrid/>
          <w:kern w:val="0"/>
          <w:szCs w:val="22"/>
        </w:rPr>
        <w:tab/>
      </w:r>
      <w:r>
        <w:t>Non-Compete Provisions in VRS CA Employment Contracts</w:t>
      </w:r>
      <w:r>
        <w:tab/>
        <w:t>132</w:t>
      </w:r>
    </w:p>
    <w:p w:rsidR="00134604" w:rsidRPr="00134604" w:rsidRDefault="00134604" w:rsidP="00134604">
      <w:pPr>
        <w:pStyle w:val="TOC1"/>
        <w:rPr>
          <w:rFonts w:ascii="Calibri" w:hAnsi="Calibri"/>
          <w:caps w:val="0"/>
          <w:snapToGrid/>
          <w:kern w:val="0"/>
          <w:szCs w:val="22"/>
        </w:rPr>
      </w:pPr>
      <w:r>
        <w:t>V.</w:t>
      </w:r>
      <w:r w:rsidRPr="00134604">
        <w:rPr>
          <w:rFonts w:ascii="Calibri" w:hAnsi="Calibri"/>
          <w:caps w:val="0"/>
          <w:snapToGrid/>
          <w:kern w:val="0"/>
          <w:szCs w:val="22"/>
        </w:rPr>
        <w:tab/>
      </w:r>
      <w:r>
        <w:t xml:space="preserve">ORDER on Server Based Routing </w:t>
      </w:r>
      <w:r>
        <w:tab/>
        <w:t>136</w:t>
      </w:r>
    </w:p>
    <w:p w:rsidR="00134604" w:rsidRPr="00134604" w:rsidRDefault="00134604" w:rsidP="00134604">
      <w:pPr>
        <w:pStyle w:val="TOC1"/>
        <w:rPr>
          <w:rFonts w:ascii="Calibri" w:hAnsi="Calibri"/>
          <w:caps w:val="0"/>
          <w:snapToGrid/>
          <w:kern w:val="0"/>
          <w:szCs w:val="22"/>
        </w:rPr>
      </w:pPr>
      <w:r>
        <w:t>VI.</w:t>
      </w:r>
      <w:r w:rsidRPr="00134604">
        <w:rPr>
          <w:rFonts w:ascii="Calibri" w:hAnsi="Calibri"/>
          <w:caps w:val="0"/>
          <w:snapToGrid/>
          <w:kern w:val="0"/>
          <w:szCs w:val="22"/>
        </w:rPr>
        <w:tab/>
      </w:r>
      <w:r>
        <w:t>PROCEDURAL ISSUES</w:t>
      </w:r>
      <w:r>
        <w:tab/>
        <w:t>139</w:t>
      </w:r>
    </w:p>
    <w:p w:rsidR="00134604" w:rsidRPr="00134604" w:rsidRDefault="00134604" w:rsidP="00134604">
      <w:pPr>
        <w:pStyle w:val="TOC2"/>
        <w:tabs>
          <w:tab w:val="left" w:pos="360"/>
        </w:tabs>
        <w:rPr>
          <w:rFonts w:ascii="Calibri" w:hAnsi="Calibri"/>
          <w:snapToGrid/>
          <w:kern w:val="0"/>
          <w:szCs w:val="22"/>
        </w:rPr>
      </w:pPr>
      <w:r>
        <w:t>A.</w:t>
      </w:r>
      <w:r w:rsidRPr="00134604">
        <w:rPr>
          <w:rFonts w:ascii="Calibri" w:hAnsi="Calibri"/>
          <w:snapToGrid/>
          <w:kern w:val="0"/>
          <w:szCs w:val="22"/>
        </w:rPr>
        <w:tab/>
      </w:r>
      <w:r>
        <w:t>Regulatory Flexibility Analysis</w:t>
      </w:r>
      <w:r>
        <w:tab/>
        <w:t>139</w:t>
      </w:r>
    </w:p>
    <w:p w:rsidR="00134604" w:rsidRPr="00134604" w:rsidRDefault="00134604" w:rsidP="00134604">
      <w:pPr>
        <w:pStyle w:val="TOC2"/>
        <w:tabs>
          <w:tab w:val="left" w:pos="360"/>
        </w:tabs>
        <w:rPr>
          <w:rFonts w:ascii="Calibri" w:hAnsi="Calibri"/>
          <w:snapToGrid/>
          <w:kern w:val="0"/>
          <w:szCs w:val="22"/>
        </w:rPr>
      </w:pPr>
      <w:r>
        <w:t>B.</w:t>
      </w:r>
      <w:r w:rsidRPr="00134604">
        <w:rPr>
          <w:rFonts w:ascii="Calibri" w:hAnsi="Calibri"/>
          <w:snapToGrid/>
          <w:kern w:val="0"/>
          <w:szCs w:val="22"/>
        </w:rPr>
        <w:tab/>
      </w:r>
      <w:r>
        <w:t>Paperwork Reduction Act Analysis</w:t>
      </w:r>
      <w:r>
        <w:tab/>
        <w:t>141</w:t>
      </w:r>
    </w:p>
    <w:p w:rsidR="00134604" w:rsidRPr="00134604" w:rsidRDefault="00134604" w:rsidP="00134604">
      <w:pPr>
        <w:pStyle w:val="TOC2"/>
        <w:tabs>
          <w:tab w:val="left" w:pos="360"/>
        </w:tabs>
        <w:rPr>
          <w:rFonts w:ascii="Calibri" w:hAnsi="Calibri"/>
          <w:snapToGrid/>
          <w:kern w:val="0"/>
          <w:szCs w:val="22"/>
        </w:rPr>
      </w:pPr>
      <w:r>
        <w:t>C.</w:t>
      </w:r>
      <w:r w:rsidRPr="00134604">
        <w:rPr>
          <w:rFonts w:ascii="Calibri" w:hAnsi="Calibri"/>
          <w:snapToGrid/>
          <w:kern w:val="0"/>
          <w:szCs w:val="22"/>
        </w:rPr>
        <w:tab/>
      </w:r>
      <w:r>
        <w:t>Comments</w:t>
      </w:r>
      <w:r>
        <w:tab/>
        <w:t>143</w:t>
      </w:r>
    </w:p>
    <w:p w:rsidR="00134604" w:rsidRPr="00134604" w:rsidRDefault="00134604" w:rsidP="00134604">
      <w:pPr>
        <w:pStyle w:val="TOC1"/>
        <w:rPr>
          <w:rFonts w:ascii="Calibri" w:hAnsi="Calibri"/>
          <w:caps w:val="0"/>
          <w:snapToGrid/>
          <w:kern w:val="0"/>
          <w:szCs w:val="22"/>
        </w:rPr>
      </w:pPr>
      <w:r>
        <w:t>VII. ORDERING CLAUSES</w:t>
      </w:r>
      <w:r>
        <w:tab/>
        <w:t>146</w:t>
      </w:r>
    </w:p>
    <w:bookmarkEnd w:id="1"/>
    <w:p w:rsidR="00134604" w:rsidRDefault="00134604" w:rsidP="00134604">
      <w:pPr>
        <w:rPr>
          <w:spacing w:val="-2"/>
        </w:rPr>
      </w:pPr>
      <w:r>
        <w:rPr>
          <w:spacing w:val="-2"/>
        </w:rPr>
        <w:t>Appendix A:  List of Commenting Parties</w:t>
      </w:r>
    </w:p>
    <w:p w:rsidR="00134604" w:rsidRDefault="00134604" w:rsidP="00134604">
      <w:pPr>
        <w:rPr>
          <w:spacing w:val="-2"/>
        </w:rPr>
      </w:pPr>
      <w:r>
        <w:rPr>
          <w:spacing w:val="-2"/>
        </w:rPr>
        <w:t>Appendix B:  Final Rules</w:t>
      </w:r>
    </w:p>
    <w:p w:rsidR="00134604" w:rsidRDefault="00134604" w:rsidP="00134604">
      <w:pPr>
        <w:rPr>
          <w:spacing w:val="-2"/>
        </w:rPr>
      </w:pPr>
      <w:r>
        <w:rPr>
          <w:spacing w:val="-2"/>
        </w:rPr>
        <w:t>Appendix C:  Proposed Rules</w:t>
      </w:r>
    </w:p>
    <w:p w:rsidR="00134604" w:rsidRDefault="00134604" w:rsidP="00134604">
      <w:pPr>
        <w:rPr>
          <w:spacing w:val="-2"/>
        </w:rPr>
      </w:pPr>
      <w:r>
        <w:rPr>
          <w:spacing w:val="-2"/>
        </w:rPr>
        <w:t>Appendix D:  Final Regulatory Flexibility Analysis</w:t>
      </w:r>
    </w:p>
    <w:p w:rsidR="00134604" w:rsidRDefault="00134604" w:rsidP="00134604">
      <w:pPr>
        <w:rPr>
          <w:spacing w:val="-2"/>
        </w:rPr>
      </w:pPr>
      <w:r>
        <w:rPr>
          <w:spacing w:val="-2"/>
        </w:rPr>
        <w:t>Appendix E:  Initial Regulatory Flexibility Analysis</w:t>
      </w:r>
    </w:p>
    <w:p w:rsidR="00134604" w:rsidRDefault="00134604" w:rsidP="00134604">
      <w:pPr>
        <w:rPr>
          <w:spacing w:val="-2"/>
        </w:rPr>
      </w:pPr>
    </w:p>
    <w:p w:rsidR="00134604" w:rsidRPr="00234B14" w:rsidRDefault="00134604" w:rsidP="00134604">
      <w:pPr>
        <w:pStyle w:val="Heading1"/>
      </w:pPr>
      <w:bookmarkStart w:id="3" w:name="_Toc474858602"/>
      <w:bookmarkStart w:id="4" w:name="_Toc474859314"/>
      <w:bookmarkStart w:id="5" w:name="_Toc474860041"/>
      <w:bookmarkStart w:id="6" w:name="_Toc474860218"/>
      <w:bookmarkStart w:id="7" w:name="_Toc474860338"/>
      <w:bookmarkStart w:id="8" w:name="_Toc474860524"/>
      <w:bookmarkStart w:id="9" w:name="_Toc474860590"/>
      <w:bookmarkStart w:id="10" w:name="_Toc474860733"/>
      <w:bookmarkStart w:id="11" w:name="_Toc474946521"/>
      <w:bookmarkStart w:id="12" w:name="_Toc475724103"/>
      <w:bookmarkStart w:id="13" w:name="_Toc475724296"/>
      <w:bookmarkStart w:id="14" w:name="_Toc475724443"/>
      <w:bookmarkStart w:id="15" w:name="_Toc475724773"/>
      <w:bookmarkStart w:id="16" w:name="_Toc476077803"/>
      <w:bookmarkStart w:id="17" w:name="_Toc477963658"/>
      <w:r w:rsidRPr="00234B14">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134604" w:rsidRPr="00D50920" w:rsidRDefault="00134604" w:rsidP="00134604">
      <w:pPr>
        <w:pStyle w:val="ParaNum"/>
        <w:widowControl/>
        <w:rPr>
          <w:rFonts w:eastAsia="Calibri"/>
        </w:rPr>
      </w:pPr>
      <w:r>
        <w:rPr>
          <w:rFonts w:eastAsia="Calibri"/>
        </w:rPr>
        <w:t>When a deaf individual wants to call a friend or family member, a standard-issue telephone generally will not do.  And so for the past 15 years, the Commission has supported video relay services (VRS), which allow deaf and hard-of-hearing individuals to call others using American Sign Language and a videophone.  With this order, we take steps to further improve the quality of VRS, authorizing skills-based routing and deaf-interpreter trials and seeking comment on metrics so that VRS users can better assess the quality of VRS offerings.  We also seek comment on further VRS reforms, including the next four-year rate plan and changing our technical standards for completing calls to improve interoperability.</w:t>
      </w:r>
    </w:p>
    <w:p w:rsidR="00134604" w:rsidRPr="00AD3EEC" w:rsidRDefault="00134604" w:rsidP="00134604">
      <w:pPr>
        <w:pStyle w:val="Heading1"/>
        <w:rPr>
          <w:rFonts w:eastAsia="Calibri"/>
          <w:snapToGrid/>
        </w:rPr>
      </w:pPr>
      <w:bookmarkStart w:id="18" w:name="_Toc474858603"/>
      <w:bookmarkStart w:id="19" w:name="_Toc474859315"/>
      <w:bookmarkStart w:id="20" w:name="_Toc474860042"/>
      <w:bookmarkStart w:id="21" w:name="_Toc474860219"/>
      <w:bookmarkStart w:id="22" w:name="_Toc474860339"/>
      <w:bookmarkStart w:id="23" w:name="_Toc474860525"/>
      <w:bookmarkStart w:id="24" w:name="_Toc474860591"/>
      <w:bookmarkStart w:id="25" w:name="_Toc474860734"/>
      <w:bookmarkStart w:id="26" w:name="_Toc474946522"/>
      <w:bookmarkStart w:id="27" w:name="_Toc475724104"/>
      <w:bookmarkStart w:id="28" w:name="_Toc475724297"/>
      <w:bookmarkStart w:id="29" w:name="_Toc475724444"/>
      <w:bookmarkStart w:id="30" w:name="_Toc475724774"/>
      <w:bookmarkStart w:id="31" w:name="_Toc476077804"/>
      <w:bookmarkStart w:id="32" w:name="_Toc477963659"/>
      <w:r w:rsidRPr="00AD3EEC">
        <w:rPr>
          <w:rFonts w:eastAsia="Calibri"/>
          <w:snapToGrid/>
        </w:rPr>
        <w:t>Report and Order</w:t>
      </w:r>
      <w:r>
        <w:rPr>
          <w:rFonts w:eastAsia="Calibri"/>
          <w:snapToGrid/>
        </w:rPr>
        <w:t xml:space="preserve"> ON VRS ImPROVEMENTS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34604" w:rsidRPr="00AD3EEC" w:rsidRDefault="00134604" w:rsidP="00134604">
      <w:pPr>
        <w:pStyle w:val="Heading2"/>
      </w:pPr>
      <w:bookmarkStart w:id="33" w:name="_Toc474858604"/>
      <w:bookmarkStart w:id="34" w:name="_Toc474859316"/>
      <w:bookmarkStart w:id="35" w:name="_Toc474860043"/>
      <w:bookmarkStart w:id="36" w:name="_Toc474860220"/>
      <w:bookmarkStart w:id="37" w:name="_Toc474860340"/>
      <w:bookmarkStart w:id="38" w:name="_Toc474860526"/>
      <w:bookmarkStart w:id="39" w:name="_Toc474860592"/>
      <w:bookmarkStart w:id="40" w:name="_Toc474860735"/>
      <w:bookmarkStart w:id="41" w:name="_Toc474946523"/>
      <w:bookmarkStart w:id="42" w:name="_Toc475724105"/>
      <w:bookmarkStart w:id="43" w:name="_Toc475724298"/>
      <w:bookmarkStart w:id="44" w:name="_Toc475724445"/>
      <w:bookmarkStart w:id="45" w:name="_Toc475724775"/>
      <w:bookmarkStart w:id="46" w:name="_Toc476077805"/>
      <w:bookmarkStart w:id="47" w:name="_Toc477963660"/>
      <w:r>
        <w:t>Background</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134604" w:rsidRPr="0087487B" w:rsidRDefault="00134604" w:rsidP="00134604">
      <w:pPr>
        <w:pStyle w:val="ParaNum"/>
        <w:widowControl/>
        <w:rPr>
          <w:rFonts w:eastAsia="Calibri"/>
          <w:snapToGrid/>
        </w:rPr>
      </w:pPr>
      <w:r w:rsidRPr="00CE0B43">
        <w:rPr>
          <w:rFonts w:eastAsia="Calibri"/>
          <w:snapToGrid/>
        </w:rPr>
        <w:t xml:space="preserve">Section 225 of the </w:t>
      </w:r>
      <w:r>
        <w:rPr>
          <w:rFonts w:eastAsia="Calibri"/>
          <w:snapToGrid/>
        </w:rPr>
        <w:t xml:space="preserve">Communications </w:t>
      </w:r>
      <w:r w:rsidRPr="00CE0B43">
        <w:rPr>
          <w:rFonts w:eastAsia="Calibri"/>
          <w:snapToGrid/>
        </w:rPr>
        <w:t xml:space="preserve">Act </w:t>
      </w:r>
      <w:r>
        <w:rPr>
          <w:rFonts w:eastAsia="Calibri"/>
          <w:snapToGrid/>
        </w:rPr>
        <w:t xml:space="preserve">of 1934, as amended (Act) </w:t>
      </w:r>
      <w:r w:rsidRPr="00CE0B43">
        <w:rPr>
          <w:rFonts w:eastAsia="Calibri"/>
          <w:snapToGrid/>
        </w:rPr>
        <w:t>requires the Commission to ensure the availability of telephone transmission service that enables persons who are deaf, hard of hearing, deaf-blind, or have speech disabilities to communicate by wire or radio with hea</w:t>
      </w:r>
      <w:r w:rsidRPr="009D2C6A">
        <w:rPr>
          <w:rFonts w:eastAsia="Calibri"/>
          <w:snapToGrid/>
        </w:rPr>
        <w:t>ring individuals in a manner that is functionally equivalent to communication services utilized by those without such disabilities.</w:t>
      </w:r>
      <w:r w:rsidRPr="00C939E2">
        <w:rPr>
          <w:rStyle w:val="FootnoteReference"/>
          <w:rFonts w:eastAsia="Calibri"/>
        </w:rPr>
        <w:footnoteReference w:id="2"/>
      </w:r>
      <w:r w:rsidRPr="00CE0B43">
        <w:rPr>
          <w:rFonts w:eastAsia="Calibri"/>
          <w:snapToGrid/>
        </w:rPr>
        <w:t xml:space="preserve">  This section further requires that the Commission’s </w:t>
      </w:r>
      <w:r>
        <w:rPr>
          <w:rFonts w:eastAsia="Calibri"/>
          <w:snapToGrid/>
        </w:rPr>
        <w:t>telecommunications relay service (</w:t>
      </w:r>
      <w:r w:rsidRPr="00CE0B43">
        <w:rPr>
          <w:rFonts w:eastAsia="Calibri"/>
          <w:snapToGrid/>
        </w:rPr>
        <w:t>TRS</w:t>
      </w:r>
      <w:r>
        <w:rPr>
          <w:rFonts w:eastAsia="Calibri"/>
          <w:snapToGrid/>
        </w:rPr>
        <w:t>)</w:t>
      </w:r>
      <w:r w:rsidRPr="00CE0B43">
        <w:rPr>
          <w:rFonts w:eastAsia="Calibri"/>
          <w:snapToGrid/>
        </w:rPr>
        <w:t xml:space="preserve"> regulations encourage the use of existing technology and not disco</w:t>
      </w:r>
      <w:r w:rsidRPr="009D2C6A">
        <w:rPr>
          <w:rFonts w:eastAsia="Calibri"/>
          <w:snapToGrid/>
        </w:rPr>
        <w:t>urage the development of new technology.</w:t>
      </w:r>
      <w:r w:rsidRPr="00C939E2">
        <w:rPr>
          <w:rStyle w:val="FootnoteReference"/>
          <w:rFonts w:eastAsia="Calibri"/>
        </w:rPr>
        <w:footnoteReference w:id="3"/>
      </w:r>
      <w:r w:rsidRPr="0027115F">
        <w:rPr>
          <w:rFonts w:eastAsia="Calibri"/>
          <w:snapToGrid/>
        </w:rPr>
        <w:t xml:space="preserve">  To achieve functional equivalen</w:t>
      </w:r>
      <w:r w:rsidRPr="00CE0B43">
        <w:rPr>
          <w:rFonts w:eastAsia="Calibri"/>
          <w:snapToGrid/>
        </w:rPr>
        <w:t>cy</w:t>
      </w:r>
      <w:r w:rsidRPr="009D2C6A">
        <w:rPr>
          <w:rFonts w:eastAsia="Calibri"/>
          <w:snapToGrid/>
        </w:rPr>
        <w:t xml:space="preserve"> and ensure that TRS providers provide relay services that are comparable, to the greatest extent possible, to voice telephone services </w:t>
      </w:r>
      <w:r w:rsidRPr="009D2C6A">
        <w:rPr>
          <w:rFonts w:eastAsia="Calibri"/>
          <w:snapToGrid/>
        </w:rPr>
        <w:lastRenderedPageBreak/>
        <w:t>available to the general public</w:t>
      </w:r>
      <w:r w:rsidRPr="00F57714">
        <w:rPr>
          <w:rFonts w:eastAsia="Calibri"/>
          <w:snapToGrid/>
        </w:rPr>
        <w:t>, the Commission</w:t>
      </w:r>
      <w:r w:rsidRPr="007A606E">
        <w:rPr>
          <w:rFonts w:eastAsia="Calibri"/>
          <w:snapToGrid/>
        </w:rPr>
        <w:t xml:space="preserve">’s rules contain </w:t>
      </w:r>
      <w:r w:rsidRPr="0027115F">
        <w:rPr>
          <w:rFonts w:eastAsia="Calibri"/>
          <w:snapToGrid/>
        </w:rPr>
        <w:t>operational, technical, and functional standar</w:t>
      </w:r>
      <w:r w:rsidRPr="00CE0B43">
        <w:rPr>
          <w:rFonts w:eastAsia="Calibri"/>
          <w:snapToGrid/>
        </w:rPr>
        <w:t xml:space="preserve">ds </w:t>
      </w:r>
      <w:r w:rsidRPr="009D2C6A">
        <w:rPr>
          <w:rFonts w:eastAsia="Calibri"/>
          <w:snapToGrid/>
        </w:rPr>
        <w:t xml:space="preserve">that </w:t>
      </w:r>
      <w:r w:rsidRPr="0027115F">
        <w:rPr>
          <w:rFonts w:eastAsia="Calibri"/>
          <w:snapToGrid/>
        </w:rPr>
        <w:t>govern</w:t>
      </w:r>
      <w:r w:rsidRPr="009D2C6A">
        <w:rPr>
          <w:rFonts w:eastAsia="Calibri"/>
          <w:snapToGrid/>
        </w:rPr>
        <w:t xml:space="preserve"> the provision of TRS.</w:t>
      </w:r>
      <w:r>
        <w:rPr>
          <w:rStyle w:val="FootnoteReference"/>
          <w:rFonts w:eastAsia="Calibri"/>
          <w:snapToGrid/>
        </w:rPr>
        <w:footnoteReference w:id="4"/>
      </w:r>
      <w:r w:rsidRPr="00CE0B43">
        <w:rPr>
          <w:rFonts w:eastAsia="Calibri"/>
          <w:snapToGrid/>
        </w:rPr>
        <w:t xml:space="preserve">  </w:t>
      </w:r>
    </w:p>
    <w:p w:rsidR="00134604" w:rsidRPr="0027115F" w:rsidRDefault="00134604" w:rsidP="00134604">
      <w:pPr>
        <w:pStyle w:val="ParaNum"/>
        <w:widowControl/>
        <w:rPr>
          <w:rFonts w:eastAsia="Calibri"/>
          <w:snapToGrid/>
        </w:rPr>
      </w:pPr>
      <w:r w:rsidRPr="00CE0B43">
        <w:rPr>
          <w:rFonts w:eastAsia="Calibri"/>
          <w:snapToGrid/>
        </w:rPr>
        <w:t xml:space="preserve">In 2015, all </w:t>
      </w:r>
      <w:r w:rsidRPr="007A606E">
        <w:rPr>
          <w:rFonts w:eastAsia="Calibri"/>
          <w:snapToGrid/>
        </w:rPr>
        <w:t xml:space="preserve">VRS providers jointly proposed a number of measures to improve the </w:t>
      </w:r>
      <w:r w:rsidRPr="0027115F">
        <w:rPr>
          <w:rFonts w:eastAsia="Calibri"/>
          <w:snapToGrid/>
        </w:rPr>
        <w:t>functional equivalence of VRS.</w:t>
      </w:r>
      <w:r w:rsidRPr="00C939E2">
        <w:rPr>
          <w:rStyle w:val="FootnoteReference"/>
          <w:rFonts w:eastAsia="Calibri"/>
        </w:rPr>
        <w:footnoteReference w:id="5"/>
      </w:r>
      <w:r w:rsidRPr="00CE0B43">
        <w:rPr>
          <w:rFonts w:eastAsia="Calibri"/>
          <w:snapToGrid/>
        </w:rPr>
        <w:t xml:space="preserve">  On Janua</w:t>
      </w:r>
      <w:r w:rsidRPr="00F57714">
        <w:rPr>
          <w:rFonts w:eastAsia="Calibri"/>
          <w:snapToGrid/>
        </w:rPr>
        <w:t>ry 31, 2017, four of these providers re</w:t>
      </w:r>
      <w:r w:rsidRPr="007A606E">
        <w:rPr>
          <w:rFonts w:eastAsia="Calibri"/>
          <w:snapToGrid/>
        </w:rPr>
        <w:t xml:space="preserve">affirmed their interest in </w:t>
      </w:r>
      <w:r w:rsidRPr="00D34BF3">
        <w:rPr>
          <w:rFonts w:eastAsia="Calibri"/>
          <w:snapToGrid/>
        </w:rPr>
        <w:t xml:space="preserve">some of these proposals, including </w:t>
      </w:r>
      <w:r w:rsidRPr="007A606E">
        <w:rPr>
          <w:rFonts w:eastAsia="Calibri"/>
          <w:snapToGrid/>
        </w:rPr>
        <w:t>a trial of skills-based routing, com</w:t>
      </w:r>
      <w:r w:rsidRPr="00B357AF">
        <w:rPr>
          <w:rFonts w:eastAsia="Calibri"/>
          <w:snapToGrid/>
        </w:rPr>
        <w:t>pensation for deaf interpreters, the assignment of ten-digit number</w:t>
      </w:r>
      <w:r w:rsidRPr="007A606E">
        <w:rPr>
          <w:rFonts w:eastAsia="Calibri"/>
          <w:snapToGrid/>
        </w:rPr>
        <w:t xml:space="preserve">s to hearing individuals, and the development of </w:t>
      </w:r>
      <w:r w:rsidRPr="0027115F">
        <w:rPr>
          <w:rFonts w:eastAsia="Calibri"/>
          <w:snapToGrid/>
        </w:rPr>
        <w:t>VRS service quality metrics.</w:t>
      </w:r>
      <w:r w:rsidRPr="00C939E2">
        <w:rPr>
          <w:rStyle w:val="FootnoteReference"/>
          <w:rFonts w:eastAsia="Calibri"/>
        </w:rPr>
        <w:footnoteReference w:id="6"/>
      </w:r>
      <w:r w:rsidRPr="00CE0B43">
        <w:rPr>
          <w:rFonts w:eastAsia="Calibri"/>
          <w:snapToGrid/>
        </w:rPr>
        <w:t xml:space="preserve">  In</w:t>
      </w:r>
      <w:r w:rsidRPr="00F57714">
        <w:rPr>
          <w:rFonts w:eastAsia="Calibri"/>
          <w:snapToGrid/>
        </w:rPr>
        <w:t xml:space="preserve"> this Report and Order, we </w:t>
      </w:r>
      <w:r w:rsidRPr="007A606E">
        <w:rPr>
          <w:rFonts w:eastAsia="Calibri"/>
          <w:snapToGrid/>
        </w:rPr>
        <w:t xml:space="preserve">approve trials for the provision of </w:t>
      </w:r>
      <w:r w:rsidRPr="0027115F">
        <w:rPr>
          <w:rFonts w:eastAsia="Calibri"/>
          <w:snapToGrid/>
        </w:rPr>
        <w:t xml:space="preserve">skills-based routing and deaf interpreters, and </w:t>
      </w:r>
      <w:r>
        <w:rPr>
          <w:rFonts w:eastAsia="Calibri"/>
          <w:snapToGrid/>
        </w:rPr>
        <w:t xml:space="preserve">amend the Commission’s rules regarding </w:t>
      </w:r>
      <w:r w:rsidRPr="0027115F">
        <w:rPr>
          <w:rFonts w:eastAsia="Calibri"/>
          <w:snapToGrid/>
        </w:rPr>
        <w:t>the VRS speed of answer, assignment of ten-digit numbers to hearing people and at</w:t>
      </w:r>
      <w:r>
        <w:rPr>
          <w:rFonts w:eastAsia="Calibri"/>
          <w:snapToGrid/>
        </w:rPr>
        <w:t>-</w:t>
      </w:r>
      <w:r w:rsidRPr="00CE0B43">
        <w:rPr>
          <w:rFonts w:eastAsia="Calibri"/>
          <w:snapToGrid/>
        </w:rPr>
        <w:t xml:space="preserve">home </w:t>
      </w:r>
      <w:r>
        <w:rPr>
          <w:rFonts w:eastAsia="Calibri"/>
          <w:snapToGrid/>
        </w:rPr>
        <w:t xml:space="preserve">VRS </w:t>
      </w:r>
      <w:r w:rsidRPr="00CE0B43">
        <w:rPr>
          <w:rFonts w:eastAsia="Calibri"/>
          <w:snapToGrid/>
        </w:rPr>
        <w:t>interpreting</w:t>
      </w:r>
      <w:r w:rsidRPr="00F57714">
        <w:rPr>
          <w:rFonts w:eastAsia="Calibri"/>
          <w:snapToGrid/>
        </w:rPr>
        <w:t xml:space="preserve">.  </w:t>
      </w:r>
    </w:p>
    <w:p w:rsidR="00134604" w:rsidRPr="003E3456" w:rsidRDefault="00134604" w:rsidP="00134604">
      <w:pPr>
        <w:pStyle w:val="Heading2"/>
      </w:pPr>
      <w:bookmarkStart w:id="48" w:name="_Toc474860044"/>
      <w:bookmarkStart w:id="49" w:name="_Toc474860221"/>
      <w:bookmarkStart w:id="50" w:name="_Toc474860341"/>
      <w:bookmarkStart w:id="51" w:name="_Toc474860527"/>
      <w:bookmarkStart w:id="52" w:name="_Toc474860593"/>
      <w:bookmarkStart w:id="53" w:name="_Toc474860736"/>
      <w:bookmarkStart w:id="54" w:name="_Toc474946524"/>
      <w:bookmarkStart w:id="55" w:name="_Toc475724106"/>
      <w:bookmarkStart w:id="56" w:name="_Toc475724299"/>
      <w:bookmarkStart w:id="57" w:name="_Toc475724446"/>
      <w:bookmarkStart w:id="58" w:name="_Toc475724776"/>
      <w:bookmarkStart w:id="59" w:name="_Toc476077806"/>
      <w:bookmarkStart w:id="60" w:name="_Toc477963661"/>
      <w:bookmarkStart w:id="61" w:name="_Toc474858607"/>
      <w:r w:rsidRPr="003E3456">
        <w:t>Trial of Skills-Based Routing</w:t>
      </w:r>
      <w:bookmarkEnd w:id="48"/>
      <w:bookmarkEnd w:id="49"/>
      <w:bookmarkEnd w:id="50"/>
      <w:bookmarkEnd w:id="51"/>
      <w:bookmarkEnd w:id="52"/>
      <w:bookmarkEnd w:id="53"/>
      <w:bookmarkEnd w:id="54"/>
      <w:bookmarkEnd w:id="55"/>
      <w:bookmarkEnd w:id="56"/>
      <w:bookmarkEnd w:id="57"/>
      <w:bookmarkEnd w:id="58"/>
      <w:bookmarkEnd w:id="59"/>
      <w:bookmarkEnd w:id="60"/>
    </w:p>
    <w:p w:rsidR="00134604" w:rsidRDefault="00134604" w:rsidP="00134604">
      <w:pPr>
        <w:pStyle w:val="ParaNum"/>
        <w:widowControl/>
      </w:pPr>
      <w:r w:rsidRPr="003E3456">
        <w:t xml:space="preserve">We authorize a voluntary trial of skills-based routing </w:t>
      </w:r>
      <w:r>
        <w:t>by any of the currently certified VRS providers,</w:t>
      </w:r>
      <w:r>
        <w:rPr>
          <w:rStyle w:val="FootnoteReference"/>
        </w:rPr>
        <w:footnoteReference w:id="7"/>
      </w:r>
      <w:r>
        <w:t xml:space="preserve"> for calls pertaining to </w:t>
      </w:r>
      <w:r w:rsidRPr="003E3456">
        <w:t>legal, medical, and technical computer support, to be conducted</w:t>
      </w:r>
      <w:r w:rsidRPr="003E3456" w:rsidDel="00CE7A5B">
        <w:t xml:space="preserve"> </w:t>
      </w:r>
      <w:r w:rsidRPr="003E3456">
        <w:t>for a period of eight months</w:t>
      </w:r>
      <w:r>
        <w:t xml:space="preserve"> under the conditions set forth below</w:t>
      </w:r>
      <w:r w:rsidRPr="003E3456">
        <w:t>.</w:t>
      </w:r>
      <w:r w:rsidRPr="00C939E2">
        <w:rPr>
          <w:rStyle w:val="FootnoteReference"/>
        </w:rPr>
        <w:footnoteReference w:id="8"/>
      </w:r>
      <w:r w:rsidRPr="003E3456">
        <w:t xml:space="preserve">  We are persuaded that enabling consumers to have conversations relayed by interpreters skilled in the vocabulary of these subjects can contribute to achieving functional equivalence in accordance with the goals of section 225 of the Communications Act.</w:t>
      </w:r>
      <w:r w:rsidRPr="00C939E2">
        <w:rPr>
          <w:rStyle w:val="FootnoteReference"/>
        </w:rPr>
        <w:footnoteReference w:id="9"/>
      </w:r>
      <w:r w:rsidRPr="003E3456">
        <w:t xml:space="preserve">  </w:t>
      </w:r>
    </w:p>
    <w:p w:rsidR="00134604" w:rsidRPr="003E3456" w:rsidRDefault="00134604" w:rsidP="00134604">
      <w:pPr>
        <w:pStyle w:val="ParaNum"/>
        <w:widowControl/>
      </w:pPr>
      <w:r w:rsidRPr="003E3456">
        <w:t xml:space="preserve">In the </w:t>
      </w:r>
      <w:r w:rsidRPr="003E3456">
        <w:rPr>
          <w:i/>
        </w:rPr>
        <w:t>2015 VRS FNPRM</w:t>
      </w:r>
      <w:r w:rsidRPr="003E3456">
        <w:t>, the Commission sought comment on whether to conduct an eight-month trial of “skills-based routing,” by which VRS providers would be permitted to route some VRS calls to communications assistants (CAs) with particular skill sets.</w:t>
      </w:r>
      <w:r w:rsidRPr="00C939E2">
        <w:rPr>
          <w:rStyle w:val="FootnoteReference"/>
        </w:rPr>
        <w:footnoteReference w:id="10"/>
      </w:r>
      <w:r w:rsidRPr="003E3456">
        <w:t xml:space="preserve">  In addition to seeking comment on the overall merits of allowing skills-based routing, the Commission asked (1) which types of calls should be included in such a trial,</w:t>
      </w:r>
      <w:r w:rsidRPr="00C939E2">
        <w:rPr>
          <w:rStyle w:val="FootnoteReference"/>
        </w:rPr>
        <w:footnoteReference w:id="11"/>
      </w:r>
      <w:r w:rsidRPr="003E3456">
        <w:t xml:space="preserve"> (2) what types of data should be collected to assess the costs, benefits, and feasibility of this feature,</w:t>
      </w:r>
      <w:r w:rsidRPr="00C939E2">
        <w:rPr>
          <w:rStyle w:val="FootnoteReference"/>
        </w:rPr>
        <w:footnoteReference w:id="12"/>
      </w:r>
      <w:r w:rsidRPr="003E3456">
        <w:t xml:space="preserve"> and (3) whether to exempt calls routed to specialized interpreters from compliance with the speed-of-answer and “sequential call” rules.</w:t>
      </w:r>
      <w:r w:rsidRPr="00C939E2">
        <w:rPr>
          <w:rStyle w:val="FootnoteReference"/>
        </w:rPr>
        <w:footnoteReference w:id="13"/>
      </w:r>
      <w:r w:rsidRPr="003E3456">
        <w:t xml:space="preserve">  The Commission further proposed that participation in the trial be voluntary, and therefore that any costs incurred not be billable to the TRS Fund.</w:t>
      </w:r>
      <w:r w:rsidRPr="00C939E2">
        <w:rPr>
          <w:rStyle w:val="FootnoteReference"/>
        </w:rPr>
        <w:footnoteReference w:id="14"/>
      </w:r>
    </w:p>
    <w:p w:rsidR="00134604" w:rsidRDefault="00134604" w:rsidP="00134604">
      <w:pPr>
        <w:pStyle w:val="ParaNum"/>
        <w:widowControl/>
      </w:pPr>
      <w:r>
        <w:t>W</w:t>
      </w:r>
      <w:r w:rsidRPr="003E3456">
        <w:t>e agree with commenters that skills-based routing may increase the efficiency of VRS by reducing the duration of calls and the need for duplicative calls.</w:t>
      </w:r>
      <w:r w:rsidRPr="00C939E2">
        <w:rPr>
          <w:rStyle w:val="FootnoteReference"/>
        </w:rPr>
        <w:footnoteReference w:id="15"/>
      </w:r>
      <w:r w:rsidRPr="003E3456">
        <w:t xml:space="preserve">  </w:t>
      </w:r>
      <w:r>
        <w:t>Additionally, we believe it can facilitate compliance with each provider’s obligation to ensure that its CAs can “interpret effectively [and] accurately . . . both receptively and expressively, using any necessary specialized vocabulary.”</w:t>
      </w:r>
      <w:r>
        <w:rPr>
          <w:rStyle w:val="FootnoteReference"/>
        </w:rPr>
        <w:footnoteReference w:id="16"/>
      </w:r>
      <w:r>
        <w:t xml:space="preserve">    </w:t>
      </w:r>
    </w:p>
    <w:p w:rsidR="00134604" w:rsidRPr="003E3456" w:rsidRDefault="00134604" w:rsidP="00134604">
      <w:pPr>
        <w:pStyle w:val="ParaNum"/>
        <w:widowControl/>
      </w:pPr>
      <w:r w:rsidRPr="003E3456">
        <w:t>Although VRS providers recommend that providers be permitted to select their areas of specialization,</w:t>
      </w:r>
      <w:r w:rsidRPr="00C939E2">
        <w:rPr>
          <w:rStyle w:val="FootnoteReference"/>
        </w:rPr>
        <w:footnoteReference w:id="17"/>
      </w:r>
      <w:r w:rsidRPr="003E3456">
        <w:t xml:space="preserve"> Consumer Groups identify the three skills listed above as those most commonly needed.</w:t>
      </w:r>
      <w:r w:rsidRPr="00C939E2">
        <w:rPr>
          <w:rStyle w:val="FootnoteReference"/>
        </w:rPr>
        <w:footnoteReference w:id="18"/>
      </w:r>
      <w:r w:rsidRPr="003E3456">
        <w:t xml:space="preserve">  We will limit the trial to these three categories, in order to provide relatively clear-cut criteria for the types of calls that qualify and to maximize the usefulness of the data to be collected.</w:t>
      </w:r>
      <w:r w:rsidRPr="00C939E2">
        <w:rPr>
          <w:rStyle w:val="FootnoteReference"/>
        </w:rPr>
        <w:footnoteReference w:id="19"/>
      </w:r>
      <w:r w:rsidRPr="003E3456">
        <w:t xml:space="preserve">  VRS providers participating in the trial may offer one, two, or all three types of specialized interpretation.</w:t>
      </w:r>
      <w:r w:rsidRPr="00C939E2">
        <w:rPr>
          <w:rStyle w:val="FootnoteReference"/>
        </w:rPr>
        <w:footnoteReference w:id="20"/>
      </w:r>
      <w:r>
        <w:t xml:space="preserve">  </w:t>
      </w:r>
      <w:r w:rsidRPr="003E3456">
        <w:t xml:space="preserve">Permitting a voluntary trial will allow VRS providers to individually determine whether and how extensively to participate, depending on how skills-based routing fits into their respective budgets and business plans.  We further expect that an eight-month period will be sufficient to gather data on the costs and benefits of skills-based routing, and </w:t>
      </w:r>
      <w:r>
        <w:t xml:space="preserve">to </w:t>
      </w:r>
      <w:r w:rsidRPr="003E3456">
        <w:t>enable the Commission to develop informed rules and policies governing this feature if it is later authorized on a permanent basis.</w:t>
      </w:r>
      <w:r w:rsidRPr="00C939E2">
        <w:rPr>
          <w:rStyle w:val="FootnoteReference"/>
        </w:rPr>
        <w:footnoteReference w:id="21"/>
      </w:r>
      <w:r w:rsidRPr="003E3456">
        <w:t xml:space="preserve">  </w:t>
      </w:r>
    </w:p>
    <w:p w:rsidR="00134604" w:rsidRPr="003E3456" w:rsidRDefault="00134604" w:rsidP="00134604">
      <w:pPr>
        <w:pStyle w:val="ParaNum"/>
        <w:widowControl/>
      </w:pPr>
      <w:r w:rsidRPr="003E3456">
        <w:t>To allow sufficient time for the design of each provider’s individual trial, we direct that the formal trial period commence August 1, 2017, and terminate March 31, 2018.</w:t>
      </w:r>
      <w:r w:rsidRPr="004D6127">
        <w:rPr>
          <w:rStyle w:val="FootnoteReference"/>
        </w:rPr>
        <w:footnoteReference w:id="22"/>
      </w:r>
      <w:r w:rsidRPr="003E3456">
        <w:t xml:space="preserve">  Providers interested in participating in the trial must provide notification of their intent to participate to the Commission’s Consumer and Governmental Affairs Bureau by June 1, 2017, including a description of the standards they will use to determine whether a particular CA may handle each type of skills-based call.</w:t>
      </w:r>
      <w:r w:rsidRPr="00C939E2">
        <w:rPr>
          <w:rStyle w:val="FootnoteReference"/>
        </w:rPr>
        <w:footnoteReference w:id="23"/>
      </w:r>
      <w:r w:rsidRPr="003E3456" w:rsidDel="00BF670E">
        <w:t xml:space="preserve"> </w:t>
      </w:r>
      <w:r w:rsidRPr="003E3456">
        <w:t xml:space="preserve"> We decline at this time to restrict the trial to a specified number of consumers, as suggested by Convo.</w:t>
      </w:r>
      <w:r w:rsidRPr="00C939E2">
        <w:rPr>
          <w:rStyle w:val="FootnoteReference"/>
        </w:rPr>
        <w:footnoteReference w:id="24"/>
      </w:r>
      <w:r w:rsidRPr="003E3456">
        <w:t xml:space="preserve">  Selecting a limited subset of customers for this trial could pose technical issues and be perceived as unfair to those customers not selected.</w:t>
      </w:r>
      <w:r w:rsidRPr="00C939E2">
        <w:rPr>
          <w:rStyle w:val="FootnoteReference"/>
        </w:rPr>
        <w:footnoteReference w:id="25"/>
      </w:r>
      <w:r w:rsidRPr="003E3456">
        <w:t xml:space="preserve">  </w:t>
      </w:r>
      <w:r w:rsidRPr="001714D4">
        <w:t>In addition, larger</w:t>
      </w:r>
      <w:r>
        <w:t>-</w:t>
      </w:r>
      <w:r w:rsidRPr="001714D4">
        <w:t xml:space="preserve">scale trials will provide the Commission with more data to aid in our assessment of a skills-based routing feature.  </w:t>
      </w:r>
      <w:r w:rsidRPr="003E3456">
        <w:t>Nor are we persuaded that larger providers will gain an undue competitive advantage from the ability to conduct a larger scale trial.  Rather, all VRS providers will be able to compete based on their CAs’ skills</w:t>
      </w:r>
      <w:r>
        <w:t xml:space="preserve"> and accuracy</w:t>
      </w:r>
      <w:r w:rsidRPr="003E3456">
        <w:t xml:space="preserve">.  The results of a trial in which each provider determines the scale of its participation may also provide information about the competitive aspects of offering this feature </w:t>
      </w:r>
      <w:r>
        <w:t xml:space="preserve">to inform future </w:t>
      </w:r>
      <w:r w:rsidRPr="003E3456">
        <w:t>Commission decision</w:t>
      </w:r>
      <w:r>
        <w:t>s</w:t>
      </w:r>
      <w:r w:rsidRPr="003E3456">
        <w:t xml:space="preserve"> about how to structure skills-based routing in the future.</w:t>
      </w:r>
    </w:p>
    <w:p w:rsidR="00134604" w:rsidRDefault="00134604" w:rsidP="00134604">
      <w:pPr>
        <w:pStyle w:val="ParaNum"/>
        <w:widowControl/>
      </w:pPr>
      <w:r>
        <w:t>For the duration of the trial, a</w:t>
      </w:r>
      <w:r w:rsidRPr="003E3456">
        <w:t xml:space="preserve">ll participating VRS providers will </w:t>
      </w:r>
      <w:r>
        <w:t xml:space="preserve">continue to be </w:t>
      </w:r>
      <w:r w:rsidRPr="003E3456">
        <w:t xml:space="preserve">compensated at the applicable rate for compensable minutes of use </w:t>
      </w:r>
      <w:r>
        <w:t>whether handled by a generalist or specialist CA</w:t>
      </w:r>
      <w:r w:rsidRPr="003E3456">
        <w:t>.  Although providers generally contend that they will incur additional costs associated with the trial,</w:t>
      </w:r>
      <w:r w:rsidRPr="00C939E2">
        <w:rPr>
          <w:rStyle w:val="FootnoteReference"/>
        </w:rPr>
        <w:footnoteReference w:id="26"/>
      </w:r>
      <w:r w:rsidRPr="003E3456">
        <w:t xml:space="preserve"> no party has quantified such projected costs.</w:t>
      </w:r>
      <w:r w:rsidRPr="00C939E2">
        <w:rPr>
          <w:rStyle w:val="FootnoteReference"/>
        </w:rPr>
        <w:footnoteReference w:id="27"/>
      </w:r>
      <w:r w:rsidRPr="003E3456">
        <w:t xml:space="preserve">  Moreover, one provider has noted that providers cannot accurately estimate what their costs will be, and that cost data will be more reliable if it is collected after the trial.</w:t>
      </w:r>
      <w:r w:rsidRPr="00C939E2">
        <w:rPr>
          <w:rStyle w:val="FootnoteReference"/>
        </w:rPr>
        <w:footnoteReference w:id="28"/>
      </w:r>
      <w:r w:rsidRPr="003E3456">
        <w:t xml:space="preserve">  Without knowing the extent of such expenses, we are not in a position to assess whether their compensation is justifiable in relation to the potential benefits of this feature.  Accordingly, any added costs incurred to provide skills-based routing </w:t>
      </w:r>
      <w:r>
        <w:t xml:space="preserve">during the trial period </w:t>
      </w:r>
      <w:r w:rsidRPr="003E3456">
        <w:t>will not be billable to the TRS Fund.</w:t>
      </w:r>
      <w:r w:rsidRPr="00C939E2">
        <w:rPr>
          <w:rStyle w:val="FootnoteReference"/>
        </w:rPr>
        <w:footnoteReference w:id="29"/>
      </w:r>
    </w:p>
    <w:p w:rsidR="00134604" w:rsidRDefault="00134604" w:rsidP="00134604">
      <w:pPr>
        <w:pStyle w:val="Heading3"/>
      </w:pPr>
      <w:bookmarkStart w:id="62" w:name="_Toc475724107"/>
      <w:bookmarkStart w:id="63" w:name="_Toc475724300"/>
      <w:bookmarkStart w:id="64" w:name="_Toc475724447"/>
      <w:bookmarkStart w:id="65" w:name="_Toc475724777"/>
      <w:bookmarkStart w:id="66" w:name="_Toc476077807"/>
      <w:bookmarkStart w:id="67" w:name="_Toc477963662"/>
      <w:r>
        <w:t>Rule Waivers</w:t>
      </w:r>
      <w:bookmarkEnd w:id="62"/>
      <w:bookmarkEnd w:id="63"/>
      <w:bookmarkEnd w:id="64"/>
      <w:bookmarkEnd w:id="65"/>
      <w:bookmarkEnd w:id="66"/>
      <w:bookmarkEnd w:id="67"/>
    </w:p>
    <w:p w:rsidR="00134604" w:rsidRDefault="00134604" w:rsidP="00134604">
      <w:pPr>
        <w:pStyle w:val="ParaNum"/>
        <w:widowControl/>
      </w:pPr>
      <w:r w:rsidRPr="006A7F85">
        <w:t>A Commission rule may be waived for “good cause shown.”</w:t>
      </w:r>
      <w:r w:rsidRPr="00C939E2">
        <w:rPr>
          <w:rStyle w:val="FootnoteReference"/>
        </w:rPr>
        <w:footnoteReference w:id="30"/>
      </w:r>
      <w:r w:rsidRPr="006A7F85">
        <w:t xml:space="preserve">  In particular, a waiver is appropriate where the particular facts make strict compliance inconsistent with the public interest.</w:t>
      </w:r>
      <w:r w:rsidRPr="00C939E2">
        <w:rPr>
          <w:rStyle w:val="FootnoteReference"/>
        </w:rPr>
        <w:footnoteReference w:id="31"/>
      </w:r>
      <w:r w:rsidRPr="00C939E2">
        <w:rPr>
          <w:rStyle w:val="FootnoteReference"/>
        </w:rPr>
        <w:t xml:space="preserve"> </w:t>
      </w:r>
      <w:r w:rsidRPr="006A7F85">
        <w:t xml:space="preserve"> In addition, the Commission may take into account considerations of hardship, equity, or more effective implementation of overall policy on an individual basis.</w:t>
      </w:r>
      <w:r w:rsidRPr="00C939E2">
        <w:rPr>
          <w:rStyle w:val="FootnoteReference"/>
        </w:rPr>
        <w:footnoteReference w:id="32"/>
      </w:r>
      <w:r w:rsidRPr="00C939E2">
        <w:rPr>
          <w:rStyle w:val="FootnoteReference"/>
        </w:rPr>
        <w:t xml:space="preserve"> </w:t>
      </w:r>
      <w:r w:rsidRPr="006A7F85">
        <w:t xml:space="preserve"> Waiver of a Commission rule is therefore appropriate if special circumstances warrant a deviation from the general rule and such deviation will serve the public interest.</w:t>
      </w:r>
      <w:r w:rsidRPr="00C939E2">
        <w:rPr>
          <w:rStyle w:val="FootnoteReference"/>
        </w:rPr>
        <w:footnoteReference w:id="33"/>
      </w:r>
      <w:r>
        <w:t xml:space="preserve">  As stated above, w</w:t>
      </w:r>
      <w:r w:rsidRPr="003E3456">
        <w:t xml:space="preserve">e are persuaded that </w:t>
      </w:r>
      <w:r>
        <w:t>skills-based routing of VRS calls may contribute to functional equivalence and</w:t>
      </w:r>
      <w:r w:rsidRPr="003E3456">
        <w:t xml:space="preserve"> increase the efficiency of VRS.  </w:t>
      </w:r>
      <w:r>
        <w:t xml:space="preserve">We conclude that, to enable the Commission </w:t>
      </w:r>
      <w:r w:rsidRPr="006A7F85">
        <w:t xml:space="preserve">to gather data on the costs and benefits of skills-based routing, and develop informed rules </w:t>
      </w:r>
      <w:r>
        <w:t>governing this practice should it be authorized in the future, it will serve the public interest to conditionally waive certain TRS rules on a temporary basis</w:t>
      </w:r>
      <w:r w:rsidRPr="000F1D62">
        <w:t xml:space="preserve">, </w:t>
      </w:r>
      <w:r w:rsidRPr="00342895">
        <w:t>i.e., for the duration of the trial.</w:t>
      </w:r>
      <w:r w:rsidRPr="006A7F85">
        <w:t xml:space="preserve"> </w:t>
      </w:r>
      <w:r>
        <w:t xml:space="preserve"> Specifically, to the extent indicated below, we waive (1) the requirement to answer calls in the order received,</w:t>
      </w:r>
      <w:r>
        <w:rPr>
          <w:rStyle w:val="FootnoteReference"/>
        </w:rPr>
        <w:footnoteReference w:id="34"/>
      </w:r>
      <w:r>
        <w:t xml:space="preserve"> (2) the speed-of-answer rule,</w:t>
      </w:r>
      <w:r>
        <w:rPr>
          <w:rStyle w:val="FootnoteReference"/>
        </w:rPr>
        <w:footnoteReference w:id="35"/>
      </w:r>
      <w:r>
        <w:t xml:space="preserve"> (3) the ten-minute rule,</w:t>
      </w:r>
      <w:r>
        <w:rPr>
          <w:rStyle w:val="FootnoteReference"/>
        </w:rPr>
        <w:footnoteReference w:id="36"/>
      </w:r>
      <w:r>
        <w:t xml:space="preserve"> and (4) the sequential call rule.</w:t>
      </w:r>
      <w:r>
        <w:rPr>
          <w:rStyle w:val="FootnoteReference"/>
        </w:rPr>
        <w:footnoteReference w:id="37"/>
      </w:r>
      <w:r>
        <w:t xml:space="preserve">  With these waivers, calls routed to specialized interpreters will qualify for per-call compensation from the TRS Fund, provided that such calls are handled in accordance with the conditions below and all non-waived mandatory minimum standards.</w:t>
      </w:r>
    </w:p>
    <w:p w:rsidR="00134604" w:rsidRDefault="00134604" w:rsidP="00134604">
      <w:pPr>
        <w:pStyle w:val="ParaNum"/>
        <w:widowControl/>
      </w:pPr>
      <w:r w:rsidRPr="00E7073B">
        <w:rPr>
          <w:i/>
        </w:rPr>
        <w:t>Answer-in-the-Order-Received Waiver</w:t>
      </w:r>
      <w:r>
        <w:t>.  The Commission has previously explained that the requirement that TRS providers answer calls in the order received is inherent in the principle of functional equivalence.</w:t>
      </w:r>
      <w:r>
        <w:rPr>
          <w:rStyle w:val="FootnoteReference"/>
        </w:rPr>
        <w:footnoteReference w:id="38"/>
      </w:r>
      <w:r>
        <w:t xml:space="preserve">  For purposes of this eight-month trial, however, we find that a limited deviation from this principle under the conditions described </w:t>
      </w:r>
      <w:r w:rsidRPr="00342895">
        <w:t>herein is necessary in order to enable VRS users to effectively benefit from the availability of skills-based CAs</w:t>
      </w:r>
      <w:r>
        <w:t>.  Specifically, waiver of this rule will allow providers,</w:t>
      </w:r>
      <w:r w:rsidRPr="003E3456">
        <w:t xml:space="preserve"> to the extent technically feasible, </w:t>
      </w:r>
      <w:r>
        <w:t xml:space="preserve">to give </w:t>
      </w:r>
      <w:r w:rsidRPr="003E3456">
        <w:t xml:space="preserve">VRS users the option of selecting a specialist CA at </w:t>
      </w:r>
      <w:r>
        <w:t xml:space="preserve">various </w:t>
      </w:r>
      <w:r w:rsidRPr="003E3456">
        <w:t xml:space="preserve">point in the course of processing </w:t>
      </w:r>
      <w:r>
        <w:t xml:space="preserve">a call, </w:t>
      </w:r>
      <w:r w:rsidRPr="00FD775F">
        <w:t>e.g.</w:t>
      </w:r>
      <w:r w:rsidRPr="003E3456">
        <w:t>, prior to initially being connected to the VRS provider, during the call set-up with the CA, or after all parties to the call have been connected</w:t>
      </w:r>
      <w:r>
        <w:t>—</w:t>
      </w:r>
      <w:r w:rsidRPr="00342895">
        <w:t>even if this entails providing a specialized CA out of the order that calls seeking other types of specialized CAs are received.</w:t>
      </w:r>
      <w:r w:rsidRPr="00342895">
        <w:rPr>
          <w:rStyle w:val="FootnoteReference"/>
        </w:rPr>
        <w:footnoteReference w:id="39"/>
      </w:r>
      <w:r w:rsidRPr="003E3456">
        <w:t xml:space="preserve">  </w:t>
      </w:r>
      <w:r>
        <w:t xml:space="preserve">However, we stress that in authorizing this trial, the Commission does not authorize VRS providers or users to treat </w:t>
      </w:r>
      <w:r w:rsidRPr="00E7073B">
        <w:t xml:space="preserve">skills-based </w:t>
      </w:r>
      <w:r>
        <w:t xml:space="preserve">routing </w:t>
      </w:r>
      <w:r w:rsidRPr="00E7073B">
        <w:t xml:space="preserve">of VRS </w:t>
      </w:r>
      <w:r>
        <w:t>calls as</w:t>
      </w:r>
      <w:r w:rsidRPr="00E7073B">
        <w:t xml:space="preserve"> a substitute for in-person </w:t>
      </w:r>
      <w:r>
        <w:t xml:space="preserve">or video remote </w:t>
      </w:r>
      <w:r w:rsidRPr="00E7073B">
        <w:t xml:space="preserve">interpreting when </w:t>
      </w:r>
      <w:r>
        <w:t xml:space="preserve">medical, legal, and computer </w:t>
      </w:r>
      <w:r w:rsidRPr="00E7073B">
        <w:t>professionals need to communicate in person with their patients and clients.</w:t>
      </w:r>
      <w:r>
        <w:rPr>
          <w:rStyle w:val="FootnoteReference"/>
        </w:rPr>
        <w:footnoteReference w:id="40"/>
      </w:r>
      <w:r w:rsidRPr="00E7073B">
        <w:t xml:space="preserve">  </w:t>
      </w:r>
    </w:p>
    <w:p w:rsidR="00134604" w:rsidRDefault="00134604" w:rsidP="00134604">
      <w:pPr>
        <w:pStyle w:val="ParaNum"/>
        <w:widowControl/>
      </w:pPr>
      <w:r>
        <w:rPr>
          <w:i/>
        </w:rPr>
        <w:t>Speed-of-Answer Waiver</w:t>
      </w:r>
      <w:r w:rsidRPr="003E3456">
        <w:t xml:space="preserve">.  </w:t>
      </w:r>
      <w:r>
        <w:t>We also waive the speed-of-answer rule for c</w:t>
      </w:r>
      <w:r w:rsidRPr="003E3456">
        <w:t xml:space="preserve">alls routed to specialized interpreters during the </w:t>
      </w:r>
      <w:r>
        <w:t xml:space="preserve">eight-month duration of the </w:t>
      </w:r>
      <w:r w:rsidRPr="003E3456">
        <w:t>skills-based routing trial.</w:t>
      </w:r>
      <w:r w:rsidRPr="00C939E2">
        <w:rPr>
          <w:rStyle w:val="FootnoteReference"/>
        </w:rPr>
        <w:footnoteReference w:id="41"/>
      </w:r>
      <w:r w:rsidRPr="003E3456">
        <w:t xml:space="preserve">  We concur with commenters who maintain that providers should not be penalized for unpredictable speeds of answer that </w:t>
      </w:r>
      <w:r>
        <w:t>users</w:t>
      </w:r>
      <w:r w:rsidRPr="003E3456">
        <w:t xml:space="preserve"> may experience during the trial</w:t>
      </w:r>
      <w:r>
        <w:t xml:space="preserve"> when voluntarily selecting a specialist interpreter</w:t>
      </w:r>
      <w:r w:rsidRPr="003E3456">
        <w:t>.</w:t>
      </w:r>
      <w:r w:rsidRPr="00C939E2">
        <w:rPr>
          <w:rStyle w:val="FootnoteReference"/>
        </w:rPr>
        <w:footnoteReference w:id="42"/>
      </w:r>
      <w:r w:rsidRPr="00C33C20">
        <w:t xml:space="preserve"> </w:t>
      </w:r>
      <w:r>
        <w:t xml:space="preserve"> </w:t>
      </w:r>
      <w:r w:rsidRPr="003E3456">
        <w:t>We will permit providers to give callers wait-time estimates for the provider’s skills-based and generalist queues, in addition to offering callers the option of switching out of a skills-based routing queue and into the generalist queue if the caller decides that the wait for a specialized CA is too long.</w:t>
      </w:r>
      <w:r w:rsidRPr="00C939E2">
        <w:rPr>
          <w:rStyle w:val="FootnoteReference"/>
        </w:rPr>
        <w:footnoteReference w:id="43"/>
      </w:r>
      <w:r w:rsidRPr="003E3456">
        <w:t xml:space="preserve">  </w:t>
      </w:r>
    </w:p>
    <w:p w:rsidR="00134604" w:rsidRDefault="00134604" w:rsidP="00134604">
      <w:pPr>
        <w:pStyle w:val="ParaNum"/>
        <w:widowControl/>
      </w:pPr>
      <w:r w:rsidRPr="00EF11F0">
        <w:rPr>
          <w:i/>
        </w:rPr>
        <w:t>Ten</w:t>
      </w:r>
      <w:r>
        <w:rPr>
          <w:i/>
        </w:rPr>
        <w:t>-</w:t>
      </w:r>
      <w:r w:rsidRPr="00EF11F0">
        <w:rPr>
          <w:i/>
        </w:rPr>
        <w:t>Minute Rule Waiver</w:t>
      </w:r>
      <w:r>
        <w:t xml:space="preserve">.  </w:t>
      </w:r>
      <w:r w:rsidRPr="003E3456">
        <w:t xml:space="preserve">Further, </w:t>
      </w:r>
      <w:r w:rsidRPr="00667E70">
        <w:t>to enable providers to reserve interpreters who have specialized skills for those individuals who need them</w:t>
      </w:r>
      <w:r>
        <w:t>,</w:t>
      </w:r>
      <w:r w:rsidRPr="00667E70">
        <w:t xml:space="preserve"> </w:t>
      </w:r>
      <w:r>
        <w:t>we waive the ten-minute rule for trial participants in the circumstances described below.  Our current rules require a CA to remain on a call for a minimum of ten minutes to minimize disruption to VRS users.</w:t>
      </w:r>
      <w:r>
        <w:rPr>
          <w:rStyle w:val="FootnoteReference"/>
        </w:rPr>
        <w:footnoteReference w:id="44"/>
      </w:r>
      <w:r>
        <w:t xml:space="preserve">  We recognize, however, that a </w:t>
      </w:r>
      <w:r w:rsidRPr="003E3456">
        <w:t xml:space="preserve">CA’s specialized interpreting skills </w:t>
      </w:r>
      <w:r>
        <w:t>may not always be needed to</w:t>
      </w:r>
      <w:r w:rsidRPr="003E3456">
        <w:t xml:space="preserve"> achieve effective communication</w:t>
      </w:r>
      <w:r>
        <w:t xml:space="preserve">, even if these have been requested by a caller.  If it becomes apparent during a call that specialized interpretation is not needed, the call may be transferred </w:t>
      </w:r>
      <w:r w:rsidRPr="003E3456">
        <w:t>back to a generalist CA (or the generalist queue) after (1)</w:t>
      </w:r>
      <w:r>
        <w:t> </w:t>
      </w:r>
      <w:r w:rsidRPr="003E3456">
        <w:t>receiving confirmation from a supervisor that a specialist CA is unnecessary and (2) notifying the caller of the impending transfer.</w:t>
      </w:r>
      <w:r>
        <w:t xml:space="preserve">  Doing so will allow VRS </w:t>
      </w:r>
      <w:r w:rsidRPr="00093624">
        <w:t>providers to preserve the scarce resources of specialist CAs and best match the unique skills of these individuals to</w:t>
      </w:r>
      <w:r>
        <w:t xml:space="preserve"> the callers that need them.</w:t>
      </w:r>
    </w:p>
    <w:p w:rsidR="00134604" w:rsidRDefault="00134604" w:rsidP="00134604">
      <w:pPr>
        <w:pStyle w:val="ParaNum"/>
        <w:widowControl/>
      </w:pPr>
      <w:r>
        <w:rPr>
          <w:i/>
        </w:rPr>
        <w:t>Sequential Call Rule Waiver.</w:t>
      </w:r>
      <w:r>
        <w:t xml:space="preserve">  Finally, w</w:t>
      </w:r>
      <w:r w:rsidRPr="003E3456">
        <w:t xml:space="preserve">e </w:t>
      </w:r>
      <w:r>
        <w:t>waive</w:t>
      </w:r>
      <w:r w:rsidRPr="003E3456">
        <w:t xml:space="preserve"> the “sequential call rule” </w:t>
      </w:r>
      <w:r>
        <w:t>in those</w:t>
      </w:r>
      <w:r w:rsidRPr="003E3456">
        <w:t xml:space="preserve"> instances in which</w:t>
      </w:r>
      <w:r>
        <w:t>, following a specialist call,</w:t>
      </w:r>
      <w:r w:rsidRPr="003E3456">
        <w:t xml:space="preserve"> </w:t>
      </w:r>
      <w:r>
        <w:t>a consumer</w:t>
      </w:r>
      <w:r w:rsidRPr="003E3456">
        <w:t xml:space="preserve"> </w:t>
      </w:r>
      <w:r>
        <w:t>asks the CA</w:t>
      </w:r>
      <w:r w:rsidRPr="003E3456">
        <w:t xml:space="preserve"> </w:t>
      </w:r>
      <w:r>
        <w:t>to place a</w:t>
      </w:r>
      <w:r w:rsidRPr="003E3456">
        <w:t xml:space="preserve"> </w:t>
      </w:r>
      <w:r>
        <w:t>second call that requires no specialist handling</w:t>
      </w:r>
      <w:r w:rsidRPr="003E3456">
        <w:t xml:space="preserve">.  The Commission’s “sequential call rule” </w:t>
      </w:r>
      <w:r>
        <w:t xml:space="preserve">generally </w:t>
      </w:r>
      <w:r w:rsidRPr="003E3456">
        <w:t>prohibits CAs from refusing to handle multiple calls in a row from the same caller.</w:t>
      </w:r>
      <w:r w:rsidRPr="00C939E2">
        <w:rPr>
          <w:rStyle w:val="FootnoteReference"/>
        </w:rPr>
        <w:footnoteReference w:id="45"/>
      </w:r>
      <w:r w:rsidRPr="003E3456">
        <w:t xml:space="preserve">  </w:t>
      </w:r>
      <w:r>
        <w:t>Waiving</w:t>
      </w:r>
      <w:r w:rsidRPr="003E3456">
        <w:t xml:space="preserve"> this rule </w:t>
      </w:r>
      <w:r>
        <w:t xml:space="preserve">in these particular circumstances </w:t>
      </w:r>
      <w:r w:rsidRPr="003E3456">
        <w:t>will help ensure that CAs skilled in medical, legal or technical terminology remain available for callers in need of such skills to achieve effective communication.</w:t>
      </w:r>
      <w:r w:rsidRPr="00C939E2">
        <w:rPr>
          <w:rStyle w:val="FootnoteReference"/>
        </w:rPr>
        <w:footnoteReference w:id="46"/>
      </w:r>
      <w:r w:rsidRPr="003E3456">
        <w:t xml:space="preserve">  </w:t>
      </w:r>
    </w:p>
    <w:p w:rsidR="00134604" w:rsidRPr="003E3456" w:rsidRDefault="00134604" w:rsidP="00134604">
      <w:pPr>
        <w:pStyle w:val="Heading3"/>
      </w:pPr>
      <w:bookmarkStart w:id="68" w:name="_Toc475724108"/>
      <w:bookmarkStart w:id="69" w:name="_Toc475724301"/>
      <w:bookmarkStart w:id="70" w:name="_Toc475724448"/>
      <w:bookmarkStart w:id="71" w:name="_Toc475724778"/>
      <w:bookmarkStart w:id="72" w:name="_Toc476077808"/>
      <w:bookmarkStart w:id="73" w:name="_Toc477963663"/>
      <w:r>
        <w:t>Data Collection</w:t>
      </w:r>
      <w:bookmarkEnd w:id="68"/>
      <w:bookmarkEnd w:id="69"/>
      <w:bookmarkEnd w:id="70"/>
      <w:bookmarkEnd w:id="71"/>
      <w:bookmarkEnd w:id="72"/>
      <w:bookmarkEnd w:id="73"/>
    </w:p>
    <w:p w:rsidR="00134604" w:rsidRPr="003E3456" w:rsidRDefault="00134604" w:rsidP="00134604">
      <w:pPr>
        <w:pStyle w:val="ParaNum"/>
        <w:widowControl/>
      </w:pPr>
      <w:r w:rsidRPr="003E3456">
        <w:t xml:space="preserve">To evaluate the demand for and the costs and benefits of skills-based routing, we require </w:t>
      </w:r>
      <w:r>
        <w:t xml:space="preserve">each </w:t>
      </w:r>
      <w:r w:rsidRPr="003E3456">
        <w:t>participa</w:t>
      </w:r>
      <w:r>
        <w:t>ting provider</w:t>
      </w:r>
      <w:r w:rsidRPr="003E3456">
        <w:t xml:space="preserve"> to submit to the </w:t>
      </w:r>
      <w:r>
        <w:t xml:space="preserve">TRS </w:t>
      </w:r>
      <w:r w:rsidRPr="003E3456">
        <w:t xml:space="preserve">Fund </w:t>
      </w:r>
      <w:r>
        <w:t>a</w:t>
      </w:r>
      <w:r w:rsidRPr="003E3456">
        <w:t>dministrator, with their monthly requests for compensation, the following data for each month of the trial, disaggregated by each of the three skill set categories:</w:t>
      </w:r>
      <w:r>
        <w:rPr>
          <w:rStyle w:val="FootnoteReference"/>
        </w:rPr>
        <w:footnoteReference w:id="47"/>
      </w:r>
    </w:p>
    <w:p w:rsidR="00134604" w:rsidRPr="006F1D7B" w:rsidRDefault="00134604" w:rsidP="00134604">
      <w:pPr>
        <w:pStyle w:val="ListParagraph"/>
        <w:numPr>
          <w:ilvl w:val="0"/>
          <w:numId w:val="10"/>
        </w:numPr>
        <w:tabs>
          <w:tab w:val="left" w:pos="1440"/>
        </w:tabs>
        <w:rPr>
          <w:kern w:val="28"/>
        </w:rPr>
      </w:pPr>
      <w:r w:rsidRPr="003E3456">
        <w:t xml:space="preserve">The number of CAs available for specialist interpreting, and the total number of hours per week that all such CAs were assigned to </w:t>
      </w:r>
      <w:r w:rsidRPr="00326023">
        <w:t>such function (i.e., total hours in which they were actively engaged in</w:t>
      </w:r>
      <w:r w:rsidRPr="0072607C">
        <w:t xml:space="preserve"> specialist interpreting plus total downtime associated with such interpreting)</w:t>
      </w:r>
      <w:r w:rsidRPr="00326023">
        <w:t>;</w:t>
      </w:r>
    </w:p>
    <w:p w:rsidR="00134604" w:rsidRPr="006F1D7B" w:rsidRDefault="00134604" w:rsidP="00134604">
      <w:pPr>
        <w:pStyle w:val="ListParagraph"/>
        <w:numPr>
          <w:ilvl w:val="0"/>
          <w:numId w:val="10"/>
        </w:numPr>
        <w:rPr>
          <w:kern w:val="28"/>
        </w:rPr>
      </w:pPr>
      <w:r w:rsidRPr="003E3456">
        <w:t>The percentage of active telephone numbers on the ASL side and the voice side of calls, respectively, for which a specialist interpreter was used for at least one call;</w:t>
      </w:r>
    </w:p>
    <w:p w:rsidR="00134604" w:rsidRPr="006F1D7B" w:rsidRDefault="00134604" w:rsidP="00134604">
      <w:pPr>
        <w:pStyle w:val="ListParagraph"/>
        <w:numPr>
          <w:ilvl w:val="0"/>
          <w:numId w:val="10"/>
        </w:numPr>
        <w:tabs>
          <w:tab w:val="left" w:pos="1440"/>
        </w:tabs>
        <w:rPr>
          <w:kern w:val="28"/>
        </w:rPr>
      </w:pPr>
      <w:r w:rsidRPr="003E3456">
        <w:t>T</w:t>
      </w:r>
      <w:r w:rsidRPr="003E3456" w:rsidDel="00097EA6">
        <w:t xml:space="preserve">he </w:t>
      </w:r>
      <w:r w:rsidRPr="003E3456">
        <w:t xml:space="preserve">numbers </w:t>
      </w:r>
      <w:r w:rsidRPr="003E3456" w:rsidDel="00097EA6">
        <w:t xml:space="preserve">of </w:t>
      </w:r>
      <w:r w:rsidRPr="00F34055">
        <w:t>compensable</w:t>
      </w:r>
      <w:r w:rsidRPr="003E3456">
        <w:t xml:space="preserve"> </w:t>
      </w:r>
      <w:r w:rsidRPr="003E3456" w:rsidDel="00097EA6">
        <w:t xml:space="preserve">calls and </w:t>
      </w:r>
      <w:r w:rsidRPr="003E3456">
        <w:t xml:space="preserve">conversation </w:t>
      </w:r>
      <w:r w:rsidRPr="003E3456" w:rsidDel="00097EA6">
        <w:t xml:space="preserve">minutes handled </w:t>
      </w:r>
      <w:r w:rsidRPr="003E3456">
        <w:t>by specialist interpreters</w:t>
      </w:r>
      <w:r w:rsidRPr="003E3456" w:rsidDel="00097EA6">
        <w:t>;</w:t>
      </w:r>
      <w:r w:rsidRPr="00595859">
        <w:rPr>
          <w:rStyle w:val="FootnoteReference"/>
        </w:rPr>
        <w:footnoteReference w:id="48"/>
      </w:r>
      <w:r w:rsidRPr="003E3456" w:rsidDel="00097EA6">
        <w:t xml:space="preserve"> </w:t>
      </w:r>
    </w:p>
    <w:p w:rsidR="00134604" w:rsidRPr="006F1D7B" w:rsidRDefault="00134604" w:rsidP="00134604">
      <w:pPr>
        <w:pStyle w:val="ListParagraph"/>
        <w:numPr>
          <w:ilvl w:val="0"/>
          <w:numId w:val="10"/>
        </w:numPr>
        <w:rPr>
          <w:kern w:val="28"/>
        </w:rPr>
      </w:pPr>
      <w:r w:rsidRPr="003E3456">
        <w:t xml:space="preserve">Identification within monthly call detail reports (CDRs) of those calls routed or transferred to </w:t>
      </w:r>
      <w:r>
        <w:t xml:space="preserve">or from </w:t>
      </w:r>
      <w:r w:rsidRPr="003E3456">
        <w:t>specialized CAs;</w:t>
      </w:r>
      <w:r w:rsidRPr="00595859">
        <w:rPr>
          <w:rStyle w:val="FootnoteReference"/>
        </w:rPr>
        <w:footnoteReference w:id="49"/>
      </w:r>
      <w:r w:rsidRPr="003E3456">
        <w:t xml:space="preserve"> </w:t>
      </w:r>
    </w:p>
    <w:p w:rsidR="00134604" w:rsidRPr="006F1D7B" w:rsidRDefault="00134604" w:rsidP="00134604">
      <w:pPr>
        <w:pStyle w:val="ListParagraph"/>
        <w:numPr>
          <w:ilvl w:val="0"/>
          <w:numId w:val="10"/>
        </w:numPr>
        <w:rPr>
          <w:kern w:val="28"/>
        </w:rPr>
      </w:pPr>
      <w:r w:rsidRPr="003E3456">
        <w:t>For each call sent to a specialist interpreter or queue, the amount of time that elapsed between a request for a specialist interpreter and the time the interpreter joined the call</w:t>
      </w:r>
      <w:r>
        <w:t>—</w:t>
      </w:r>
      <w:r w:rsidRPr="003E3456">
        <w:t>i.e., the speed of answering the caller’s request;</w:t>
      </w:r>
      <w:r>
        <w:t xml:space="preserve"> and</w:t>
      </w:r>
    </w:p>
    <w:p w:rsidR="00134604" w:rsidRPr="006F1D7B" w:rsidRDefault="00134604" w:rsidP="00134604">
      <w:pPr>
        <w:pStyle w:val="ListParagraph"/>
        <w:numPr>
          <w:ilvl w:val="0"/>
          <w:numId w:val="10"/>
        </w:numPr>
        <w:rPr>
          <w:kern w:val="28"/>
        </w:rPr>
      </w:pPr>
      <w:r w:rsidRPr="003E3456">
        <w:t>The number of calls for which a specialist interpreter was requested but not provided.</w:t>
      </w:r>
      <w:r w:rsidRPr="00C939E2">
        <w:rPr>
          <w:rStyle w:val="FootnoteReference"/>
        </w:rPr>
        <w:footnoteReference w:id="50"/>
      </w:r>
      <w:r w:rsidRPr="003E3456">
        <w:t xml:space="preserve"> </w:t>
      </w:r>
    </w:p>
    <w:p w:rsidR="00134604" w:rsidRPr="003E3456" w:rsidRDefault="00134604" w:rsidP="00134604">
      <w:pPr>
        <w:pStyle w:val="ParaNum"/>
        <w:widowControl/>
      </w:pPr>
      <w:r w:rsidRPr="003E3456">
        <w:t xml:space="preserve">In addition to these monthly reports, we require participants to submit, no later than June 1, 2018, a final report on the trial containing the following information, disaggregated by skill set where indicated: </w:t>
      </w:r>
    </w:p>
    <w:p w:rsidR="00134604" w:rsidRPr="006F1D7B" w:rsidRDefault="00134604" w:rsidP="00134604">
      <w:pPr>
        <w:pStyle w:val="ListParagraph"/>
        <w:numPr>
          <w:ilvl w:val="0"/>
          <w:numId w:val="10"/>
        </w:numPr>
        <w:rPr>
          <w:kern w:val="28"/>
        </w:rPr>
      </w:pPr>
      <w:r w:rsidRPr="00595859">
        <w:t>A description of the standards used to determine (1) whether a specialist interpreter was needed on a call and (2) whether a particular CA was qualified for assignment as a specialist interpreter;</w:t>
      </w:r>
      <w:r w:rsidRPr="00C939E2">
        <w:rPr>
          <w:rStyle w:val="FootnoteReference"/>
        </w:rPr>
        <w:footnoteReference w:id="51"/>
      </w:r>
    </w:p>
    <w:p w:rsidR="00134604" w:rsidRPr="006F1D7B" w:rsidRDefault="00134604" w:rsidP="00134604">
      <w:pPr>
        <w:pStyle w:val="ListParagraph"/>
        <w:numPr>
          <w:ilvl w:val="0"/>
          <w:numId w:val="10"/>
        </w:numPr>
        <w:rPr>
          <w:kern w:val="28"/>
        </w:rPr>
      </w:pPr>
      <w:r w:rsidRPr="003E3456">
        <w:t xml:space="preserve">Detailed documentation of </w:t>
      </w:r>
      <w:r w:rsidRPr="006F1D7B">
        <w:rPr>
          <w:i/>
        </w:rPr>
        <w:t>incremental</w:t>
      </w:r>
      <w:r w:rsidRPr="003E3456">
        <w:t xml:space="preserve"> costs incurred in conducting the trial, including any incremental costs associated with CA recruitment, training, and compensation, engineering and technical implementation, marketing, and administrative and management support (including oversight, evaluation and recordkeeping)</w:t>
      </w:r>
      <w:r>
        <w:t>;</w:t>
      </w:r>
      <w:r w:rsidRPr="00C939E2">
        <w:rPr>
          <w:rStyle w:val="FootnoteReference"/>
        </w:rPr>
        <w:footnoteReference w:id="52"/>
      </w:r>
      <w:r w:rsidRPr="003E3456">
        <w:t xml:space="preserve"> </w:t>
      </w:r>
    </w:p>
    <w:p w:rsidR="00134604" w:rsidRPr="006F1D7B" w:rsidRDefault="00134604" w:rsidP="00134604">
      <w:pPr>
        <w:pStyle w:val="ListParagraph"/>
        <w:numPr>
          <w:ilvl w:val="0"/>
          <w:numId w:val="10"/>
        </w:numPr>
        <w:rPr>
          <w:kern w:val="28"/>
        </w:rPr>
      </w:pPr>
      <w:r w:rsidRPr="003E3456">
        <w:t xml:space="preserve">For providers choosing to notify callers of wait-time estimates, data on such waiting periods, as well as feedback on the benefits and disadvantages of offering this feature; and </w:t>
      </w:r>
    </w:p>
    <w:p w:rsidR="00134604" w:rsidRPr="006F1D7B" w:rsidRDefault="00134604" w:rsidP="00134604">
      <w:pPr>
        <w:pStyle w:val="ListParagraph"/>
        <w:numPr>
          <w:ilvl w:val="0"/>
          <w:numId w:val="10"/>
        </w:numPr>
        <w:rPr>
          <w:kern w:val="28"/>
        </w:rPr>
      </w:pPr>
      <w:r w:rsidRPr="003E3456">
        <w:t>The percentage of requests for specialized interpreting by individuals with disabilities as compared to requests made by hearing individuals.</w:t>
      </w:r>
      <w:r w:rsidRPr="00C939E2">
        <w:rPr>
          <w:rStyle w:val="FootnoteReference"/>
        </w:rPr>
        <w:footnoteReference w:id="53"/>
      </w:r>
      <w:r w:rsidRPr="003E3456">
        <w:t xml:space="preserve"> </w:t>
      </w:r>
    </w:p>
    <w:p w:rsidR="00134604" w:rsidRDefault="00134604" w:rsidP="00134604">
      <w:pPr>
        <w:pStyle w:val="ParaNum"/>
        <w:widowControl/>
      </w:pPr>
      <w:r w:rsidRPr="00C939E2">
        <w:t>W</w:t>
      </w:r>
      <w:r w:rsidRPr="003E3456">
        <w:t>e believe that the reporting of data in each of the above categories will be critical to assessing the success of this trial.  For example, this information will help determine whether skills-based routing results in more efficient calls</w:t>
      </w:r>
      <w:r>
        <w:t>—</w:t>
      </w:r>
      <w:r w:rsidRPr="003E3456">
        <w:t xml:space="preserve">e.g., by shortening the length of calls.  </w:t>
      </w:r>
      <w:r>
        <w:t>A</w:t>
      </w:r>
      <w:r w:rsidRPr="00722BD3">
        <w:t>lthough we do not require participating providers to submit particular studies of the accuracy of int</w:t>
      </w:r>
      <w:r w:rsidRPr="00326023">
        <w:t>erpreting on calls subject to skills-based routing, we note that the accuracy of interpreting is likely to be an impo</w:t>
      </w:r>
      <w:r w:rsidRPr="0072607C">
        <w:t xml:space="preserve">rtant factor in any determination </w:t>
      </w:r>
      <w:r>
        <w:t xml:space="preserve">of </w:t>
      </w:r>
      <w:r w:rsidRPr="0072607C">
        <w:t>whether to allow skills-based routing on a permanent basis.  Such consideration would benefit from the submission by participating providers of studies designed for objective assessment of whether and by how much the ac</w:t>
      </w:r>
      <w:r w:rsidRPr="003D42E2">
        <w:t>curacy of interpreting improves when calls involving medical, legal, and computer support matters are subject to skills</w:t>
      </w:r>
      <w:r>
        <w:t>-</w:t>
      </w:r>
      <w:r w:rsidRPr="003D42E2">
        <w:t>based routing, with full documentation of the standards and measurement methods used.</w:t>
      </w:r>
    </w:p>
    <w:p w:rsidR="00134604" w:rsidRPr="003E3456" w:rsidRDefault="00134604" w:rsidP="00134604">
      <w:pPr>
        <w:pStyle w:val="ParaNum"/>
        <w:widowControl/>
      </w:pPr>
      <w:r w:rsidRPr="003E3456">
        <w:t>We require providers to make all data collected in the trial available upon request to the TRS Fund administrator and the Commission staff</w:t>
      </w:r>
      <w:r>
        <w:t xml:space="preserve"> and recognize that the TRS Fund administrator or the Commission may release the results of the trial in an aggregated or anonymized fashion</w:t>
      </w:r>
      <w:r w:rsidRPr="003E3456">
        <w:t>.</w:t>
      </w:r>
      <w:r w:rsidRPr="00C939E2">
        <w:rPr>
          <w:rStyle w:val="FootnoteReference"/>
        </w:rPr>
        <w:footnoteReference w:id="54"/>
      </w:r>
      <w:r w:rsidRPr="003E3456">
        <w:t xml:space="preserve">  We affirm that all </w:t>
      </w:r>
      <w:r>
        <w:t xml:space="preserve">personally identifiable user </w:t>
      </w:r>
      <w:r w:rsidRPr="003E3456">
        <w:t xml:space="preserve">information gathered for the purposes of the trial </w:t>
      </w:r>
      <w:r>
        <w:t>shall</w:t>
      </w:r>
      <w:r w:rsidRPr="003E3456">
        <w:t xml:space="preserve"> remain confidential pursuant to the Commission’s confidentiality rules.</w:t>
      </w:r>
      <w:r w:rsidRPr="00C939E2">
        <w:rPr>
          <w:rStyle w:val="FootnoteReference"/>
        </w:rPr>
        <w:footnoteReference w:id="55"/>
      </w:r>
    </w:p>
    <w:p w:rsidR="00134604" w:rsidRDefault="00134604" w:rsidP="00134604">
      <w:pPr>
        <w:pStyle w:val="ParaNum"/>
        <w:widowControl/>
      </w:pPr>
      <w:r w:rsidRPr="003E3456">
        <w:t xml:space="preserve">We direct </w:t>
      </w:r>
      <w:r>
        <w:t xml:space="preserve">the Office of the Managing Director (OMD) and </w:t>
      </w:r>
      <w:r w:rsidRPr="003E3456">
        <w:t>the TRS Fund administrator to consult with each of the providers participating in the trial, to formulate their individual data collection strategies</w:t>
      </w:r>
      <w:r>
        <w:t>—</w:t>
      </w:r>
      <w:r w:rsidRPr="003E3456">
        <w:t>before the beginning of the trial and as needed during the trial</w:t>
      </w:r>
      <w:r>
        <w:t>—</w:t>
      </w:r>
      <w:r w:rsidRPr="003E3456">
        <w:t>to ensure that the data collected addresses the categories listed above and is robust enough to provide sufficient basis for a Commission decision on whether to permit skills-based routing on a permanent basis, as well as how to address any issues that surface during the trial.</w:t>
      </w:r>
      <w:r w:rsidRPr="00C939E2">
        <w:rPr>
          <w:rStyle w:val="FootnoteReference"/>
        </w:rPr>
        <w:footnoteReference w:id="56"/>
      </w:r>
    </w:p>
    <w:p w:rsidR="00134604" w:rsidRPr="003E3456" w:rsidRDefault="00134604" w:rsidP="00134604">
      <w:pPr>
        <w:pStyle w:val="Heading2"/>
      </w:pPr>
      <w:bookmarkStart w:id="74" w:name="_Toc474860045"/>
      <w:bookmarkStart w:id="75" w:name="_Toc474860222"/>
      <w:bookmarkStart w:id="76" w:name="_Toc474860342"/>
      <w:bookmarkStart w:id="77" w:name="_Toc474860528"/>
      <w:bookmarkStart w:id="78" w:name="_Toc474860594"/>
      <w:bookmarkStart w:id="79" w:name="_Toc474860737"/>
      <w:bookmarkStart w:id="80" w:name="_Toc474946525"/>
      <w:bookmarkStart w:id="81" w:name="_Toc475724109"/>
      <w:bookmarkStart w:id="82" w:name="_Toc475724302"/>
      <w:bookmarkStart w:id="83" w:name="_Toc475724449"/>
      <w:bookmarkStart w:id="84" w:name="_Toc475724779"/>
      <w:bookmarkStart w:id="85" w:name="_Toc476077809"/>
      <w:bookmarkStart w:id="86" w:name="_Toc477963664"/>
      <w:r w:rsidRPr="003E3456">
        <w:t>Trial of Deaf Interpreters</w:t>
      </w:r>
      <w:bookmarkEnd w:id="74"/>
      <w:bookmarkEnd w:id="75"/>
      <w:bookmarkEnd w:id="76"/>
      <w:bookmarkEnd w:id="77"/>
      <w:bookmarkEnd w:id="78"/>
      <w:bookmarkEnd w:id="79"/>
      <w:bookmarkEnd w:id="80"/>
      <w:bookmarkEnd w:id="81"/>
      <w:bookmarkEnd w:id="82"/>
      <w:bookmarkEnd w:id="83"/>
      <w:bookmarkEnd w:id="84"/>
      <w:bookmarkEnd w:id="85"/>
      <w:bookmarkEnd w:id="86"/>
    </w:p>
    <w:p w:rsidR="00134604" w:rsidRPr="003E3456" w:rsidRDefault="00134604" w:rsidP="00134604">
      <w:pPr>
        <w:pStyle w:val="ParaNum"/>
        <w:widowControl/>
      </w:pPr>
      <w:r w:rsidRPr="003E3456">
        <w:t>Based on the record in this proceeding, for the same eight-month trial period used for assessing skills-based routing</w:t>
      </w:r>
      <w:r>
        <w:t xml:space="preserve">, </w:t>
      </w:r>
      <w:r w:rsidRPr="00093624">
        <w:t xml:space="preserve">we </w:t>
      </w:r>
      <w:r w:rsidRPr="003E3456">
        <w:t>conduct a voluntary trial of the provision of deaf interpreters for VRS calls</w:t>
      </w:r>
      <w:r>
        <w:t xml:space="preserve"> </w:t>
      </w:r>
      <w:r w:rsidRPr="00E15F04">
        <w:t>under the conditions set forth below</w:t>
      </w:r>
      <w:r w:rsidRPr="003E3456">
        <w:t>.</w:t>
      </w:r>
      <w:r w:rsidRPr="00C103F0">
        <w:rPr>
          <w:rStyle w:val="FootnoteReference"/>
        </w:rPr>
        <w:footnoteReference w:id="57"/>
      </w:r>
      <w:r w:rsidRPr="003E3456">
        <w:t xml:space="preserve">  In the </w:t>
      </w:r>
      <w:r w:rsidRPr="00C939E2">
        <w:rPr>
          <w:i/>
          <w:iCs/>
          <w:kern w:val="0"/>
        </w:rPr>
        <w:t>2015 VRS FNPRM</w:t>
      </w:r>
      <w:r w:rsidRPr="003E3456">
        <w:t>, the Commission noted that some VRS users, including some children, some individuals with limited English or ASL proficiency</w:t>
      </w:r>
      <w:r>
        <w:t>,</w:t>
      </w:r>
      <w:r w:rsidRPr="003E3456">
        <w:t xml:space="preserve"> and some persons with cognitive or motor disabilities, may need the assistance of a deaf interpreter to communicate over VRS in a functionally equivalent manner.</w:t>
      </w:r>
      <w:r w:rsidRPr="00C103F0">
        <w:rPr>
          <w:rStyle w:val="FootnoteReference"/>
        </w:rPr>
        <w:footnoteReference w:id="58"/>
      </w:r>
      <w:r w:rsidRPr="003E3456">
        <w:t xml:space="preserve">  To assess the extent to which the cost of providing such additional interpreters should be considered an allowable cost for purposes of TRS Fund compensation, the Commission sought comment on the cost and benefits of providing deaf interpreters, the number of minutes that such interpreters would be needed, and the types and estimated percentage of VRS users who would benefit from the availability of deaf interpreting services.</w:t>
      </w:r>
      <w:r w:rsidRPr="00C103F0">
        <w:rPr>
          <w:rStyle w:val="FootnoteReference"/>
        </w:rPr>
        <w:footnoteReference w:id="59"/>
      </w:r>
      <w:r w:rsidRPr="003E3456">
        <w:t xml:space="preserve">  In addition, the Commission asked about the appropriate qualifications for deaf interpreters, the efficiency of adding such interpreters to a call remotely, and appropriate recordkeeping and reporting requirements.</w:t>
      </w:r>
      <w:r w:rsidRPr="00C103F0">
        <w:rPr>
          <w:rStyle w:val="FootnoteReference"/>
        </w:rPr>
        <w:footnoteReference w:id="60"/>
      </w:r>
      <w:r w:rsidRPr="003E3456">
        <w:t xml:space="preserve">  Regarding a possible trial of the provision of deaf interpreters, the Commission sought comment on the types of data that would be appropriate for collection during a trial.</w:t>
      </w:r>
      <w:r w:rsidRPr="00C103F0">
        <w:rPr>
          <w:rStyle w:val="FootnoteReference"/>
        </w:rPr>
        <w:footnoteReference w:id="61"/>
      </w:r>
    </w:p>
    <w:p w:rsidR="00134604" w:rsidRPr="003E3456" w:rsidRDefault="00134604" w:rsidP="00134604">
      <w:pPr>
        <w:pStyle w:val="ParaNum"/>
        <w:widowControl/>
        <w:rPr>
          <w:rFonts w:eastAsia="Calibri"/>
          <w:snapToGrid/>
          <w:kern w:val="0"/>
        </w:rPr>
      </w:pPr>
      <w:r w:rsidRPr="003E3456">
        <w:t>Commenters are unanimous in their praise of deaf interpreters as a means of achieving functional equivalency and improving the efficiency of certain VRS calls.</w:t>
      </w:r>
      <w:r w:rsidRPr="00C103F0">
        <w:rPr>
          <w:rStyle w:val="FootnoteReference"/>
        </w:rPr>
        <w:footnoteReference w:id="62"/>
      </w:r>
      <w:r w:rsidRPr="003E3456">
        <w:t xml:space="preserve">  The </w:t>
      </w:r>
      <w:r w:rsidRPr="003E3456">
        <w:rPr>
          <w:iCs/>
        </w:rPr>
        <w:t>2015 Joint VRS Providers</w:t>
      </w:r>
      <w:r w:rsidRPr="00C939E2">
        <w:rPr>
          <w:i/>
          <w:iCs/>
          <w:kern w:val="0"/>
        </w:rPr>
        <w:t xml:space="preserve"> </w:t>
      </w:r>
      <w:r w:rsidRPr="003E3456">
        <w:rPr>
          <w:iCs/>
        </w:rPr>
        <w:t>Proposal confirms that</w:t>
      </w:r>
      <w:r w:rsidRPr="003E3456">
        <w:t xml:space="preserve"> some VRS consumers require the assistance of a deaf interpreter in addition to a hearing interpreter (on the same call) to communicate in a functionally equivalent manner.</w:t>
      </w:r>
      <w:r w:rsidRPr="00C103F0">
        <w:rPr>
          <w:rStyle w:val="FootnoteReference"/>
        </w:rPr>
        <w:footnoteReference w:id="63"/>
      </w:r>
      <w:r w:rsidRPr="003E3456">
        <w:t xml:space="preserve">  VRS providers also assert that the availability of deaf interpreters will help alleviate stress on the general interpreter pool,</w:t>
      </w:r>
      <w:r w:rsidRPr="003E3456">
        <w:rPr>
          <w:vertAlign w:val="superscript"/>
        </w:rPr>
        <w:footnoteReference w:id="64"/>
      </w:r>
      <w:r w:rsidRPr="003E3456">
        <w:t xml:space="preserve"> and that by making VRS more efficient, the use of these interpreters could produce cost savings for the TRS Fund.</w:t>
      </w:r>
      <w:r w:rsidRPr="00C103F0">
        <w:rPr>
          <w:rStyle w:val="FootnoteReference"/>
        </w:rPr>
        <w:footnoteReference w:id="65"/>
      </w:r>
      <w:r w:rsidRPr="003E3456">
        <w:t xml:space="preserve">  </w:t>
      </w:r>
    </w:p>
    <w:p w:rsidR="00134604" w:rsidRPr="001B3E94" w:rsidRDefault="00134604" w:rsidP="00134604">
      <w:pPr>
        <w:pStyle w:val="ParaNum"/>
        <w:widowControl/>
        <w:rPr>
          <w:rFonts w:eastAsia="Calibri"/>
          <w:snapToGrid/>
          <w:kern w:val="0"/>
        </w:rPr>
      </w:pPr>
      <w:r>
        <w:t xml:space="preserve">We are interested in studying these claims that </w:t>
      </w:r>
      <w:r w:rsidRPr="003E3456">
        <w:t>deaf interpreters improve VRS efficiency and functional equivalency,</w:t>
      </w:r>
      <w:r>
        <w:t xml:space="preserve"> but</w:t>
      </w:r>
      <w:r w:rsidRPr="003E3456">
        <w:t xml:space="preserve"> we presently lack sufficient information about the demand for, as well as the costs and benefits of, providing deaf interpreters in the VRS setting.</w:t>
      </w:r>
      <w:r w:rsidRPr="00C103F0">
        <w:rPr>
          <w:rStyle w:val="FootnoteReference"/>
        </w:rPr>
        <w:footnoteReference w:id="66"/>
      </w:r>
      <w:r w:rsidRPr="003E3456">
        <w:t xml:space="preserve">  We believe that the collection of this and other data over an eight-month period will help inform the Commission about whether and how the provision of such interpreters should be included in allowable costs or otherwise subject to compensation from the TRS Fund.</w:t>
      </w:r>
      <w:r w:rsidRPr="00C103F0">
        <w:rPr>
          <w:rStyle w:val="FootnoteReference"/>
        </w:rPr>
        <w:footnoteReference w:id="67"/>
      </w:r>
      <w:r w:rsidRPr="003E3456">
        <w:t xml:space="preserve">  </w:t>
      </w:r>
    </w:p>
    <w:p w:rsidR="00134604" w:rsidRPr="003E3456" w:rsidRDefault="00134604" w:rsidP="00134604">
      <w:pPr>
        <w:pStyle w:val="ParaNum"/>
        <w:widowControl/>
        <w:rPr>
          <w:rFonts w:eastAsia="Calibri"/>
          <w:snapToGrid/>
          <w:kern w:val="0"/>
        </w:rPr>
      </w:pPr>
      <w:r w:rsidRPr="003E3456">
        <w:t xml:space="preserve">Providers interested in participating in the trial </w:t>
      </w:r>
      <w:r>
        <w:t xml:space="preserve">should </w:t>
      </w:r>
      <w:r w:rsidRPr="003E3456">
        <w:t xml:space="preserve">provide notification of their intent to participate to the Commission’s Consumer and Governmental Affairs Bureau by June 1, 2017, including a description of the standards they will use to determine whether a deaf interpreter </w:t>
      </w:r>
      <w:r>
        <w:t xml:space="preserve">is </w:t>
      </w:r>
      <w:r w:rsidRPr="003E3456">
        <w:t>needed for a call</w:t>
      </w:r>
      <w:r w:rsidRPr="004D6127">
        <w:t xml:space="preserve"> </w:t>
      </w:r>
      <w:r>
        <w:t xml:space="preserve">and </w:t>
      </w:r>
      <w:r w:rsidRPr="003E3456">
        <w:t xml:space="preserve">whether a particular </w:t>
      </w:r>
      <w:r>
        <w:t>individual</w:t>
      </w:r>
      <w:r w:rsidRPr="003E3456">
        <w:t xml:space="preserve"> </w:t>
      </w:r>
      <w:r>
        <w:t>i</w:t>
      </w:r>
      <w:r w:rsidRPr="003E3456">
        <w:t xml:space="preserve">s qualified for assignment as a </w:t>
      </w:r>
      <w:r>
        <w:t>deaf</w:t>
      </w:r>
      <w:r w:rsidRPr="003E3456">
        <w:t xml:space="preserve"> interpreter</w:t>
      </w:r>
      <w:r>
        <w:t>.</w:t>
      </w:r>
      <w:r>
        <w:rPr>
          <w:rStyle w:val="FootnoteReference"/>
        </w:rPr>
        <w:footnoteReference w:id="68"/>
      </w:r>
      <w:r w:rsidRPr="003E3456" w:rsidDel="00BF670E">
        <w:t xml:space="preserve"> </w:t>
      </w:r>
      <w:r w:rsidRPr="003E3456">
        <w:t xml:space="preserve"> </w:t>
      </w:r>
      <w:r>
        <w:t>P</w:t>
      </w:r>
      <w:r w:rsidRPr="003E3456">
        <w:t xml:space="preserve">articipating providers </w:t>
      </w:r>
      <w:r>
        <w:t xml:space="preserve">are requested </w:t>
      </w:r>
      <w:r w:rsidRPr="003E3456">
        <w:t xml:space="preserve">to submit to the </w:t>
      </w:r>
      <w:r>
        <w:t xml:space="preserve">TRS </w:t>
      </w:r>
      <w:r w:rsidRPr="003E3456">
        <w:t xml:space="preserve">Fund </w:t>
      </w:r>
      <w:r>
        <w:t>a</w:t>
      </w:r>
      <w:r w:rsidRPr="003E3456">
        <w:t>dministrator, with their monthly requests for compensation, the following data for each month of the trial:</w:t>
      </w:r>
      <w:r w:rsidRPr="00C103F0">
        <w:rPr>
          <w:rStyle w:val="FootnoteReference"/>
        </w:rPr>
        <w:footnoteReference w:id="69"/>
      </w:r>
    </w:p>
    <w:p w:rsidR="00134604" w:rsidRPr="006F1D7B" w:rsidRDefault="00134604" w:rsidP="00134604">
      <w:pPr>
        <w:pStyle w:val="ListParagraph"/>
        <w:numPr>
          <w:ilvl w:val="0"/>
          <w:numId w:val="10"/>
        </w:numPr>
        <w:rPr>
          <w:kern w:val="28"/>
        </w:rPr>
      </w:pPr>
      <w:r w:rsidRPr="003E3456">
        <w:t>The number of deaf interpreters utilized and the total number of hours for which all such interpreters were employed;</w:t>
      </w:r>
    </w:p>
    <w:p w:rsidR="00134604" w:rsidRPr="006F1D7B" w:rsidRDefault="00134604" w:rsidP="00134604">
      <w:pPr>
        <w:pStyle w:val="ListParagraph"/>
        <w:numPr>
          <w:ilvl w:val="0"/>
          <w:numId w:val="10"/>
        </w:numPr>
        <w:rPr>
          <w:kern w:val="28"/>
        </w:rPr>
      </w:pPr>
      <w:r w:rsidRPr="003E3456">
        <w:t xml:space="preserve">The percentage of active telephone numbers on the ASL side of a call </w:t>
      </w:r>
      <w:r>
        <w:t>for which</w:t>
      </w:r>
      <w:r w:rsidRPr="003E3456">
        <w:t xml:space="preserve"> a deaf interpreter </w:t>
      </w:r>
      <w:r>
        <w:t xml:space="preserve">was added </w:t>
      </w:r>
      <w:r w:rsidRPr="003E3456">
        <w:t>for at least one call;</w:t>
      </w:r>
    </w:p>
    <w:p w:rsidR="00134604" w:rsidRPr="006F1D7B" w:rsidRDefault="00134604" w:rsidP="00134604">
      <w:pPr>
        <w:pStyle w:val="ListParagraph"/>
        <w:numPr>
          <w:ilvl w:val="0"/>
          <w:numId w:val="10"/>
        </w:numPr>
        <w:rPr>
          <w:kern w:val="28"/>
        </w:rPr>
      </w:pPr>
      <w:r w:rsidRPr="003E3456">
        <w:t>T</w:t>
      </w:r>
      <w:r w:rsidRPr="003E3456" w:rsidDel="00097EA6">
        <w:t xml:space="preserve">he </w:t>
      </w:r>
      <w:r w:rsidRPr="003E3456">
        <w:t xml:space="preserve">numbers </w:t>
      </w:r>
      <w:r w:rsidRPr="003E3456" w:rsidDel="00097EA6">
        <w:t xml:space="preserve">of </w:t>
      </w:r>
      <w:r w:rsidRPr="003E3456">
        <w:t xml:space="preserve">compensable </w:t>
      </w:r>
      <w:r w:rsidRPr="003E3456" w:rsidDel="00097EA6">
        <w:t xml:space="preserve">calls and </w:t>
      </w:r>
      <w:r w:rsidRPr="003E3456">
        <w:t xml:space="preserve">conversation </w:t>
      </w:r>
      <w:r w:rsidRPr="003E3456" w:rsidDel="00097EA6">
        <w:t xml:space="preserve">minutes </w:t>
      </w:r>
      <w:r w:rsidRPr="003E3456">
        <w:t>in which deaf interpreters participated</w:t>
      </w:r>
      <w:r>
        <w:t>, broken down, to the extent ascertainable by the CA or provider, by whether such participation was necessary due to the user’s (1) age, (2) limited English, (3) limited ASL proficiency, (4) cognitive or motor disability, or (5) other characteristics</w:t>
      </w:r>
      <w:r w:rsidRPr="003E3456">
        <w:t>;</w:t>
      </w:r>
    </w:p>
    <w:p w:rsidR="00134604" w:rsidRPr="006F1D7B" w:rsidRDefault="00134604" w:rsidP="00134604">
      <w:pPr>
        <w:pStyle w:val="ListParagraph"/>
        <w:numPr>
          <w:ilvl w:val="0"/>
          <w:numId w:val="10"/>
        </w:numPr>
        <w:rPr>
          <w:kern w:val="28"/>
        </w:rPr>
      </w:pPr>
      <w:r w:rsidRPr="003E3456">
        <w:t xml:space="preserve">Identification within monthly call detail reports (CDRs) of those </w:t>
      </w:r>
      <w:r>
        <w:t xml:space="preserve">calls </w:t>
      </w:r>
      <w:r w:rsidRPr="003E3456">
        <w:t xml:space="preserve">in which deaf interpreters participated;  </w:t>
      </w:r>
    </w:p>
    <w:p w:rsidR="00134604" w:rsidRPr="006F1D7B" w:rsidRDefault="00134604" w:rsidP="00134604">
      <w:pPr>
        <w:pStyle w:val="ListParagraph"/>
        <w:numPr>
          <w:ilvl w:val="0"/>
          <w:numId w:val="10"/>
        </w:numPr>
        <w:rPr>
          <w:kern w:val="28"/>
        </w:rPr>
      </w:pPr>
      <w:r w:rsidRPr="003E3456">
        <w:t>For each call on which a deaf interpreter was used, the amount of time that elapsed between a request for a deaf interpreter and the time a deaf interpreter join</w:t>
      </w:r>
      <w:r>
        <w:t>ed</w:t>
      </w:r>
      <w:r w:rsidRPr="003E3456">
        <w:t xml:space="preserve"> the call</w:t>
      </w:r>
      <w:r>
        <w:t>—</w:t>
      </w:r>
      <w:r w:rsidRPr="003E3456">
        <w:t xml:space="preserve">i.e., </w:t>
      </w:r>
      <w:r>
        <w:t xml:space="preserve">how quickly the provider responded to </w:t>
      </w:r>
      <w:r w:rsidRPr="003E3456">
        <w:t xml:space="preserve">the caller’s request;  </w:t>
      </w:r>
    </w:p>
    <w:p w:rsidR="00134604" w:rsidRPr="006F1D7B" w:rsidRDefault="00134604" w:rsidP="00134604">
      <w:pPr>
        <w:pStyle w:val="ListParagraph"/>
        <w:numPr>
          <w:ilvl w:val="0"/>
          <w:numId w:val="10"/>
        </w:numPr>
        <w:rPr>
          <w:kern w:val="28"/>
        </w:rPr>
      </w:pPr>
      <w:r w:rsidRPr="003E3456">
        <w:t>For each call on which a deaf interpreter was used, the duration of the deaf interpreter’s presence on the call;</w:t>
      </w:r>
      <w:r w:rsidRPr="00C103F0">
        <w:rPr>
          <w:rStyle w:val="FootnoteReference"/>
        </w:rPr>
        <w:footnoteReference w:id="70"/>
      </w:r>
      <w:r>
        <w:t xml:space="preserve"> and</w:t>
      </w:r>
    </w:p>
    <w:p w:rsidR="00134604" w:rsidRPr="006F1D7B" w:rsidRDefault="00134604" w:rsidP="00134604">
      <w:pPr>
        <w:pStyle w:val="ListParagraph"/>
        <w:numPr>
          <w:ilvl w:val="0"/>
          <w:numId w:val="10"/>
        </w:numPr>
        <w:rPr>
          <w:kern w:val="28"/>
        </w:rPr>
      </w:pPr>
      <w:r w:rsidRPr="003E3456">
        <w:t>The number of calls for which a deaf interpreter was requested but not provided</w:t>
      </w:r>
      <w:r>
        <w:t>.</w:t>
      </w:r>
      <w:r w:rsidRPr="00C103F0">
        <w:rPr>
          <w:rStyle w:val="FootnoteReference"/>
        </w:rPr>
        <w:footnoteReference w:id="71"/>
      </w:r>
      <w:r w:rsidRPr="003E3456">
        <w:t xml:space="preserve"> </w:t>
      </w:r>
    </w:p>
    <w:p w:rsidR="00134604" w:rsidRPr="003E3456" w:rsidRDefault="00134604" w:rsidP="00134604">
      <w:pPr>
        <w:pStyle w:val="ParaNum"/>
        <w:widowControl/>
        <w:rPr>
          <w:rFonts w:eastAsia="Calibri"/>
          <w:snapToGrid/>
        </w:rPr>
      </w:pPr>
      <w:r w:rsidRPr="003E3456">
        <w:rPr>
          <w:rFonts w:eastAsia="Calibri"/>
          <w:snapToGrid/>
        </w:rPr>
        <w:t xml:space="preserve">In addition to these monthly reports, we </w:t>
      </w:r>
      <w:r>
        <w:rPr>
          <w:rFonts w:eastAsia="Calibri"/>
          <w:snapToGrid/>
        </w:rPr>
        <w:t xml:space="preserve">request </w:t>
      </w:r>
      <w:r w:rsidRPr="003E3456">
        <w:rPr>
          <w:rFonts w:eastAsia="Calibri"/>
          <w:snapToGrid/>
        </w:rPr>
        <w:t>participants to submit, no later than June 1, 2018, a final report on the trial containing the following information, disaggregated by skill set where indicated:</w:t>
      </w:r>
    </w:p>
    <w:p w:rsidR="00134604" w:rsidRPr="006F1D7B" w:rsidRDefault="00134604" w:rsidP="00134604">
      <w:pPr>
        <w:pStyle w:val="ListParagraph"/>
        <w:numPr>
          <w:ilvl w:val="0"/>
          <w:numId w:val="10"/>
        </w:numPr>
        <w:rPr>
          <w:kern w:val="28"/>
        </w:rPr>
      </w:pPr>
      <w:r w:rsidRPr="003E3456">
        <w:t>A description of the standards that were used to determine (1) whether a deaf interpreter was needed for a call</w:t>
      </w:r>
      <w:r w:rsidRPr="006F1D7B">
        <w:t xml:space="preserve"> </w:t>
      </w:r>
      <w:r w:rsidRPr="003E3456">
        <w:t xml:space="preserve">and (2) whether a particular </w:t>
      </w:r>
      <w:r>
        <w:t>individual is</w:t>
      </w:r>
      <w:r w:rsidRPr="003E3456">
        <w:t xml:space="preserve"> qualified for assignment as a </w:t>
      </w:r>
      <w:r>
        <w:t>deaf</w:t>
      </w:r>
      <w:r w:rsidRPr="003E3456">
        <w:t xml:space="preserve"> interpreter;</w:t>
      </w:r>
      <w:r w:rsidRPr="00C103F0">
        <w:rPr>
          <w:rStyle w:val="FootnoteReference"/>
        </w:rPr>
        <w:footnoteReference w:id="72"/>
      </w:r>
      <w:r>
        <w:t xml:space="preserve"> and</w:t>
      </w:r>
    </w:p>
    <w:p w:rsidR="00134604" w:rsidRPr="006F1D7B" w:rsidRDefault="00134604" w:rsidP="00134604">
      <w:pPr>
        <w:pStyle w:val="ListParagraph"/>
        <w:numPr>
          <w:ilvl w:val="0"/>
          <w:numId w:val="10"/>
        </w:numPr>
        <w:rPr>
          <w:kern w:val="28"/>
        </w:rPr>
      </w:pPr>
      <w:r w:rsidRPr="003E3456">
        <w:t xml:space="preserve">Detailed documentation of </w:t>
      </w:r>
      <w:r w:rsidRPr="006F1D7B">
        <w:rPr>
          <w:i/>
          <w:iCs/>
        </w:rPr>
        <w:t>incremental</w:t>
      </w:r>
      <w:r w:rsidRPr="003E3456">
        <w:t xml:space="preserve"> costs incurred in the use of deaf interpreters, including any incremental costs associated with </w:t>
      </w:r>
      <w:r>
        <w:t xml:space="preserve">interpreter </w:t>
      </w:r>
      <w:r w:rsidRPr="003E3456">
        <w:t>recruitment, training, and compensation, engineering and technical implementation, marketing, and administrative and management support (including oversight, evaluation and recordkeeping)</w:t>
      </w:r>
      <w:r>
        <w:t>.</w:t>
      </w:r>
      <w:r w:rsidRPr="00C103F0">
        <w:rPr>
          <w:rStyle w:val="FootnoteReference"/>
        </w:rPr>
        <w:footnoteReference w:id="73"/>
      </w:r>
      <w:r w:rsidRPr="006F1D7B">
        <w:t xml:space="preserve"> </w:t>
      </w:r>
    </w:p>
    <w:p w:rsidR="00134604" w:rsidRPr="003E3456" w:rsidRDefault="00134604" w:rsidP="00134604">
      <w:pPr>
        <w:pStyle w:val="ParaNum"/>
        <w:widowControl/>
      </w:pPr>
      <w:r w:rsidRPr="003E3456">
        <w:t xml:space="preserve">We believe that the reporting of data in each of the above categories will be critical to assessing the success of this trial.  We agree with commenters that these metrics will assist us in determining, among other things, the general availability of and appropriate service quality for deaf interpreters, an appropriate speed of answer, </w:t>
      </w:r>
      <w:r w:rsidRPr="00A21EEA">
        <w:t xml:space="preserve">whether </w:t>
      </w:r>
      <w:r>
        <w:t>participation of deaf interpreters</w:t>
      </w:r>
      <w:r w:rsidRPr="00A21EEA">
        <w:t xml:space="preserve"> results in more efficient calls</w:t>
      </w:r>
      <w:r>
        <w:t>—</w:t>
      </w:r>
      <w:r w:rsidRPr="00A21EEA">
        <w:t>e.g., by shortening the length of calls</w:t>
      </w:r>
      <w:r>
        <w:t>—</w:t>
      </w:r>
      <w:r w:rsidRPr="003E3456">
        <w:t>and whether additional compensation is needed to support the provision of such interpreters.</w:t>
      </w:r>
      <w:r w:rsidRPr="00C939E2">
        <w:rPr>
          <w:rStyle w:val="FootnoteReference"/>
        </w:rPr>
        <w:footnoteReference w:id="74"/>
      </w:r>
      <w:r w:rsidRPr="003E3456">
        <w:t xml:space="preserve">  </w:t>
      </w:r>
    </w:p>
    <w:p w:rsidR="00134604" w:rsidRDefault="00134604" w:rsidP="00134604">
      <w:pPr>
        <w:pStyle w:val="ParaNum"/>
        <w:widowControl/>
      </w:pPr>
      <w:r w:rsidRPr="003E3456">
        <w:t xml:space="preserve">We </w:t>
      </w:r>
      <w:r>
        <w:t>expect</w:t>
      </w:r>
      <w:r w:rsidRPr="003E3456">
        <w:t xml:space="preserve"> providers to make all data collected in the trial available upon request to the TRS Fund administrator and the Commission staff</w:t>
      </w:r>
      <w:r>
        <w:t xml:space="preserve"> and recognize that the TRS Fund administrator or the Commission may release the results of the trial in an aggregated or anonymized fashion</w:t>
      </w:r>
      <w:r w:rsidRPr="003E3456">
        <w:t>.</w:t>
      </w:r>
      <w:r w:rsidRPr="003E3456">
        <w:rPr>
          <w:vertAlign w:val="superscript"/>
        </w:rPr>
        <w:footnoteReference w:id="75"/>
      </w:r>
      <w:r w:rsidRPr="003E3456">
        <w:t xml:space="preserve">  We affirm that all </w:t>
      </w:r>
      <w:r>
        <w:t xml:space="preserve">personally identifiable user </w:t>
      </w:r>
      <w:r w:rsidRPr="003E3456">
        <w:t xml:space="preserve">information gathered for the purposes of the trial will </w:t>
      </w:r>
      <w:r>
        <w:t xml:space="preserve">be treated as </w:t>
      </w:r>
      <w:r w:rsidRPr="003E3456">
        <w:t>confidential pursuant to the Commission’s confidentiality rules.</w:t>
      </w:r>
      <w:r w:rsidRPr="00C103F0">
        <w:rPr>
          <w:rStyle w:val="FootnoteReference"/>
        </w:rPr>
        <w:footnoteReference w:id="76"/>
      </w:r>
    </w:p>
    <w:p w:rsidR="00134604" w:rsidRPr="003E3456" w:rsidRDefault="00134604" w:rsidP="00134604">
      <w:pPr>
        <w:pStyle w:val="ParaNum"/>
        <w:widowControl/>
      </w:pPr>
      <w:r w:rsidRPr="003E3456">
        <w:t xml:space="preserve">We direct </w:t>
      </w:r>
      <w:r>
        <w:t xml:space="preserve">OMD and </w:t>
      </w:r>
      <w:r w:rsidRPr="003E3456">
        <w:t>the TRS Fund administrator to consult with each of the providers participating in the trial, to formulate their individual data collection strategies</w:t>
      </w:r>
      <w:r>
        <w:t>—</w:t>
      </w:r>
      <w:r w:rsidRPr="003E3456">
        <w:t>before the beginning of the trial and as needed during the trial</w:t>
      </w:r>
      <w:r>
        <w:t>—</w:t>
      </w:r>
      <w:r w:rsidRPr="003E3456">
        <w:t>to ensure that the data collected addresses the categories listed above and is robust enough to provide sufficient basis for a Commissio</w:t>
      </w:r>
      <w:r>
        <w:t xml:space="preserve">n decision on whether to incorporate deaf interpreters </w:t>
      </w:r>
      <w:r w:rsidRPr="003E3456">
        <w:t>on a permanent basis, as well as how to address any issues that surface during the trial.</w:t>
      </w:r>
      <w:r w:rsidRPr="00C939E2">
        <w:rPr>
          <w:rStyle w:val="FootnoteReference"/>
        </w:rPr>
        <w:footnoteReference w:id="77"/>
      </w:r>
    </w:p>
    <w:p w:rsidR="00134604" w:rsidRPr="003E3456" w:rsidRDefault="00134604" w:rsidP="00134604">
      <w:pPr>
        <w:pStyle w:val="ParaNum"/>
        <w:widowControl/>
      </w:pPr>
      <w:r w:rsidRPr="00C939E2">
        <w:rPr>
          <w:rFonts w:eastAsia="Calibri"/>
          <w:i/>
          <w:iCs/>
          <w:snapToGrid/>
          <w:kern w:val="0"/>
        </w:rPr>
        <w:t>Compliance with Mandatory Minimum Standards</w:t>
      </w:r>
      <w:r>
        <w:rPr>
          <w:rFonts w:eastAsia="Calibri"/>
          <w:snapToGrid/>
        </w:rPr>
        <w:t xml:space="preserve">.  VRS providers employing deaf interpreters must comply with all applicable mandatory minimum standards.  Because a deaf interpreter does not perform all the functions of a CA, but rather provides supplementary assistance, the participation of a deaf interpreter does not necessarily affect a provider’s speed of answer or compliance with other TRS rules.  Further, </w:t>
      </w:r>
      <w:r w:rsidRPr="003E3456">
        <w:rPr>
          <w:rFonts w:eastAsia="Calibri"/>
          <w:snapToGrid/>
        </w:rPr>
        <w:t xml:space="preserve">we leave the </w:t>
      </w:r>
      <w:r>
        <w:rPr>
          <w:rFonts w:eastAsia="Calibri"/>
          <w:snapToGrid/>
        </w:rPr>
        <w:t>parameters</w:t>
      </w:r>
      <w:r w:rsidRPr="003E3456">
        <w:rPr>
          <w:rFonts w:eastAsia="Calibri"/>
          <w:snapToGrid/>
        </w:rPr>
        <w:t xml:space="preserve"> of </w:t>
      </w:r>
      <w:r>
        <w:rPr>
          <w:rFonts w:eastAsia="Calibri"/>
          <w:snapToGrid/>
        </w:rPr>
        <w:t xml:space="preserve">participation in </w:t>
      </w:r>
      <w:r w:rsidRPr="003E3456">
        <w:rPr>
          <w:rFonts w:eastAsia="Calibri"/>
          <w:snapToGrid/>
        </w:rPr>
        <w:t xml:space="preserve">the deaf interpreters trial </w:t>
      </w:r>
      <w:r>
        <w:rPr>
          <w:rFonts w:eastAsia="Calibri"/>
          <w:snapToGrid/>
        </w:rPr>
        <w:t xml:space="preserve">largely </w:t>
      </w:r>
      <w:r w:rsidRPr="003E3456">
        <w:rPr>
          <w:rFonts w:eastAsia="Calibri"/>
          <w:snapToGrid/>
        </w:rPr>
        <w:t xml:space="preserve">to </w:t>
      </w:r>
      <w:r>
        <w:rPr>
          <w:rFonts w:eastAsia="Calibri"/>
          <w:snapToGrid/>
        </w:rPr>
        <w:t xml:space="preserve">the discretion of </w:t>
      </w:r>
      <w:r w:rsidRPr="003E3456">
        <w:rPr>
          <w:rFonts w:eastAsia="Calibri"/>
          <w:snapToGrid/>
        </w:rPr>
        <w:t>individual providers</w:t>
      </w:r>
      <w:r>
        <w:rPr>
          <w:rFonts w:eastAsia="Calibri"/>
          <w:snapToGrid/>
        </w:rPr>
        <w:t>.  For example</w:t>
      </w:r>
      <w:r w:rsidRPr="003E3456">
        <w:rPr>
          <w:rFonts w:eastAsia="Calibri"/>
          <w:snapToGrid/>
        </w:rPr>
        <w:t xml:space="preserve">, it </w:t>
      </w:r>
      <w:r>
        <w:rPr>
          <w:rFonts w:eastAsia="Calibri"/>
          <w:snapToGrid/>
        </w:rPr>
        <w:t xml:space="preserve">may be </w:t>
      </w:r>
      <w:r w:rsidRPr="003E3456">
        <w:rPr>
          <w:rFonts w:eastAsia="Calibri"/>
          <w:snapToGrid/>
        </w:rPr>
        <w:t xml:space="preserve">appropriate for </w:t>
      </w:r>
      <w:r w:rsidRPr="003E3456">
        <w:t>a deaf interpreter</w:t>
      </w:r>
      <w:r>
        <w:t xml:space="preserve"> to be added</w:t>
      </w:r>
      <w:r w:rsidRPr="003E3456">
        <w:t xml:space="preserve"> </w:t>
      </w:r>
      <w:r>
        <w:t xml:space="preserve">either </w:t>
      </w:r>
      <w:r w:rsidRPr="003E3456">
        <w:t xml:space="preserve">prior to </w:t>
      </w:r>
      <w:r>
        <w:t xml:space="preserve">a call </w:t>
      </w:r>
      <w:r w:rsidRPr="003E3456">
        <w:t>being connected or after a call has begun, i.e., if needed to facilitate effective communication on the call</w:t>
      </w:r>
      <w:r>
        <w:t>, and deaf interpreters may be added either on the provider’s initiative or at the caller’s request</w:t>
      </w:r>
      <w:r w:rsidRPr="003E3456">
        <w:t>.</w:t>
      </w:r>
      <w:r w:rsidRPr="00C103F0">
        <w:rPr>
          <w:rStyle w:val="FootnoteReference"/>
        </w:rPr>
        <w:footnoteReference w:id="78"/>
      </w:r>
      <w:r w:rsidRPr="003E3456">
        <w:t xml:space="preserve">  </w:t>
      </w:r>
      <w:r>
        <w:t xml:space="preserve">However, as </w:t>
      </w:r>
      <w:r w:rsidRPr="003E3456">
        <w:t xml:space="preserve">deaf interpreters may not </w:t>
      </w:r>
      <w:r>
        <w:t xml:space="preserve">always </w:t>
      </w:r>
      <w:r w:rsidRPr="003E3456">
        <w:t xml:space="preserve">be </w:t>
      </w:r>
      <w:r>
        <w:t xml:space="preserve">immediately </w:t>
      </w:r>
      <w:r w:rsidRPr="003E3456">
        <w:t>available at every call center</w:t>
      </w:r>
      <w:r>
        <w:t>,</w:t>
      </w:r>
      <w:r w:rsidRPr="003E3456">
        <w:t xml:space="preserve"> there may be times </w:t>
      </w:r>
      <w:r>
        <w:t xml:space="preserve">when </w:t>
      </w:r>
      <w:r w:rsidRPr="003E3456">
        <w:t xml:space="preserve">callers requesting </w:t>
      </w:r>
      <w:r>
        <w:t>a deaf interpreter</w:t>
      </w:r>
      <w:r w:rsidRPr="003E3456">
        <w:t xml:space="preserve"> </w:t>
      </w:r>
      <w:r>
        <w:t xml:space="preserve">must wait until one is available or when a deaf interpreter must </w:t>
      </w:r>
      <w:r w:rsidRPr="003E3456">
        <w:t xml:space="preserve">be </w:t>
      </w:r>
      <w:r>
        <w:t>added remotely from</w:t>
      </w:r>
      <w:r w:rsidRPr="003E3456">
        <w:t xml:space="preserve"> an alternate call center.</w:t>
      </w:r>
      <w:r w:rsidRPr="00C103F0">
        <w:rPr>
          <w:rStyle w:val="FootnoteReference"/>
        </w:rPr>
        <w:footnoteReference w:id="79"/>
      </w:r>
      <w:r w:rsidRPr="003E3456">
        <w:t xml:space="preserve">  </w:t>
      </w:r>
      <w:r>
        <w:t>If this occurs during the course of a call, there does not appear to be any issue regarding compliance with the answer-in-the-order-received or speed-of-answer rules, because the hearing CA already has placed the call.</w:t>
      </w:r>
      <w:r>
        <w:rPr>
          <w:rStyle w:val="FootnoteReference"/>
        </w:rPr>
        <w:footnoteReference w:id="80"/>
      </w:r>
      <w:r>
        <w:t xml:space="preserve">  For the same reasons discussed above regarding skills-based routing,</w:t>
      </w:r>
      <w:r>
        <w:rPr>
          <w:rStyle w:val="FootnoteReference"/>
        </w:rPr>
        <w:footnoteReference w:id="81"/>
      </w:r>
      <w:r>
        <w:t xml:space="preserve"> in any instance where a caller requests a deaf interpreter in advance of placing a call and is subject to additional waiting time before the call can be placed, in excess of the time needed for a hearing CA to be available, we waive the answer-in-the-order-received and speed-of-answer rules with respect to such additional waiting time, for those providers that participate in the trial and who provide timely and accurate reports containing the information specified above, on condition that the provider makes clear that there will be an additional wait and expressly offers </w:t>
      </w:r>
      <w:r w:rsidRPr="003E3456">
        <w:t>to proceed without a deaf interpreter.</w:t>
      </w:r>
      <w:r w:rsidRPr="00C103F0">
        <w:rPr>
          <w:rStyle w:val="FootnoteReference"/>
        </w:rPr>
        <w:footnoteReference w:id="82"/>
      </w:r>
      <w:r w:rsidRPr="003E3456">
        <w:t xml:space="preserve">    </w:t>
      </w:r>
    </w:p>
    <w:p w:rsidR="00134604" w:rsidRPr="00AD3EEC" w:rsidRDefault="00134604" w:rsidP="00134604">
      <w:pPr>
        <w:pStyle w:val="Heading2"/>
      </w:pPr>
      <w:bookmarkStart w:id="87" w:name="_Toc474859317"/>
      <w:bookmarkStart w:id="88" w:name="_Toc474860046"/>
      <w:bookmarkStart w:id="89" w:name="_Toc474860223"/>
      <w:bookmarkStart w:id="90" w:name="_Toc474860343"/>
      <w:bookmarkStart w:id="91" w:name="_Toc474860529"/>
      <w:bookmarkStart w:id="92" w:name="_Toc474860595"/>
      <w:bookmarkStart w:id="93" w:name="_Toc474860738"/>
      <w:bookmarkStart w:id="94" w:name="_Toc474946526"/>
      <w:bookmarkStart w:id="95" w:name="_Toc475724110"/>
      <w:bookmarkStart w:id="96" w:name="_Toc475724303"/>
      <w:bookmarkStart w:id="97" w:name="_Toc475724450"/>
      <w:bookmarkStart w:id="98" w:name="_Toc475724780"/>
      <w:bookmarkStart w:id="99" w:name="_Toc476077810"/>
      <w:bookmarkStart w:id="100" w:name="_Toc477963665"/>
      <w:r w:rsidRPr="00AD3EEC">
        <w:t>Speed of Answer</w:t>
      </w:r>
      <w:bookmarkEnd w:id="61"/>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134604" w:rsidRPr="00AD3EEC" w:rsidRDefault="00134604" w:rsidP="00134604">
      <w:pPr>
        <w:pStyle w:val="ParaNum"/>
        <w:widowControl/>
        <w:rPr>
          <w:rFonts w:eastAsia="Calibri"/>
          <w:snapToGrid/>
        </w:rPr>
      </w:pPr>
      <w:r w:rsidRPr="00AD3EEC">
        <w:rPr>
          <w:rFonts w:eastAsia="Calibri"/>
          <w:i/>
          <w:snapToGrid/>
        </w:rPr>
        <w:t>Speed-of-Answer Standard</w:t>
      </w:r>
      <w:r w:rsidRPr="00AD3EEC">
        <w:rPr>
          <w:rFonts w:eastAsia="Calibri"/>
          <w:snapToGrid/>
        </w:rPr>
        <w:t>.  Commission rules currently require VRS providers to answer 80 percent of all VRS calls in 120 seconds, measured on a monthly basis.</w:t>
      </w:r>
      <w:r w:rsidRPr="00C939E2">
        <w:rPr>
          <w:rStyle w:val="FootnoteReference"/>
          <w:rFonts w:eastAsia="Calibri"/>
        </w:rPr>
        <w:footnoteReference w:id="83"/>
      </w:r>
      <w:r w:rsidRPr="00AD3EEC">
        <w:rPr>
          <w:rFonts w:eastAsia="Calibri"/>
          <w:snapToGrid/>
        </w:rPr>
        <w:t xml:space="preserve">  In </w:t>
      </w:r>
      <w:r>
        <w:rPr>
          <w:rFonts w:eastAsia="Calibri"/>
          <w:snapToGrid/>
        </w:rPr>
        <w:t xml:space="preserve">2015, in </w:t>
      </w:r>
      <w:r w:rsidRPr="00AD3EEC">
        <w:rPr>
          <w:rFonts w:eastAsia="Calibri"/>
          <w:snapToGrid/>
        </w:rPr>
        <w:t>response to the 2015 Joint VRS Providers Proposal</w:t>
      </w:r>
      <w:r w:rsidRPr="00AD3EEC">
        <w:rPr>
          <w:rFonts w:eastAsia="Calibri"/>
          <w:i/>
          <w:snapToGrid/>
        </w:rPr>
        <w:t xml:space="preserve"> </w:t>
      </w:r>
      <w:r w:rsidRPr="00AD3EEC">
        <w:rPr>
          <w:rFonts w:eastAsia="Calibri"/>
          <w:snapToGrid/>
        </w:rPr>
        <w:t>and a recommendation from the Commission’s Disability Advisory Committee (DAC), the Commission proposed to strengthen the speed-of-answer rule to require that 80 percent of all VRS calls be answered in 45 seconds, measured on a monthly basis.</w:t>
      </w:r>
      <w:r w:rsidRPr="00C939E2">
        <w:rPr>
          <w:rStyle w:val="FootnoteReference"/>
          <w:rFonts w:eastAsia="Calibri"/>
        </w:rPr>
        <w:footnoteReference w:id="84"/>
      </w:r>
      <w:r w:rsidRPr="00AD3EEC">
        <w:rPr>
          <w:rFonts w:eastAsia="Calibri"/>
          <w:snapToGrid/>
        </w:rPr>
        <w:t xml:space="preserve">  Consumer Groups have expressed support for this proposal as a step toward their ultimate goal of achieving a standard for 85 percent of calls to be answered in 30 seconds.</w:t>
      </w:r>
      <w:r w:rsidRPr="00C939E2">
        <w:rPr>
          <w:rStyle w:val="FootnoteReference"/>
          <w:rFonts w:eastAsia="Calibri"/>
        </w:rPr>
        <w:footnoteReference w:id="85"/>
      </w:r>
      <w:r w:rsidRPr="00AD3EEC">
        <w:rPr>
          <w:rFonts w:eastAsia="Calibri"/>
          <w:snapToGrid/>
        </w:rPr>
        <w:t xml:space="preserve">  Further, a survey conducted by the TRS Fund </w:t>
      </w:r>
      <w:r>
        <w:rPr>
          <w:rFonts w:eastAsia="Calibri"/>
          <w:snapToGrid/>
        </w:rPr>
        <w:t>a</w:t>
      </w:r>
      <w:r w:rsidRPr="00AD3EEC">
        <w:rPr>
          <w:rFonts w:eastAsia="Calibri"/>
          <w:snapToGrid/>
        </w:rPr>
        <w:t>dministrator demonstrated that, from May 2014 through April 2015, VRS providers were achieving this 80/45 speed of answer.</w:t>
      </w:r>
      <w:r w:rsidRPr="00C939E2">
        <w:rPr>
          <w:rStyle w:val="FootnoteReference"/>
          <w:rFonts w:eastAsia="Calibri"/>
        </w:rPr>
        <w:footnoteReference w:id="86"/>
      </w:r>
      <w:r w:rsidRPr="00AD3EEC">
        <w:rPr>
          <w:rFonts w:eastAsia="Calibri"/>
          <w:snapToGrid/>
        </w:rPr>
        <w:t xml:space="preserve">  </w:t>
      </w:r>
    </w:p>
    <w:p w:rsidR="00134604" w:rsidRPr="00AD3EEC" w:rsidRDefault="00134604" w:rsidP="00134604">
      <w:pPr>
        <w:pStyle w:val="ParaNum"/>
        <w:widowControl/>
        <w:rPr>
          <w:rFonts w:eastAsia="Calibri"/>
          <w:snapToGrid/>
        </w:rPr>
      </w:pPr>
      <w:r w:rsidRPr="00AD3EEC">
        <w:rPr>
          <w:rFonts w:eastAsia="Calibri"/>
          <w:snapToGrid/>
        </w:rPr>
        <w:t>However, providers continue to raise concerns about the costs of complying with a more stringent speed of answer in light of declining compensation rates.</w:t>
      </w:r>
      <w:r w:rsidRPr="00C939E2">
        <w:rPr>
          <w:rStyle w:val="FootnoteReference"/>
          <w:rFonts w:eastAsia="Calibri"/>
        </w:rPr>
        <w:footnoteReference w:id="87"/>
      </w:r>
      <w:r w:rsidRPr="00AD3EEC">
        <w:rPr>
          <w:rFonts w:eastAsia="Calibri"/>
          <w:snapToGrid/>
        </w:rPr>
        <w:t xml:space="preserve">  In the 2015 </w:t>
      </w:r>
      <w:r>
        <w:rPr>
          <w:rFonts w:eastAsia="Calibri"/>
          <w:snapToGrid/>
        </w:rPr>
        <w:t xml:space="preserve">Joint </w:t>
      </w:r>
      <w:r w:rsidRPr="00AD3EEC">
        <w:rPr>
          <w:rFonts w:eastAsia="Calibri"/>
          <w:snapToGrid/>
        </w:rPr>
        <w:t>VRS Providers Proposal, all six VRS providers asked that a tightened speed</w:t>
      </w:r>
      <w:r>
        <w:rPr>
          <w:rFonts w:eastAsia="Calibri"/>
          <w:snapToGrid/>
        </w:rPr>
        <w:t xml:space="preserve"> </w:t>
      </w:r>
      <w:r w:rsidRPr="00AD3EEC">
        <w:rPr>
          <w:rFonts w:eastAsia="Calibri"/>
          <w:snapToGrid/>
        </w:rPr>
        <w:t>of</w:t>
      </w:r>
      <w:r>
        <w:rPr>
          <w:rFonts w:eastAsia="Calibri"/>
          <w:snapToGrid/>
        </w:rPr>
        <w:t xml:space="preserve"> </w:t>
      </w:r>
      <w:r w:rsidRPr="00AD3EEC">
        <w:rPr>
          <w:rFonts w:eastAsia="Calibri"/>
          <w:snapToGrid/>
        </w:rPr>
        <w:t>answer be conditioned on “immediate stabilization of the rate,” noting that “it is impossible to meet more stringent speed-of-answer requirements if rates are not commensurate with the requirement.</w:t>
      </w:r>
      <w:r>
        <w:rPr>
          <w:rFonts w:eastAsia="Calibri"/>
          <w:snapToGrid/>
        </w:rPr>
        <w:t>”</w:t>
      </w:r>
      <w:r w:rsidRPr="00C939E2">
        <w:rPr>
          <w:rStyle w:val="FootnoteReference"/>
          <w:rFonts w:eastAsia="Calibri"/>
        </w:rPr>
        <w:footnoteReference w:id="88"/>
      </w:r>
      <w:r w:rsidRPr="00AD3EEC">
        <w:rPr>
          <w:rFonts w:eastAsia="Calibri"/>
          <w:snapToGrid/>
        </w:rPr>
        <w:t xml:space="preserve">  Four of these providers reiterated this point in the 2017 Joint Providers’ Proposal.</w:t>
      </w:r>
      <w:r w:rsidRPr="00C939E2">
        <w:rPr>
          <w:rStyle w:val="FootnoteReference"/>
          <w:rFonts w:eastAsia="Calibri"/>
        </w:rPr>
        <w:footnoteReference w:id="89"/>
      </w:r>
      <w:r w:rsidRPr="00AD3EEC">
        <w:rPr>
          <w:rFonts w:eastAsia="Calibri"/>
          <w:snapToGrid/>
        </w:rPr>
        <w:t xml:space="preserve">  The Registry of Interpreters for the Deaf (RID) similarly supports the proposed speed of answer but expresses caution about the impact it could have on the ability of </w:t>
      </w:r>
      <w:r>
        <w:rPr>
          <w:rFonts w:eastAsia="Calibri"/>
          <w:snapToGrid/>
        </w:rPr>
        <w:t xml:space="preserve">CAs </w:t>
      </w:r>
      <w:r w:rsidRPr="00AD3EEC">
        <w:rPr>
          <w:rFonts w:eastAsia="Calibri"/>
          <w:snapToGrid/>
        </w:rPr>
        <w:t>to “provide functionally equivalent interpreting services,” especially if greater burdens will be placed on existing staff instead of adding new staff.</w:t>
      </w:r>
      <w:r w:rsidRPr="00C939E2">
        <w:rPr>
          <w:rStyle w:val="FootnoteReference"/>
          <w:rFonts w:eastAsia="Calibri"/>
        </w:rPr>
        <w:footnoteReference w:id="90"/>
      </w:r>
      <w:r w:rsidRPr="00AD3EEC">
        <w:rPr>
          <w:rFonts w:eastAsia="Calibri"/>
          <w:snapToGrid/>
        </w:rPr>
        <w:t xml:space="preserve">  Given these concerns and that new rate adjustments may occur as a result of the accompanying </w:t>
      </w:r>
      <w:r>
        <w:rPr>
          <w:rFonts w:eastAsia="Calibri"/>
          <w:snapToGrid/>
        </w:rPr>
        <w:t>Further Notice of Proposed Rulemaking (FNPRM)</w:t>
      </w:r>
      <w:r w:rsidRPr="00AD3EEC">
        <w:rPr>
          <w:rFonts w:eastAsia="Calibri"/>
          <w:snapToGrid/>
        </w:rPr>
        <w:t xml:space="preserve">, we will defer </w:t>
      </w:r>
      <w:r>
        <w:rPr>
          <w:rFonts w:eastAsia="Calibri"/>
          <w:snapToGrid/>
        </w:rPr>
        <w:t>consideration of whether to revise</w:t>
      </w:r>
      <w:r w:rsidRPr="00AD3EEC">
        <w:rPr>
          <w:rFonts w:eastAsia="Calibri"/>
          <w:snapToGrid/>
        </w:rPr>
        <w:t xml:space="preserve"> the speed-of-answer standard at this time.</w:t>
      </w:r>
      <w:r w:rsidRPr="00C939E2">
        <w:rPr>
          <w:rStyle w:val="FootnoteReference"/>
          <w:rFonts w:eastAsia="Calibri"/>
        </w:rPr>
        <w:footnoteReference w:id="91"/>
      </w:r>
      <w:r w:rsidRPr="00AD3EEC">
        <w:rPr>
          <w:rFonts w:eastAsia="Calibri"/>
          <w:snapToGrid/>
        </w:rPr>
        <w:t xml:space="preserve">  </w:t>
      </w:r>
    </w:p>
    <w:p w:rsidR="00134604" w:rsidRPr="00AD3EEC" w:rsidRDefault="00134604" w:rsidP="00134604">
      <w:pPr>
        <w:pStyle w:val="ParaNum"/>
        <w:widowControl/>
        <w:rPr>
          <w:rFonts w:eastAsia="Calibri"/>
          <w:snapToGrid/>
        </w:rPr>
      </w:pPr>
      <w:r w:rsidRPr="00AD3EEC">
        <w:rPr>
          <w:rFonts w:eastAsia="Calibri"/>
          <w:i/>
          <w:snapToGrid/>
        </w:rPr>
        <w:t>Publication of Speed-of-Answer Data</w:t>
      </w:r>
      <w:r w:rsidRPr="00AD3EEC">
        <w:rPr>
          <w:rFonts w:eastAsia="Calibri"/>
          <w:snapToGrid/>
        </w:rPr>
        <w:t xml:space="preserve">.  </w:t>
      </w:r>
      <w:r>
        <w:rPr>
          <w:rFonts w:eastAsia="Calibri"/>
          <w:snapToGrid/>
        </w:rPr>
        <w:t>Although</w:t>
      </w:r>
      <w:r w:rsidRPr="00AD3EEC">
        <w:rPr>
          <w:rFonts w:eastAsia="Calibri"/>
          <w:snapToGrid/>
        </w:rPr>
        <w:t xml:space="preserve"> we do not adopt a more stringent speed-or-answer standard in this Order, we continue to believe that an answering time that is faster than what is presently required will enable VRS users to experience communications in a manner that is closer to the telephone experience of hearing persons without disabilities.  Indeed, the Commission has abided by a </w:t>
      </w:r>
      <w:r w:rsidRPr="00AD3EEC">
        <w:rPr>
          <w:rFonts w:eastAsia="Calibri"/>
          <w:iCs/>
          <w:snapToGrid/>
        </w:rPr>
        <w:t xml:space="preserve">longstanding principle that </w:t>
      </w:r>
      <w:r w:rsidRPr="00AD3EEC">
        <w:rPr>
          <w:rFonts w:eastAsia="Calibri"/>
          <w:snapToGrid/>
        </w:rPr>
        <w:t>the “ability of a TRS user to reach a CA prepared to place his or her call, without experiencing delays that a voice telephone user would not experience in placing a telephone call, is fundamental to the concept of ‘functional equivalence.’”</w:t>
      </w:r>
      <w:r w:rsidRPr="00C939E2">
        <w:rPr>
          <w:rStyle w:val="FootnoteReference"/>
          <w:rFonts w:eastAsia="Calibri"/>
        </w:rPr>
        <w:footnoteReference w:id="92"/>
      </w:r>
      <w:r w:rsidRPr="00AD3EEC">
        <w:rPr>
          <w:rFonts w:eastAsia="Calibri"/>
          <w:snapToGrid/>
        </w:rPr>
        <w:t xml:space="preserve">  </w:t>
      </w:r>
    </w:p>
    <w:p w:rsidR="00134604" w:rsidRPr="00AD3EEC" w:rsidRDefault="00134604" w:rsidP="00134604">
      <w:pPr>
        <w:pStyle w:val="ParaNum"/>
        <w:widowControl/>
        <w:rPr>
          <w:rFonts w:eastAsia="Calibri"/>
          <w:snapToGrid/>
        </w:rPr>
      </w:pPr>
      <w:r w:rsidRPr="00AD3EEC">
        <w:rPr>
          <w:rFonts w:eastAsia="Calibri"/>
          <w:snapToGrid/>
        </w:rPr>
        <w:t>Regardless of the applicable speed-of-answer</w:t>
      </w:r>
      <w:r w:rsidRPr="00AD3EEC" w:rsidDel="009962C9">
        <w:rPr>
          <w:rFonts w:eastAsia="Calibri"/>
          <w:snapToGrid/>
        </w:rPr>
        <w:t xml:space="preserve"> </w:t>
      </w:r>
      <w:r w:rsidRPr="00AD3EEC">
        <w:rPr>
          <w:rFonts w:eastAsia="Calibri"/>
          <w:snapToGrid/>
        </w:rPr>
        <w:t>standard, providers are of course permitted to answer calls at a faster speed, and the Commission has recognized that competition among providers encourages them to improve speed</w:t>
      </w:r>
      <w:r>
        <w:rPr>
          <w:rFonts w:eastAsia="Calibri"/>
          <w:snapToGrid/>
        </w:rPr>
        <w:t>-</w:t>
      </w:r>
      <w:r w:rsidRPr="00AD3EEC">
        <w:rPr>
          <w:rFonts w:eastAsia="Calibri"/>
          <w:snapToGrid/>
        </w:rPr>
        <w:t>of</w:t>
      </w:r>
      <w:r>
        <w:rPr>
          <w:rFonts w:eastAsia="Calibri"/>
          <w:snapToGrid/>
        </w:rPr>
        <w:t>-</w:t>
      </w:r>
      <w:r w:rsidRPr="00AD3EEC">
        <w:rPr>
          <w:rFonts w:eastAsia="Calibri"/>
          <w:snapToGrid/>
        </w:rPr>
        <w:t>answer performance.</w:t>
      </w:r>
      <w:r>
        <w:rPr>
          <w:rStyle w:val="FootnoteReference"/>
          <w:rFonts w:eastAsia="Calibri"/>
          <w:snapToGrid/>
        </w:rPr>
        <w:footnoteReference w:id="93"/>
      </w:r>
      <w:r w:rsidRPr="00AD3EEC">
        <w:rPr>
          <w:rFonts w:eastAsia="Calibri"/>
          <w:snapToGrid/>
        </w:rPr>
        <w:t xml:space="preserve">  In the </w:t>
      </w:r>
      <w:r w:rsidRPr="00AD3EEC">
        <w:rPr>
          <w:rFonts w:eastAsia="Calibri"/>
          <w:i/>
          <w:snapToGrid/>
        </w:rPr>
        <w:t>2015 VRS FNPRM</w:t>
      </w:r>
      <w:r w:rsidRPr="00AD3EEC">
        <w:rPr>
          <w:rFonts w:eastAsia="Calibri"/>
          <w:snapToGrid/>
        </w:rPr>
        <w:t>, the Commission asked whether the Commission should publish summaries of each provider’s speed-of-answer performance data, to enhance incentives to improve their performance and allow consumers to compare performance across VRS providers.</w:t>
      </w:r>
      <w:r w:rsidRPr="00C939E2">
        <w:rPr>
          <w:rStyle w:val="FootnoteReference"/>
          <w:rFonts w:eastAsia="Calibri"/>
        </w:rPr>
        <w:footnoteReference w:id="94"/>
      </w:r>
      <w:r w:rsidRPr="00AD3EEC">
        <w:rPr>
          <w:rFonts w:eastAsia="Calibri"/>
          <w:snapToGrid/>
        </w:rPr>
        <w:t xml:space="preserve">  The Commission further sought comment on the level of detail that would be useful for consumers regarding a provider’s speed-of-answer performance.</w:t>
      </w:r>
      <w:r w:rsidRPr="00C939E2">
        <w:rPr>
          <w:rStyle w:val="FootnoteReference"/>
          <w:rFonts w:eastAsia="Calibri"/>
        </w:rPr>
        <w:footnoteReference w:id="95"/>
      </w:r>
    </w:p>
    <w:p w:rsidR="00134604" w:rsidRPr="00AD3EEC" w:rsidRDefault="00134604" w:rsidP="00134604">
      <w:pPr>
        <w:pStyle w:val="ParaNum"/>
        <w:widowControl/>
        <w:rPr>
          <w:rFonts w:eastAsia="Calibri"/>
          <w:snapToGrid/>
        </w:rPr>
      </w:pPr>
      <w:r w:rsidRPr="00AD3EEC">
        <w:rPr>
          <w:rFonts w:eastAsia="Calibri"/>
          <w:snapToGrid/>
        </w:rPr>
        <w:t>No party responding to this inquiry opposes the publication of speed-of-answer performance data, and Consumer Groups affirmatively support its release.</w:t>
      </w:r>
      <w:r w:rsidRPr="00C939E2">
        <w:rPr>
          <w:rStyle w:val="FootnoteReference"/>
          <w:rFonts w:eastAsia="Calibri"/>
        </w:rPr>
        <w:footnoteReference w:id="96"/>
      </w:r>
      <w:r w:rsidRPr="00AD3EEC">
        <w:rPr>
          <w:rFonts w:eastAsia="Calibri"/>
          <w:snapToGrid/>
        </w:rPr>
        <w:t xml:space="preserve">  According to Consumer Groups, publication of </w:t>
      </w:r>
      <w:r>
        <w:rPr>
          <w:rFonts w:eastAsia="Calibri"/>
          <w:snapToGrid/>
        </w:rPr>
        <w:t>such</w:t>
      </w:r>
      <w:r w:rsidRPr="00AD3EEC">
        <w:rPr>
          <w:rFonts w:eastAsia="Calibri"/>
          <w:snapToGrid/>
        </w:rPr>
        <w:t xml:space="preserve"> data would allow provider comparisons and create “an incentive-based system” that could result in improved speed-of-answer performance over time.</w:t>
      </w:r>
      <w:r w:rsidRPr="00C939E2">
        <w:rPr>
          <w:rStyle w:val="FootnoteReference"/>
          <w:rFonts w:eastAsia="Calibri"/>
        </w:rPr>
        <w:footnoteReference w:id="97"/>
      </w:r>
      <w:r w:rsidRPr="00AD3EEC">
        <w:rPr>
          <w:rFonts w:eastAsia="Calibri"/>
          <w:snapToGrid/>
        </w:rPr>
        <w:t xml:space="preserve">  While not opposing disclosure of such data, Sorenson cautions that its publication be done “in a way consumers can understand and that makes clear that the data is only an average and not a prediction of how long it will take to answer an individual call.”</w:t>
      </w:r>
      <w:r w:rsidRPr="00C939E2">
        <w:rPr>
          <w:rStyle w:val="FootnoteReference"/>
          <w:rFonts w:eastAsia="Calibri"/>
        </w:rPr>
        <w:footnoteReference w:id="98"/>
      </w:r>
    </w:p>
    <w:p w:rsidR="00134604" w:rsidRPr="00AD3EEC" w:rsidRDefault="00134604" w:rsidP="00134604">
      <w:pPr>
        <w:pStyle w:val="ParaNum"/>
        <w:widowControl/>
        <w:rPr>
          <w:rFonts w:eastAsia="Calibri"/>
          <w:snapToGrid/>
        </w:rPr>
      </w:pPr>
      <w:r w:rsidRPr="00AD3EEC">
        <w:rPr>
          <w:rFonts w:eastAsia="Calibri"/>
          <w:snapToGrid/>
        </w:rPr>
        <w:t>We are persuaded that releasing the speed-of-answer data to the public would be beneficial because it will enable consumers to monitor provider performance and supply valuable information that can assist in their selection of VRS providers.  We further agree with Consumer Groups that in the interest of attracting customers, publication of this data may create incentives for providers to tighten their speed-of-answer performance.</w:t>
      </w:r>
      <w:r>
        <w:rPr>
          <w:rStyle w:val="FootnoteReference"/>
          <w:rFonts w:eastAsia="Calibri"/>
          <w:snapToGrid/>
        </w:rPr>
        <w:footnoteReference w:id="99"/>
      </w:r>
      <w:r w:rsidRPr="00AD3EEC">
        <w:rPr>
          <w:rFonts w:eastAsia="Calibri"/>
          <w:snapToGrid/>
        </w:rPr>
        <w:t xml:space="preserve">  Accordingly, we direct</w:t>
      </w:r>
      <w:r>
        <w:rPr>
          <w:rFonts w:eastAsia="Calibri"/>
          <w:snapToGrid/>
        </w:rPr>
        <w:t>OMD, in coordination with</w:t>
      </w:r>
      <w:r w:rsidRPr="00AD3EEC">
        <w:rPr>
          <w:rFonts w:eastAsia="Calibri"/>
          <w:snapToGrid/>
        </w:rPr>
        <w:t xml:space="preserve"> the Consumer and Governmental Affairs Bureau (CGB)</w:t>
      </w:r>
      <w:r>
        <w:rPr>
          <w:rFonts w:eastAsia="Calibri"/>
          <w:snapToGrid/>
        </w:rPr>
        <w:t>,</w:t>
      </w:r>
      <w:r w:rsidRPr="00AD3EEC">
        <w:rPr>
          <w:rFonts w:eastAsia="Calibri"/>
          <w:snapToGrid/>
        </w:rPr>
        <w:t xml:space="preserve"> to publish </w:t>
      </w:r>
      <w:r>
        <w:rPr>
          <w:rFonts w:eastAsia="Calibri"/>
          <w:snapToGrid/>
        </w:rPr>
        <w:t xml:space="preserve">summaries of each VRS provider’s </w:t>
      </w:r>
      <w:r w:rsidRPr="00AD3EEC">
        <w:rPr>
          <w:rFonts w:eastAsia="Calibri"/>
          <w:snapToGrid/>
        </w:rPr>
        <w:t>speed-of-answer data</w:t>
      </w:r>
      <w:r>
        <w:rPr>
          <w:rFonts w:eastAsia="Calibri"/>
          <w:snapToGrid/>
        </w:rPr>
        <w:t>—</w:t>
      </w:r>
      <w:r w:rsidRPr="00AD3EEC">
        <w:rPr>
          <w:rFonts w:eastAsia="Calibri"/>
          <w:snapToGrid/>
        </w:rPr>
        <w:t xml:space="preserve">obtained from the TRS Fund </w:t>
      </w:r>
      <w:r>
        <w:rPr>
          <w:rFonts w:eastAsia="Calibri"/>
          <w:snapToGrid/>
        </w:rPr>
        <w:t>a</w:t>
      </w:r>
      <w:r w:rsidRPr="00AD3EEC">
        <w:rPr>
          <w:rFonts w:eastAsia="Calibri"/>
          <w:snapToGrid/>
        </w:rPr>
        <w:t>dministrator</w:t>
      </w:r>
      <w:r>
        <w:rPr>
          <w:rFonts w:eastAsia="Calibri"/>
          <w:snapToGrid/>
        </w:rPr>
        <w:t>—</w:t>
      </w:r>
      <w:r w:rsidRPr="00AD3EEC">
        <w:rPr>
          <w:rFonts w:eastAsia="Calibri"/>
          <w:snapToGrid/>
        </w:rPr>
        <w:t>on a semi-annual basis on the Commission’s website.</w:t>
      </w:r>
      <w:r w:rsidRPr="00C939E2">
        <w:rPr>
          <w:rStyle w:val="FootnoteReference"/>
          <w:rFonts w:eastAsia="Calibri"/>
        </w:rPr>
        <w:footnoteReference w:id="100"/>
      </w:r>
      <w:r w:rsidRPr="00AD3EEC">
        <w:rPr>
          <w:rFonts w:eastAsia="Calibri"/>
          <w:snapToGrid/>
        </w:rPr>
        <w:t xml:space="preserve">  We further direct that such information be prepared for the public in an easy-to-read format</w:t>
      </w:r>
      <w:r>
        <w:rPr>
          <w:rFonts w:eastAsia="Calibri"/>
          <w:snapToGrid/>
        </w:rPr>
        <w:t>,</w:t>
      </w:r>
      <w:r w:rsidRPr="00AD3EEC">
        <w:rPr>
          <w:rFonts w:eastAsia="Calibri"/>
          <w:snapToGrid/>
        </w:rPr>
        <w:t xml:space="preserve"> to allow for easy comparisons of provider performance</w:t>
      </w:r>
      <w:r>
        <w:rPr>
          <w:rFonts w:eastAsia="Calibri"/>
          <w:snapToGrid/>
        </w:rPr>
        <w:t xml:space="preserve">, and that </w:t>
      </w:r>
      <w:r>
        <w:t>the summaries be accompanied by a statement that the data shown are only averages and do not predict how long it will take for a provider to answer any individual call</w:t>
      </w:r>
      <w:r w:rsidRPr="00AD3EEC">
        <w:rPr>
          <w:rFonts w:eastAsia="Calibri"/>
          <w:snapToGrid/>
        </w:rPr>
        <w:t>.</w:t>
      </w:r>
      <w:r>
        <w:rPr>
          <w:rStyle w:val="FootnoteReference"/>
          <w:rFonts w:eastAsia="Calibri"/>
          <w:snapToGrid/>
        </w:rPr>
        <w:footnoteReference w:id="101"/>
      </w:r>
      <w:r w:rsidRPr="00AD3EEC">
        <w:rPr>
          <w:rFonts w:eastAsia="Calibri"/>
          <w:snapToGrid/>
        </w:rPr>
        <w:t xml:space="preserve">    </w:t>
      </w:r>
    </w:p>
    <w:p w:rsidR="00134604" w:rsidRPr="00AD3EEC" w:rsidRDefault="00134604" w:rsidP="00134604">
      <w:pPr>
        <w:pStyle w:val="ParaNum"/>
        <w:widowControl/>
        <w:rPr>
          <w:rFonts w:eastAsia="Calibri"/>
          <w:snapToGrid/>
        </w:rPr>
      </w:pPr>
      <w:r w:rsidRPr="00AD3EEC">
        <w:rPr>
          <w:rFonts w:eastAsia="Calibri"/>
          <w:i/>
          <w:snapToGrid/>
        </w:rPr>
        <w:t>Speed-of-Answer Calculation Methodology</w:t>
      </w:r>
      <w:r w:rsidRPr="00AD3EEC">
        <w:rPr>
          <w:rFonts w:eastAsia="Calibri"/>
          <w:snapToGrid/>
        </w:rPr>
        <w:t xml:space="preserve">.  In the </w:t>
      </w:r>
      <w:r w:rsidRPr="00AD3EEC">
        <w:rPr>
          <w:rFonts w:eastAsia="Calibri"/>
          <w:i/>
          <w:snapToGrid/>
        </w:rPr>
        <w:t xml:space="preserve">2015 VRS FNPRM, </w:t>
      </w:r>
      <w:r w:rsidRPr="00AD3EEC">
        <w:rPr>
          <w:rFonts w:eastAsia="Calibri"/>
          <w:snapToGrid/>
        </w:rPr>
        <w:t>the Commission also sought comment on whether to revise the manner in which the VRS speed of answer is</w:t>
      </w:r>
      <w:r>
        <w:rPr>
          <w:rFonts w:eastAsia="Calibri"/>
          <w:snapToGrid/>
        </w:rPr>
        <w:t xml:space="preserve"> measured</w:t>
      </w:r>
      <w:r w:rsidRPr="00AD3EEC">
        <w:rPr>
          <w:rFonts w:eastAsia="Calibri"/>
          <w:snapToGrid/>
        </w:rPr>
        <w:t>.</w:t>
      </w:r>
      <w:r w:rsidRPr="00C939E2">
        <w:rPr>
          <w:rStyle w:val="FootnoteReference"/>
          <w:rFonts w:eastAsia="Calibri"/>
        </w:rPr>
        <w:footnoteReference w:id="102"/>
      </w:r>
      <w:r w:rsidRPr="00AD3EEC">
        <w:rPr>
          <w:rFonts w:eastAsia="Calibri"/>
          <w:snapToGrid/>
        </w:rPr>
        <w:t xml:space="preserve">  Currently, </w:t>
      </w:r>
      <w:r>
        <w:rPr>
          <w:rFonts w:eastAsia="Calibri"/>
          <w:snapToGrid/>
        </w:rPr>
        <w:t xml:space="preserve">the </w:t>
      </w:r>
      <w:r w:rsidRPr="00AD3EEC">
        <w:rPr>
          <w:rFonts w:eastAsia="Calibri"/>
          <w:snapToGrid/>
        </w:rPr>
        <w:t>Commission’s rules state that this measurement begins from the time a call reaches facilities operated by the provider.</w:t>
      </w:r>
      <w:r w:rsidRPr="00C939E2">
        <w:rPr>
          <w:rStyle w:val="FootnoteReference"/>
          <w:rFonts w:eastAsia="Calibri"/>
        </w:rPr>
        <w:footnoteReference w:id="103"/>
      </w:r>
      <w:r w:rsidRPr="00AD3EEC">
        <w:rPr>
          <w:rFonts w:eastAsia="Calibri"/>
          <w:snapToGrid/>
        </w:rPr>
        <w:t xml:space="preserve">  By way of background, in the </w:t>
      </w:r>
      <w:r w:rsidRPr="00AD3EEC">
        <w:rPr>
          <w:rFonts w:eastAsia="Calibri"/>
          <w:i/>
          <w:snapToGrid/>
        </w:rPr>
        <w:t xml:space="preserve">2005 VRS Speed-of-Answer Order, </w:t>
      </w:r>
      <w:r w:rsidRPr="00AD3EEC">
        <w:rPr>
          <w:rFonts w:eastAsia="Calibri"/>
          <w:snapToGrid/>
        </w:rPr>
        <w:t>the Commission explained that a “call is ‘answered’ when either a CA or an automated system responds to the incoming call and begins taking instructions from the calling party about the outbound call the calling party wishes to make.”</w:t>
      </w:r>
      <w:r w:rsidRPr="00C939E2">
        <w:rPr>
          <w:rStyle w:val="FootnoteReference"/>
          <w:rFonts w:eastAsia="Calibri"/>
        </w:rPr>
        <w:footnoteReference w:id="104"/>
      </w:r>
      <w:r w:rsidRPr="00AD3EEC">
        <w:rPr>
          <w:rFonts w:eastAsia="Calibri"/>
          <w:snapToGrid/>
        </w:rPr>
        <w:t xml:space="preserve">  The </w:t>
      </w:r>
      <w:r w:rsidRPr="00AD3EEC">
        <w:rPr>
          <w:rFonts w:eastAsia="Calibri"/>
          <w:i/>
          <w:snapToGrid/>
        </w:rPr>
        <w:t xml:space="preserve">2015 VRS FNPRM </w:t>
      </w:r>
      <w:r w:rsidRPr="00AD3EEC">
        <w:rPr>
          <w:rFonts w:eastAsia="Calibri"/>
          <w:snapToGrid/>
        </w:rPr>
        <w:t>proposed to amend this rule to harmonize the VRS speed-of-answer calculation with the rule for other forms of TRS, namely, to define when a call is “answered” in terms of any answering method that results in “the caller’s call immediately being placed, not put in a queue or on hold.”</w:t>
      </w:r>
      <w:r w:rsidRPr="00C939E2">
        <w:rPr>
          <w:rStyle w:val="FootnoteReference"/>
          <w:rFonts w:eastAsia="Calibri"/>
        </w:rPr>
        <w:footnoteReference w:id="105"/>
      </w:r>
      <w:r w:rsidRPr="00AD3EEC">
        <w:rPr>
          <w:rFonts w:eastAsia="Calibri"/>
          <w:snapToGrid/>
        </w:rPr>
        <w:t xml:space="preserve">  Alternatively, the Commission asked whether it would be appropriate to adopt a more specific proposal put forth by the DAC, which would base this measurement on when the </w:t>
      </w:r>
      <w:r>
        <w:rPr>
          <w:rFonts w:eastAsia="Calibri"/>
          <w:snapToGrid/>
        </w:rPr>
        <w:t>caller is connected to a CA</w:t>
      </w:r>
      <w:r w:rsidRPr="00AD3EEC">
        <w:rPr>
          <w:rFonts w:eastAsia="Calibri"/>
          <w:snapToGrid/>
        </w:rPr>
        <w:t xml:space="preserve"> and would not allow responses by interactive voice response (IVR) systems to count as answers for speed-of-answer purposes.</w:t>
      </w:r>
      <w:r w:rsidRPr="00C939E2">
        <w:rPr>
          <w:rStyle w:val="FootnoteReference"/>
          <w:rFonts w:eastAsia="Calibri"/>
        </w:rPr>
        <w:footnoteReference w:id="106"/>
      </w:r>
      <w:r w:rsidRPr="00AD3EEC">
        <w:rPr>
          <w:rFonts w:eastAsia="Calibri"/>
          <w:snapToGrid/>
        </w:rPr>
        <w:t xml:space="preserve">  </w:t>
      </w:r>
    </w:p>
    <w:p w:rsidR="00134604" w:rsidRPr="00AD3EEC" w:rsidRDefault="00134604" w:rsidP="00134604">
      <w:pPr>
        <w:pStyle w:val="ParaNum"/>
        <w:widowControl/>
        <w:rPr>
          <w:rFonts w:eastAsia="Calibri"/>
          <w:snapToGrid/>
        </w:rPr>
      </w:pPr>
      <w:r w:rsidRPr="00AD3EEC">
        <w:rPr>
          <w:rFonts w:eastAsia="Calibri"/>
          <w:snapToGrid/>
        </w:rPr>
        <w:t>Commenters generally agree with the DAC proposal.</w:t>
      </w:r>
      <w:r w:rsidRPr="00C939E2">
        <w:rPr>
          <w:rStyle w:val="FootnoteReference"/>
          <w:rFonts w:eastAsia="Calibri"/>
        </w:rPr>
        <w:footnoteReference w:id="107"/>
      </w:r>
      <w:r w:rsidRPr="00AD3EEC">
        <w:rPr>
          <w:rFonts w:eastAsia="Calibri"/>
          <w:snapToGrid/>
        </w:rPr>
        <w:t xml:space="preserve">  As noted in the </w:t>
      </w:r>
      <w:r w:rsidRPr="00AD3EEC">
        <w:rPr>
          <w:rFonts w:eastAsia="Calibri"/>
          <w:i/>
          <w:snapToGrid/>
        </w:rPr>
        <w:t>2015 VRS FNPRM</w:t>
      </w:r>
      <w:r w:rsidRPr="00AD3EEC">
        <w:rPr>
          <w:rFonts w:eastAsia="Calibri"/>
          <w:snapToGrid/>
        </w:rPr>
        <w:t xml:space="preserve"> and the </w:t>
      </w:r>
      <w:r w:rsidRPr="00AD3EEC">
        <w:rPr>
          <w:rFonts w:eastAsia="Calibri"/>
          <w:i/>
          <w:snapToGrid/>
        </w:rPr>
        <w:t>2013 VRS Reform FNPRM</w:t>
      </w:r>
      <w:r w:rsidRPr="00AD3EEC">
        <w:rPr>
          <w:rFonts w:eastAsia="Calibri"/>
          <w:snapToGrid/>
        </w:rPr>
        <w:t>, VRS users are now able to directly dial their destination number without intervention by a CA.</w:t>
      </w:r>
      <w:r w:rsidRPr="00C939E2">
        <w:rPr>
          <w:rStyle w:val="FootnoteReference"/>
          <w:rFonts w:eastAsia="Calibri"/>
        </w:rPr>
        <w:footnoteReference w:id="108"/>
      </w:r>
      <w:r w:rsidRPr="00AD3EEC">
        <w:rPr>
          <w:rFonts w:eastAsia="Calibri"/>
          <w:snapToGrid/>
        </w:rPr>
        <w:t xml:space="preserve">  Given this modernized feature, which aligns the way that VRS calls are placed with TRS calls, and given record support for the approach recommended by the DAC, we amend our rules to </w:t>
      </w:r>
      <w:r>
        <w:rPr>
          <w:rFonts w:eastAsia="Calibri"/>
          <w:snapToGrid/>
        </w:rPr>
        <w:t>define when VRS calls are “answered” for the purpose of</w:t>
      </w:r>
      <w:r w:rsidRPr="00AD3EEC">
        <w:rPr>
          <w:rFonts w:eastAsia="Calibri"/>
          <w:snapToGrid/>
        </w:rPr>
        <w:t xml:space="preserve"> the speed-of-answer measurement </w:t>
      </w:r>
      <w:r>
        <w:rPr>
          <w:rFonts w:eastAsia="Calibri"/>
          <w:snapToGrid/>
        </w:rPr>
        <w:t>as</w:t>
      </w:r>
      <w:r w:rsidRPr="00AD3EEC">
        <w:rPr>
          <w:rFonts w:eastAsia="Calibri"/>
          <w:snapToGrid/>
        </w:rPr>
        <w:t xml:space="preserve"> when </w:t>
      </w:r>
      <w:r>
        <w:rPr>
          <w:rFonts w:eastAsia="Calibri"/>
          <w:snapToGrid/>
        </w:rPr>
        <w:t xml:space="preserve">a call is </w:t>
      </w:r>
      <w:r w:rsidRPr="00AD3EEC">
        <w:rPr>
          <w:rFonts w:eastAsia="Calibri"/>
          <w:snapToGrid/>
        </w:rPr>
        <w:t>answered by a CA</w:t>
      </w:r>
      <w:r>
        <w:rPr>
          <w:rFonts w:eastAsia="Calibri"/>
          <w:snapToGrid/>
        </w:rPr>
        <w:t>—</w:t>
      </w:r>
      <w:r w:rsidRPr="00AD3EEC">
        <w:rPr>
          <w:rFonts w:eastAsia="Calibri"/>
          <w:snapToGrid/>
        </w:rPr>
        <w:t xml:space="preserve">i.e., not when </w:t>
      </w:r>
      <w:r>
        <w:rPr>
          <w:rFonts w:eastAsia="Calibri"/>
          <w:snapToGrid/>
        </w:rPr>
        <w:t>it is</w:t>
      </w:r>
      <w:r w:rsidRPr="00AD3EEC">
        <w:rPr>
          <w:rFonts w:eastAsia="Calibri"/>
          <w:snapToGrid/>
        </w:rPr>
        <w:t xml:space="preserve"> put on hold, placed in a queue, or connected to an IVR system.</w:t>
      </w:r>
      <w:r w:rsidRPr="00C939E2">
        <w:rPr>
          <w:rStyle w:val="FootnoteReference"/>
          <w:rFonts w:eastAsia="Calibri"/>
        </w:rPr>
        <w:footnoteReference w:id="109"/>
      </w:r>
      <w:r w:rsidRPr="00AD3EEC">
        <w:rPr>
          <w:rFonts w:eastAsia="Calibri"/>
          <w:snapToGrid/>
        </w:rPr>
        <w:t xml:space="preserve">  </w:t>
      </w:r>
    </w:p>
    <w:p w:rsidR="00134604" w:rsidRPr="00AD3EEC" w:rsidRDefault="00134604" w:rsidP="00134604">
      <w:pPr>
        <w:pStyle w:val="ParaNum"/>
        <w:widowControl/>
        <w:rPr>
          <w:rFonts w:eastAsia="Calibri"/>
          <w:snapToGrid/>
        </w:rPr>
      </w:pPr>
      <w:r w:rsidRPr="00AD3EEC">
        <w:rPr>
          <w:rFonts w:eastAsia="Calibri"/>
          <w:i/>
          <w:snapToGrid/>
        </w:rPr>
        <w:t>Exigent Circumstances</w:t>
      </w:r>
      <w:r w:rsidRPr="00AD3EEC">
        <w:rPr>
          <w:rFonts w:eastAsia="Calibri"/>
          <w:snapToGrid/>
        </w:rPr>
        <w:t xml:space="preserve">.  Finally, in the </w:t>
      </w:r>
      <w:r w:rsidRPr="00AD3EEC">
        <w:rPr>
          <w:rFonts w:eastAsia="Calibri"/>
          <w:i/>
          <w:snapToGrid/>
        </w:rPr>
        <w:t>2015 VRS FNPRM</w:t>
      </w:r>
      <w:r w:rsidRPr="00AD3EEC">
        <w:rPr>
          <w:rFonts w:eastAsia="Calibri"/>
          <w:snapToGrid/>
        </w:rPr>
        <w:t>, we reported on a request by providers for the Commission to adopt a self-executing exemption from the speed-of-answer standard (i.e., one that can be effective without prior Commission approval in each instance) for calls occurring as a result of specific extraordinary events beyond a provider’s control.</w:t>
      </w:r>
      <w:r w:rsidRPr="00C939E2">
        <w:rPr>
          <w:rStyle w:val="FootnoteReference"/>
          <w:rFonts w:eastAsia="Calibri"/>
        </w:rPr>
        <w:footnoteReference w:id="110"/>
      </w:r>
      <w:r w:rsidRPr="00AD3EEC">
        <w:rPr>
          <w:rFonts w:eastAsia="Calibri"/>
          <w:snapToGrid/>
        </w:rPr>
        <w:t xml:space="preserve">  We decline to adopt this exemption.  We remind providers that the Commission’s mandatory minimum standards require all TRS providers to have “redundancy features functionally equivalent to the equipment in normal central offices, including uninterruptable power for emergency use.”</w:t>
      </w:r>
      <w:r w:rsidRPr="00C939E2">
        <w:rPr>
          <w:rStyle w:val="FootnoteReference"/>
          <w:rFonts w:eastAsia="Calibri"/>
        </w:rPr>
        <w:footnoteReference w:id="111"/>
      </w:r>
      <w:r w:rsidRPr="00AD3EEC">
        <w:rPr>
          <w:rFonts w:eastAsia="Calibri"/>
          <w:snapToGrid/>
        </w:rPr>
        <w:t xml:space="preserve">  However, we also recognize that at times, there may be exigent circumstances that affect either multiple centers at the same time, or a single center in such an extraordinary way that meeting the speed of answer becomes extremely difficult or impossible, and warrant some flexibility by the Commission.  Should this occur, providers may bring such circumstances to the attention of </w:t>
      </w:r>
      <w:r>
        <w:rPr>
          <w:rFonts w:eastAsia="Calibri"/>
          <w:snapToGrid/>
        </w:rPr>
        <w:t>the Commission</w:t>
      </w:r>
      <w:r w:rsidRPr="00AD3EEC">
        <w:rPr>
          <w:rFonts w:eastAsia="Calibri"/>
          <w:snapToGrid/>
        </w:rPr>
        <w:t xml:space="preserve"> in the form of a waiver request, which shall be reviewed on its merits on a case-by-case basis.</w:t>
      </w:r>
      <w:r w:rsidRPr="00C939E2">
        <w:rPr>
          <w:rStyle w:val="FootnoteReference"/>
          <w:rFonts w:eastAsia="Calibri"/>
        </w:rPr>
        <w:footnoteReference w:id="112"/>
      </w:r>
      <w:r w:rsidRPr="00AD3EEC">
        <w:rPr>
          <w:rFonts w:eastAsia="Calibri"/>
          <w:snapToGrid/>
        </w:rPr>
        <w:t xml:space="preserve">  </w:t>
      </w:r>
      <w:r>
        <w:rPr>
          <w:rFonts w:eastAsia="Calibri"/>
          <w:snapToGrid/>
        </w:rPr>
        <w:t xml:space="preserve">The waiver request shall include a description of the nature of the exigent circumstances, a discussion of what the provider is doing to mitigate the effects of such circumstances, and the average speed-of-answer calculations for the period covered by the waiver request.  </w:t>
      </w:r>
      <w:r w:rsidRPr="00AD3EEC">
        <w:rPr>
          <w:rFonts w:eastAsia="Calibri"/>
          <w:snapToGrid/>
        </w:rPr>
        <w:t>To ensure that any delay in addressing such requests does not unnecessarily disrupt the provision of compensation, we amend our rules to instruct the TRS Fund administrator not to withhold payment pending review of such waiver requests.</w:t>
      </w:r>
      <w:r w:rsidRPr="00C939E2">
        <w:rPr>
          <w:rStyle w:val="FootnoteReference"/>
          <w:rFonts w:eastAsia="Calibri"/>
        </w:rPr>
        <w:footnoteReference w:id="113"/>
      </w:r>
    </w:p>
    <w:p w:rsidR="00134604" w:rsidRPr="00AD3EEC" w:rsidRDefault="00134604" w:rsidP="00134604">
      <w:pPr>
        <w:pStyle w:val="Heading2"/>
      </w:pPr>
      <w:bookmarkStart w:id="101" w:name="_Toc475724111"/>
      <w:bookmarkStart w:id="102" w:name="_Toc475724304"/>
      <w:bookmarkStart w:id="103" w:name="_Toc475724451"/>
      <w:bookmarkStart w:id="104" w:name="_Toc475724781"/>
      <w:bookmarkStart w:id="105" w:name="_Toc476077811"/>
      <w:bookmarkStart w:id="106" w:name="_Toc477963666"/>
      <w:bookmarkStart w:id="107" w:name="_Toc474858608"/>
      <w:bookmarkStart w:id="108" w:name="_Toc474859318"/>
      <w:bookmarkStart w:id="109" w:name="_Toc474860047"/>
      <w:bookmarkStart w:id="110" w:name="_Toc474860224"/>
      <w:bookmarkStart w:id="111" w:name="_Toc474860344"/>
      <w:bookmarkStart w:id="112" w:name="_Toc474860530"/>
      <w:bookmarkStart w:id="113" w:name="_Toc474860596"/>
      <w:bookmarkStart w:id="114" w:name="_Toc474860739"/>
      <w:bookmarkStart w:id="115" w:name="_Toc474946527"/>
      <w:r>
        <w:t>iTRS</w:t>
      </w:r>
      <w:r w:rsidRPr="00AD3EEC">
        <w:t xml:space="preserve"> Numbers for Hearing People</w:t>
      </w:r>
      <w:bookmarkEnd w:id="101"/>
      <w:bookmarkEnd w:id="102"/>
      <w:bookmarkEnd w:id="103"/>
      <w:bookmarkEnd w:id="104"/>
      <w:bookmarkEnd w:id="105"/>
      <w:bookmarkEnd w:id="106"/>
      <w:r>
        <w:t xml:space="preserve"> </w:t>
      </w:r>
      <w:bookmarkEnd w:id="107"/>
      <w:bookmarkEnd w:id="108"/>
      <w:bookmarkEnd w:id="109"/>
      <w:bookmarkEnd w:id="110"/>
      <w:bookmarkEnd w:id="111"/>
      <w:bookmarkEnd w:id="112"/>
      <w:bookmarkEnd w:id="113"/>
      <w:bookmarkEnd w:id="114"/>
      <w:bookmarkEnd w:id="115"/>
    </w:p>
    <w:p w:rsidR="00134604" w:rsidRDefault="00134604" w:rsidP="00134604">
      <w:pPr>
        <w:pStyle w:val="ParaNum"/>
        <w:widowControl/>
      </w:pPr>
      <w:r>
        <w:t xml:space="preserve">In 2013 and again in 2015, the Commission sought comment on </w:t>
      </w:r>
      <w:r w:rsidRPr="00FB3528">
        <w:t>allow</w:t>
      </w:r>
      <w:r>
        <w:t>ing</w:t>
      </w:r>
      <w:r w:rsidRPr="00FB3528">
        <w:t xml:space="preserve"> VRS providers to assign ten-digit</w:t>
      </w:r>
      <w:r>
        <w:t xml:space="preserve"> telephone </w:t>
      </w:r>
      <w:r w:rsidRPr="00FB3528">
        <w:t>numbers</w:t>
      </w:r>
      <w:r>
        <w:t xml:space="preserve"> associated with the iTRS database (iTRS numbers) </w:t>
      </w:r>
      <w:r w:rsidRPr="00FB3528">
        <w:t>to hearing individuals</w:t>
      </w:r>
      <w:r>
        <w:t xml:space="preserve"> for the purpose of point-to-point ASL video communication with registered VRS users and to enter these numbers in the TRS Numbering Directory.</w:t>
      </w:r>
      <w:r>
        <w:rPr>
          <w:rStyle w:val="FootnoteReference"/>
        </w:rPr>
        <w:footnoteReference w:id="114"/>
      </w:r>
      <w:r>
        <w:t xml:space="preserve">  The </w:t>
      </w:r>
      <w:r w:rsidRPr="00FB3528">
        <w:t xml:space="preserve">Commission </w:t>
      </w:r>
      <w:r>
        <w:t>previously has authorized the use of iTRS numbers for point-to-point video service between registered VRS users</w:t>
      </w:r>
      <w:r w:rsidRPr="00FB3528">
        <w:t>.</w:t>
      </w:r>
      <w:r w:rsidRPr="00A604A0">
        <w:rPr>
          <w:rStyle w:val="FootnoteReference"/>
        </w:rPr>
        <w:footnoteReference w:id="115"/>
      </w:r>
      <w:r w:rsidRPr="00FB3528">
        <w:t xml:space="preserve">  </w:t>
      </w:r>
      <w:r>
        <w:t xml:space="preserve">This new feature similarly would enable hearing persons who know ASL to communicate </w:t>
      </w:r>
      <w:r w:rsidRPr="00FB3528">
        <w:t>direct</w:t>
      </w:r>
      <w:r>
        <w:t>ly</w:t>
      </w:r>
      <w:r w:rsidRPr="00FB3528">
        <w:t xml:space="preserve"> (</w:t>
      </w:r>
      <w:r>
        <w:t xml:space="preserve">via </w:t>
      </w:r>
      <w:r w:rsidRPr="00FB3528">
        <w:t>point-to-point</w:t>
      </w:r>
      <w:r>
        <w:t xml:space="preserve"> video</w:t>
      </w:r>
      <w:r w:rsidRPr="00FB3528">
        <w:t xml:space="preserve">) </w:t>
      </w:r>
      <w:r>
        <w:t>with ASL users with disabilities, eliminating the need to use VRS for such calls.  Among other things, the Commission sought comment on the benefits and costs of assigning iTRS numbers to hearing individuals, cost recovery, and the prevention of waste, fraud, and abuse</w:t>
      </w:r>
      <w:r w:rsidRPr="00FB3528">
        <w:t>.</w:t>
      </w:r>
      <w:r>
        <w:rPr>
          <w:rStyle w:val="FootnoteReference"/>
        </w:rPr>
        <w:footnoteReference w:id="116"/>
      </w:r>
      <w:r>
        <w:t xml:space="preserve">  </w:t>
      </w:r>
    </w:p>
    <w:p w:rsidR="00134604" w:rsidRDefault="00134604" w:rsidP="00134604">
      <w:pPr>
        <w:pStyle w:val="ParaNum"/>
        <w:widowControl/>
      </w:pPr>
      <w:r>
        <w:t>At present, only individuals who have a hearing or speech disability and are registered VRS users can obtain an iTRS number.</w:t>
      </w:r>
      <w:r>
        <w:rPr>
          <w:rStyle w:val="FootnoteReference"/>
        </w:rPr>
        <w:footnoteReference w:id="117"/>
      </w:r>
      <w:r>
        <w:t xml:space="preserve">  While such users may converse directly with ASL-fluent hearing individuals over non-VRS video conferencing services, such as FaceTime or Skype, these services do not offer their callers the ease of ten-digit dialing.  Consequently, VRS remains the only means by which ASL communication via ten-digit dialing can occur between hearing persons and registered VRS users.</w:t>
      </w:r>
    </w:p>
    <w:p w:rsidR="00134604" w:rsidRPr="00FB3528" w:rsidRDefault="00134604" w:rsidP="00134604">
      <w:pPr>
        <w:pStyle w:val="ParaNum"/>
        <w:widowControl/>
      </w:pPr>
      <w:r>
        <w:t>Commenters unanimously support closing this gap and allowing the assignment of iTRS numbers to hearing individuals as a means of enhancing functional equivalency.</w:t>
      </w:r>
      <w:r>
        <w:rPr>
          <w:rStyle w:val="FootnoteReference"/>
        </w:rPr>
        <w:footnoteReference w:id="118"/>
      </w:r>
      <w:r>
        <w:t xml:space="preserve">  For example, the Registry of Interpreters for the Deaf (RID) points out that most interpreters have strong ties to the deaf community, and that allowing these ASL-fluent individuals to connect directly with their partners, colleagues, and friends would be far superior to requiring such individuals to communicate indirectly through a relay service.</w:t>
      </w:r>
      <w:r>
        <w:rPr>
          <w:rStyle w:val="FootnoteReference"/>
        </w:rPr>
        <w:footnoteReference w:id="119"/>
      </w:r>
      <w:r>
        <w:t xml:space="preserve">  We agree with commenters who state </w:t>
      </w:r>
      <w:r w:rsidRPr="00FB3528">
        <w:t xml:space="preserve">that enabling </w:t>
      </w:r>
      <w:r>
        <w:t xml:space="preserve">registered </w:t>
      </w:r>
      <w:r w:rsidRPr="00FB3528">
        <w:t>VRS users</w:t>
      </w:r>
      <w:r>
        <w:t xml:space="preserve"> </w:t>
      </w:r>
      <w:r w:rsidRPr="00FB3528">
        <w:t xml:space="preserve">to communicate directly with hearing individuals who can sign not only </w:t>
      </w:r>
      <w:r>
        <w:t>will conserve the resources of</w:t>
      </w:r>
      <w:r w:rsidRPr="00FB3528">
        <w:t xml:space="preserve"> the TRS Fund but </w:t>
      </w:r>
      <w:r>
        <w:t xml:space="preserve">also </w:t>
      </w:r>
      <w:r w:rsidRPr="00FB3528">
        <w:t xml:space="preserve">will </w:t>
      </w:r>
      <w:r>
        <w:t>allow</w:t>
      </w:r>
      <w:r w:rsidRPr="00FB3528">
        <w:t xml:space="preserve"> </w:t>
      </w:r>
      <w:r>
        <w:t>“</w:t>
      </w:r>
      <w:r w:rsidRPr="00FB3528">
        <w:t xml:space="preserve">more natural, efficient, and effective </w:t>
      </w:r>
      <w:r>
        <w:t xml:space="preserve">communication” between </w:t>
      </w:r>
      <w:r w:rsidRPr="00FB3528">
        <w:t>the deaf and hearing communities.</w:t>
      </w:r>
      <w:r w:rsidRPr="00C939E2">
        <w:rPr>
          <w:rStyle w:val="FootnoteReference"/>
        </w:rPr>
        <w:footnoteReference w:id="120"/>
      </w:r>
      <w:r>
        <w:t xml:space="preserve">  Accordingly, we amend the TRS rules to permit VRS </w:t>
      </w:r>
      <w:r w:rsidRPr="00FB3528">
        <w:t xml:space="preserve">providers to </w:t>
      </w:r>
      <w:r>
        <w:t>assign iTRS numbers</w:t>
      </w:r>
      <w:r w:rsidRPr="00FB3528">
        <w:t xml:space="preserve"> </w:t>
      </w:r>
      <w:r>
        <w:t xml:space="preserve">to </w:t>
      </w:r>
      <w:r w:rsidRPr="00FB3528">
        <w:t>hearing individuals</w:t>
      </w:r>
      <w:r>
        <w:t xml:space="preserve"> upon their request, in accordance with the rules adopted herein.</w:t>
      </w:r>
      <w:r>
        <w:rPr>
          <w:rStyle w:val="FootnoteReference"/>
        </w:rPr>
        <w:footnoteReference w:id="121"/>
      </w:r>
      <w:r w:rsidRPr="00FB3528">
        <w:t xml:space="preserve">  </w:t>
      </w:r>
      <w:r>
        <w:t>VRS providers shall allow such iTRS numbers to be used only for point-to-point video communications and shall not allow them to be used to place or receive VRS calls.  Accordingly, it will not be permissible for these numbers to be used for the purpose of contacting 911 services.</w:t>
      </w:r>
      <w:r>
        <w:rPr>
          <w:rStyle w:val="FootnoteReference"/>
        </w:rPr>
        <w:footnoteReference w:id="122"/>
      </w:r>
      <w:r>
        <w:t xml:space="preserve">  In order to ensure that there is no such expectation by iTRS number recipients who are hearing, we direct providers who distribute such numbers to provide a clear warning about this limitation.  We further add this limitation to the certification that must be signed by all hearing iTRS number recipients below. </w:t>
      </w:r>
    </w:p>
    <w:p w:rsidR="00134604" w:rsidRPr="00FB3528" w:rsidRDefault="00134604" w:rsidP="00134604">
      <w:pPr>
        <w:pStyle w:val="ParaNum"/>
        <w:widowControl/>
      </w:pPr>
      <w:r>
        <w:t xml:space="preserve">Because we are only permitting, and do not require, VRS providers to assign iTRS numbers to hearing individuals, and because such numbers may not be used to access TRS, we will not permit any costs associated with such number assignment to be included as allowable costs in provider cost data submissions to the TRS Fund administrator at this time.  Thus, in VRS providers’ annual cost submissions, any incremental costs for </w:t>
      </w:r>
      <w:r w:rsidRPr="00FB3528">
        <w:t>number assignment, back</w:t>
      </w:r>
      <w:r>
        <w:t>-</w:t>
      </w:r>
      <w:r w:rsidRPr="00FB3528">
        <w:t>office services, and the like</w:t>
      </w:r>
      <w:r>
        <w:t xml:space="preserve"> associated with providing iTRS numbers and connectivity to hearing individuals shall</w:t>
      </w:r>
      <w:r w:rsidRPr="00FB3528">
        <w:t xml:space="preserve"> be </w:t>
      </w:r>
      <w:r>
        <w:t>separated from any allowable costs associated</w:t>
      </w:r>
      <w:r w:rsidRPr="00FB3528">
        <w:t xml:space="preserve"> with number assignment and point-to-point communications for </w:t>
      </w:r>
      <w:r>
        <w:t xml:space="preserve">registered </w:t>
      </w:r>
      <w:r w:rsidRPr="00FB3528">
        <w:t>VRS users</w:t>
      </w:r>
      <w:r>
        <w:t>.</w:t>
      </w:r>
      <w:r w:rsidRPr="00C939E2">
        <w:rPr>
          <w:rStyle w:val="FootnoteReference"/>
        </w:rPr>
        <w:footnoteReference w:id="123"/>
      </w:r>
      <w:r>
        <w:t xml:space="preserve">  </w:t>
      </w:r>
      <w:r w:rsidRPr="00C238C9">
        <w:t xml:space="preserve">Such costs may be recovered from the individuals to whom such numbers are assigned.  </w:t>
      </w:r>
      <w:r>
        <w:t>Although some providers assert that ten-digit numbering assignments to hearing people will result in additional costs,</w:t>
      </w:r>
      <w:r>
        <w:rPr>
          <w:rStyle w:val="FootnoteReference"/>
        </w:rPr>
        <w:footnoteReference w:id="124"/>
      </w:r>
      <w:r>
        <w:t xml:space="preserve"> the record provides no reason to doubt that such costs are sufficiently addressed by allowing their recovery in the same manner as analogous costs for number assignment to registered VRS users.</w:t>
      </w:r>
      <w:r>
        <w:rPr>
          <w:rStyle w:val="FootnoteReference"/>
        </w:rPr>
        <w:footnoteReference w:id="125"/>
      </w:r>
    </w:p>
    <w:p w:rsidR="00134604" w:rsidRDefault="00134604" w:rsidP="00134604">
      <w:pPr>
        <w:pStyle w:val="ParaNum"/>
        <w:widowControl/>
      </w:pPr>
      <w:r>
        <w:t>To aid in the p</w:t>
      </w:r>
      <w:r w:rsidRPr="0038644E">
        <w:t xml:space="preserve">revention of </w:t>
      </w:r>
      <w:r>
        <w:t xml:space="preserve">waste, fraud, </w:t>
      </w:r>
      <w:r w:rsidRPr="0038644E">
        <w:t>and abuse</w:t>
      </w:r>
      <w:r>
        <w:t xml:space="preserve">, and to ensure that only residents of the United States have access to point-to-point service via iTRS numbers, we require that VRS providers obtain from each hearing applicant seeking an iTRS number the individual’s full name, residential address, birth date, and a signed self-certification that: </w:t>
      </w:r>
    </w:p>
    <w:p w:rsidR="00134604" w:rsidRDefault="00134604" w:rsidP="00134604">
      <w:pPr>
        <w:pStyle w:val="ParaNum"/>
        <w:widowControl/>
        <w:numPr>
          <w:ilvl w:val="0"/>
          <w:numId w:val="10"/>
        </w:numPr>
      </w:pPr>
      <w:r>
        <w:t>The individual is proficient in sign language;</w:t>
      </w:r>
    </w:p>
    <w:p w:rsidR="00134604" w:rsidRDefault="00134604" w:rsidP="00134604">
      <w:pPr>
        <w:pStyle w:val="ParaNum"/>
        <w:widowControl/>
        <w:numPr>
          <w:ilvl w:val="0"/>
          <w:numId w:val="10"/>
        </w:numPr>
      </w:pPr>
      <w:r>
        <w:t>The individual understands that the iTRS number may only be used for the sole purpose of communicating—via point-to-point—over distances with registered VRS users;</w:t>
      </w:r>
    </w:p>
    <w:p w:rsidR="00134604" w:rsidRDefault="00134604" w:rsidP="00134604">
      <w:pPr>
        <w:pStyle w:val="ParaNum"/>
        <w:widowControl/>
        <w:numPr>
          <w:ilvl w:val="0"/>
          <w:numId w:val="10"/>
        </w:numPr>
      </w:pPr>
      <w:r>
        <w:t>The individual understands that such iTRS number may not be used to access VRS; and</w:t>
      </w:r>
    </w:p>
    <w:p w:rsidR="00134604" w:rsidRDefault="00134604" w:rsidP="00134604">
      <w:pPr>
        <w:pStyle w:val="ParaNum"/>
        <w:widowControl/>
        <w:numPr>
          <w:ilvl w:val="0"/>
          <w:numId w:val="10"/>
        </w:numPr>
      </w:pPr>
      <w:r>
        <w:t>The individual understands that calls to 911 are not supported by such iTRS number.</w:t>
      </w:r>
      <w:r>
        <w:rPr>
          <w:rStyle w:val="FootnoteReference"/>
        </w:rPr>
        <w:footnoteReference w:id="126"/>
      </w:r>
    </w:p>
    <w:p w:rsidR="00134604" w:rsidRDefault="00134604" w:rsidP="00134604">
      <w:pPr>
        <w:pStyle w:val="ParaNum"/>
        <w:numPr>
          <w:ilvl w:val="0"/>
          <w:numId w:val="0"/>
        </w:numPr>
      </w:pPr>
      <w:r>
        <w:t>We believe that the above requirements will help to ensure that hearing individuals receiving iTRS numbers understand the purpose of these numbers and the limits on their use.  Several providers support such requirements as a means of achieving these objectives.</w:t>
      </w:r>
      <w:r>
        <w:rPr>
          <w:rStyle w:val="FootnoteReference"/>
        </w:rPr>
        <w:footnoteReference w:id="127"/>
      </w:r>
      <w:r>
        <w:t xml:space="preserve">  </w:t>
      </w:r>
    </w:p>
    <w:p w:rsidR="00134604" w:rsidRDefault="00134604" w:rsidP="00134604">
      <w:pPr>
        <w:pStyle w:val="ParaNum"/>
        <w:widowControl/>
      </w:pPr>
      <w:r>
        <w:t xml:space="preserve">In addition to transmitting the above information, we require each VRS provider to deliver the following to the TRS-URD administrator: </w:t>
      </w:r>
    </w:p>
    <w:p w:rsidR="00134604" w:rsidRDefault="00134604" w:rsidP="00134604">
      <w:pPr>
        <w:pStyle w:val="ParaNum"/>
        <w:widowControl/>
        <w:numPr>
          <w:ilvl w:val="0"/>
          <w:numId w:val="12"/>
        </w:numPr>
      </w:pPr>
      <w:r>
        <w:t>Each iTRS number assigned in the TRS Numbering Directory to a hearing person;</w:t>
      </w:r>
    </w:p>
    <w:p w:rsidR="00134604" w:rsidRDefault="00134604" w:rsidP="00134604">
      <w:pPr>
        <w:pStyle w:val="ParaNum"/>
        <w:widowControl/>
        <w:numPr>
          <w:ilvl w:val="0"/>
          <w:numId w:val="11"/>
        </w:numPr>
      </w:pPr>
      <w:r>
        <w:t>The VRS provider’s name and dates of service initiation and termination (as applicable); and</w:t>
      </w:r>
    </w:p>
    <w:p w:rsidR="00134604" w:rsidRDefault="00134604" w:rsidP="00134604">
      <w:pPr>
        <w:pStyle w:val="ParaNum"/>
        <w:widowControl/>
        <w:numPr>
          <w:ilvl w:val="0"/>
          <w:numId w:val="11"/>
        </w:numPr>
      </w:pPr>
      <w:r>
        <w:t>The date on which an iTRS number was assigned to or removed from a hearing person.</w:t>
      </w:r>
    </w:p>
    <w:p w:rsidR="00134604" w:rsidRDefault="00134604" w:rsidP="00134604">
      <w:pPr>
        <w:pStyle w:val="ParaNum"/>
        <w:widowControl/>
      </w:pPr>
      <w:r>
        <w:t xml:space="preserve">Finally, to ensure that restrictions on the use of these numbers can be implemented and enforced, we require each </w:t>
      </w:r>
      <w:r w:rsidRPr="00FB3528">
        <w:t xml:space="preserve">default provider </w:t>
      </w:r>
      <w:r>
        <w:t xml:space="preserve">distributing an iTRS number to a hearing individual to </w:t>
      </w:r>
      <w:r w:rsidRPr="00FB3528">
        <w:t xml:space="preserve">notify </w:t>
      </w:r>
      <w:r>
        <w:t xml:space="preserve">both </w:t>
      </w:r>
      <w:r w:rsidRPr="00FB3528">
        <w:t xml:space="preserve">the TRS Numbering Directory and </w:t>
      </w:r>
      <w:r>
        <w:t xml:space="preserve">the </w:t>
      </w:r>
      <w:r w:rsidRPr="00FB3528">
        <w:t xml:space="preserve">TRS-URD that the </w:t>
      </w:r>
      <w:r>
        <w:t>individual</w:t>
      </w:r>
      <w:r w:rsidRPr="00FB3528">
        <w:t xml:space="preserve"> </w:t>
      </w:r>
      <w:r>
        <w:t xml:space="preserve">is </w:t>
      </w:r>
      <w:r w:rsidRPr="00FB3528">
        <w:t>a hearing person</w:t>
      </w:r>
      <w:r>
        <w:t xml:space="preserve"> who is not entitled to place or receive VRS calls.</w:t>
      </w:r>
      <w:r w:rsidRPr="00A604A0">
        <w:rPr>
          <w:rStyle w:val="FootnoteReference"/>
        </w:rPr>
        <w:footnoteReference w:id="128"/>
      </w:r>
      <w:r>
        <w:t xml:space="preserve">  Such numbers shall be coded in the TRS-URD and TRS Numbering Directory as restricted numbers that may only be used for point-to-point calls.  VRS providers are prohibited from seeking compensation for any call involving an iTRS number assigned to a hearing individual.  </w:t>
      </w:r>
    </w:p>
    <w:p w:rsidR="00134604" w:rsidRDefault="00134604" w:rsidP="00134604">
      <w:pPr>
        <w:pStyle w:val="ParaNum"/>
        <w:widowControl/>
      </w:pPr>
      <w:r w:rsidRPr="003E3456">
        <w:t xml:space="preserve">We require providers to make all </w:t>
      </w:r>
      <w:r>
        <w:t>information collected</w:t>
      </w:r>
      <w:r w:rsidRPr="003E3456">
        <w:t xml:space="preserve"> </w:t>
      </w:r>
      <w:r>
        <w:t>to address the above requirements</w:t>
      </w:r>
      <w:r w:rsidRPr="003E3456">
        <w:t xml:space="preserve"> available upon request to the TRS Fund administrator and the Commission staff.</w:t>
      </w:r>
      <w:r w:rsidRPr="00C939E2">
        <w:rPr>
          <w:rStyle w:val="FootnoteReference"/>
        </w:rPr>
        <w:footnoteReference w:id="129"/>
      </w:r>
      <w:r w:rsidRPr="003E3456">
        <w:t xml:space="preserve">  We affirm that all </w:t>
      </w:r>
      <w:r>
        <w:t xml:space="preserve">personally identifiable user </w:t>
      </w:r>
      <w:r w:rsidRPr="003E3456">
        <w:t xml:space="preserve">information gathered for </w:t>
      </w:r>
      <w:r>
        <w:t>this purpose shall</w:t>
      </w:r>
      <w:r w:rsidRPr="003E3456">
        <w:t xml:space="preserve"> remain confidential pursuant to the Commission’s confidentiality rules.</w:t>
      </w:r>
      <w:r w:rsidRPr="00C939E2">
        <w:rPr>
          <w:rStyle w:val="FootnoteReference"/>
        </w:rPr>
        <w:footnoteReference w:id="130"/>
      </w:r>
    </w:p>
    <w:p w:rsidR="00134604" w:rsidRDefault="00134604" w:rsidP="00134604">
      <w:pPr>
        <w:pStyle w:val="Heading2"/>
      </w:pPr>
      <w:bookmarkStart w:id="116" w:name="_Toc475724112"/>
      <w:bookmarkStart w:id="117" w:name="_Toc475724305"/>
      <w:bookmarkStart w:id="118" w:name="_Toc475724452"/>
      <w:bookmarkStart w:id="119" w:name="_Toc475724782"/>
      <w:bookmarkStart w:id="120" w:name="_Toc476077812"/>
      <w:bookmarkStart w:id="121" w:name="_Toc477963667"/>
      <w:r>
        <w:t>At-Home VRS Call Handling</w:t>
      </w:r>
      <w:bookmarkEnd w:id="116"/>
      <w:bookmarkEnd w:id="117"/>
      <w:bookmarkEnd w:id="118"/>
      <w:bookmarkEnd w:id="119"/>
      <w:bookmarkEnd w:id="120"/>
      <w:bookmarkEnd w:id="121"/>
    </w:p>
    <w:p w:rsidR="00134604" w:rsidRPr="00EB7084" w:rsidRDefault="00134604" w:rsidP="00134604">
      <w:pPr>
        <w:pStyle w:val="ParaNum"/>
        <w:widowControl/>
      </w:pPr>
      <w:r>
        <w:t>In this section, we amend our rules to authorize a voluntary pilot program of at-home VRS call handling, subject to specified safeguards,</w:t>
      </w:r>
      <w:r w:rsidRPr="00101C42">
        <w:t xml:space="preserve"> </w:t>
      </w:r>
      <w:r>
        <w:t xml:space="preserve">for a twelve-month period, beginning November 1, 2017, and ending November 1, 2018.  During this period, in any month of the program, a participating VRS provider may be compensated for </w:t>
      </w:r>
      <w:r w:rsidRPr="00CC154A">
        <w:t xml:space="preserve">minutes served by at-home </w:t>
      </w:r>
      <w:r>
        <w:t xml:space="preserve">CA </w:t>
      </w:r>
      <w:r w:rsidRPr="00CC154A">
        <w:t xml:space="preserve">workstations </w:t>
      </w:r>
      <w:r>
        <w:t xml:space="preserve">up </w:t>
      </w:r>
      <w:r w:rsidRPr="00CC154A">
        <w:t xml:space="preserve">to a maximum of </w:t>
      </w:r>
      <w:r w:rsidRPr="00F20C70">
        <w:rPr>
          <w:i/>
        </w:rPr>
        <w:t>either</w:t>
      </w:r>
      <w:r>
        <w:t xml:space="preserve"> 30</w:t>
      </w:r>
      <w:r w:rsidRPr="00CC154A">
        <w:t xml:space="preserve"> percent of a VRS provider’s </w:t>
      </w:r>
      <w:r>
        <w:t xml:space="preserve">total minutes for which compensation is paid in that month </w:t>
      </w:r>
      <w:r w:rsidRPr="00F20C70">
        <w:rPr>
          <w:i/>
        </w:rPr>
        <w:t>or</w:t>
      </w:r>
      <w:r>
        <w:t xml:space="preserve"> 30 percent of the provider’s average monthly minutes for the 12 months ending October 31, 2017, whichever is greater.</w:t>
      </w:r>
      <w:r>
        <w:rPr>
          <w:rStyle w:val="FootnoteReference"/>
        </w:rPr>
        <w:footnoteReference w:id="131"/>
      </w:r>
      <w:r>
        <w:t xml:space="preserve">  The Commission will gather data as the pilot proceeds, to inform a final determination on whether to make this program permanent.  The record developed on this issue indicates that the circumstances originally supporting a prohibition against at-home workstations may have changed in the intervening years and that with the specified safeguards to protect against waste, fraud, and abuse and ensure quality services, at-home interpreting likely can improve the efficiency and effectiveness of the VRS program.  We will permit any of the currently certified VRS providers to participate in this pilot, subject to Commission approval of their plans for participation and the conditions specified below.</w:t>
      </w:r>
    </w:p>
    <w:p w:rsidR="00134604" w:rsidRDefault="00134604" w:rsidP="00134604">
      <w:pPr>
        <w:pStyle w:val="ParaNum"/>
        <w:widowControl/>
      </w:pPr>
      <w:r w:rsidRPr="006B0957">
        <w:rPr>
          <w:i/>
        </w:rPr>
        <w:t>Background</w:t>
      </w:r>
      <w:r>
        <w:t>.  In 2011, the Commission adopted a ban on the use of at-home workstations in the provision of VRS, as one of numerous measures designed to reduce waste, fraud, and abuse in the VRS program.</w:t>
      </w:r>
      <w:r>
        <w:rPr>
          <w:rStyle w:val="FootnoteReference"/>
        </w:rPr>
        <w:footnoteReference w:id="132"/>
      </w:r>
      <w:r>
        <w:t xml:space="preserve">  Shortly thereafter, </w:t>
      </w:r>
      <w:r w:rsidRPr="008F24B5">
        <w:t xml:space="preserve">CSDVRS, LLC dba ZVRS (ZVRS), petitioned the Commission to waive the ban, stating that ZVRS’s at-home </w:t>
      </w:r>
      <w:r>
        <w:t>call handling</w:t>
      </w:r>
      <w:r w:rsidRPr="008F24B5">
        <w:t xml:space="preserve"> program addressed the concerns underlying the ban.</w:t>
      </w:r>
      <w:r>
        <w:rPr>
          <w:rStyle w:val="FootnoteReference"/>
        </w:rPr>
        <w:footnoteReference w:id="133"/>
      </w:r>
      <w:r>
        <w:t xml:space="preserve">  Subsequently, the Commission sought comment on modifying the ban, in 2013, with respect to allowing CAs to handle calls from at-home workstations overnight,</w:t>
      </w:r>
      <w:r>
        <w:rPr>
          <w:rStyle w:val="FootnoteReference"/>
        </w:rPr>
        <w:footnoteReference w:id="134"/>
      </w:r>
      <w:r>
        <w:t xml:space="preserve"> and in 2015, with respect to permitting at-home call handling at all times of day.</w:t>
      </w:r>
      <w:r w:rsidRPr="008F13F2">
        <w:rPr>
          <w:rStyle w:val="FootnoteReference"/>
        </w:rPr>
        <w:t xml:space="preserve"> </w:t>
      </w:r>
      <w:r>
        <w:rPr>
          <w:rStyle w:val="FootnoteReference"/>
        </w:rPr>
        <w:footnoteReference w:id="135"/>
      </w:r>
      <w:r>
        <w:t xml:space="preserve">  The Commission also asked about the need for safeguards to ensure protection against waste, fraud and abuse and to achieve compliance with the mandatory minimum standards for VRS.</w:t>
      </w:r>
      <w:r>
        <w:rPr>
          <w:rStyle w:val="FootnoteReference"/>
        </w:rPr>
        <w:footnoteReference w:id="136"/>
      </w:r>
    </w:p>
    <w:p w:rsidR="00134604" w:rsidRDefault="00134604" w:rsidP="00134604">
      <w:pPr>
        <w:pStyle w:val="Heading3"/>
      </w:pPr>
      <w:bookmarkStart w:id="122" w:name="_Toc475724113"/>
      <w:bookmarkStart w:id="123" w:name="_Toc475724306"/>
      <w:bookmarkStart w:id="124" w:name="_Toc475724453"/>
      <w:bookmarkStart w:id="125" w:name="_Toc475724783"/>
      <w:bookmarkStart w:id="126" w:name="_Toc476077813"/>
      <w:bookmarkStart w:id="127" w:name="_Toc477963668"/>
      <w:r>
        <w:t>Changed Circumstances Justify At-Home Call Handling Trial</w:t>
      </w:r>
      <w:bookmarkEnd w:id="122"/>
      <w:bookmarkEnd w:id="123"/>
      <w:bookmarkEnd w:id="124"/>
      <w:bookmarkEnd w:id="125"/>
      <w:bookmarkEnd w:id="126"/>
      <w:bookmarkEnd w:id="127"/>
    </w:p>
    <w:p w:rsidR="00134604" w:rsidRDefault="00134604" w:rsidP="00134604">
      <w:pPr>
        <w:pStyle w:val="ParaNum"/>
        <w:widowControl/>
      </w:pPr>
      <w:r>
        <w:t>During the intervening years since the at-home call handling ban was established, the Commission has adopted significant reforms to protect the VRS program from waste, fraud, and abuse.</w:t>
      </w:r>
      <w:r>
        <w:rPr>
          <w:rStyle w:val="FootnoteReference"/>
        </w:rPr>
        <w:footnoteReference w:id="137"/>
      </w:r>
      <w:r>
        <w:t xml:space="preserve">  In addition, there have been important advances in technology, including the strengthened reliability of Internet-based networks, the advent of video platforms that allow stricter monitoring of the at-home environment, and the secure use of video communications at home and in the workplace.</w:t>
      </w:r>
      <w:r>
        <w:rPr>
          <w:rStyle w:val="FootnoteReference"/>
        </w:rPr>
        <w:footnoteReference w:id="138"/>
      </w:r>
      <w:r>
        <w:t xml:space="preserve">  </w:t>
      </w:r>
    </w:p>
    <w:p w:rsidR="00134604" w:rsidRDefault="00134604" w:rsidP="00134604">
      <w:pPr>
        <w:pStyle w:val="ParaNum"/>
        <w:widowControl/>
      </w:pPr>
      <w:r w:rsidRPr="00A348FC">
        <w:t xml:space="preserve">In light of these changes, </w:t>
      </w:r>
      <w:r>
        <w:t xml:space="preserve">we believe that with current technology and experienced CAs, VRS providers likely can protect </w:t>
      </w:r>
      <w:r w:rsidRPr="00085722">
        <w:t>against waste, fraud</w:t>
      </w:r>
      <w:r>
        <w:t>, and abuse, and comply with the Commission’s mandatory minimum standards while effectively handling VRS calls from CA at-home workstations.</w:t>
      </w:r>
      <w:r>
        <w:rPr>
          <w:rStyle w:val="FootnoteReference"/>
        </w:rPr>
        <w:footnoteReference w:id="139"/>
      </w:r>
      <w:r>
        <w:t xml:space="preserve">  This approach aligns with current practices across industry and government sectors that permit at-home communications-related work under strict confidentiality standards.</w:t>
      </w:r>
      <w:r>
        <w:rPr>
          <w:rStyle w:val="FootnoteReference"/>
        </w:rPr>
        <w:footnoteReference w:id="140"/>
      </w:r>
      <w:r>
        <w:t xml:space="preserve">  CA workstations, whether located in a call center or at home, can be integrated in a virtual system in which call handling protocols apply seamless capabilities and failover procedures to ensure that quality standards are met at every workstation regardless of its location.</w:t>
      </w:r>
      <w:r>
        <w:rPr>
          <w:rStyle w:val="FootnoteReference"/>
        </w:rPr>
        <w:footnoteReference w:id="141"/>
      </w:r>
    </w:p>
    <w:p w:rsidR="00134604" w:rsidRDefault="00134604" w:rsidP="00134604">
      <w:pPr>
        <w:pStyle w:val="ParaNum"/>
        <w:widowControl/>
      </w:pPr>
      <w:r>
        <w:t>Further, the record reflects that allowing VRS CAs to handle calls from at-home workstations offers several benefits, including increasing the pool of qualified interpreters</w:t>
      </w:r>
      <w:r>
        <w:rPr>
          <w:rStyle w:val="FootnoteReference"/>
        </w:rPr>
        <w:footnoteReference w:id="142"/>
      </w:r>
      <w:r>
        <w:t xml:space="preserve"> and protecting the safety of CAs by eliminating the need to travel during late-night hours.</w:t>
      </w:r>
      <w:r>
        <w:rPr>
          <w:rStyle w:val="FootnoteReference"/>
        </w:rPr>
        <w:footnoteReference w:id="143"/>
      </w:r>
      <w:r>
        <w:t xml:space="preserve">  Additionally, at-home workstation arrangements can improve network redundancy and help providers meet speed-of-answer standards by allowing alternative locations for CAs to handle VRS calls away from call centers during times of inclement weather, civic emergencies, network outages, network traffic events, or other unforeseen circumstances that could affect those centers.</w:t>
      </w:r>
      <w:r>
        <w:rPr>
          <w:rStyle w:val="FootnoteReference"/>
        </w:rPr>
        <w:footnoteReference w:id="144"/>
      </w:r>
    </w:p>
    <w:p w:rsidR="00134604" w:rsidRDefault="00134604" w:rsidP="00134604">
      <w:pPr>
        <w:pStyle w:val="Heading3"/>
      </w:pPr>
      <w:bookmarkStart w:id="128" w:name="_Toc475724114"/>
      <w:bookmarkStart w:id="129" w:name="_Toc475724307"/>
      <w:bookmarkStart w:id="130" w:name="_Toc475724454"/>
      <w:bookmarkStart w:id="131" w:name="_Toc475724784"/>
      <w:bookmarkStart w:id="132" w:name="_Toc476077814"/>
      <w:bookmarkStart w:id="133" w:name="_Toc477963669"/>
      <w:r>
        <w:t>Safeguards for At-Home Workstations</w:t>
      </w:r>
      <w:bookmarkEnd w:id="128"/>
      <w:bookmarkEnd w:id="129"/>
      <w:bookmarkEnd w:id="130"/>
      <w:bookmarkEnd w:id="131"/>
      <w:bookmarkEnd w:id="132"/>
      <w:bookmarkEnd w:id="133"/>
    </w:p>
    <w:p w:rsidR="00134604" w:rsidRDefault="00134604" w:rsidP="00134604">
      <w:pPr>
        <w:pStyle w:val="ParaNum"/>
        <w:widowControl/>
      </w:pPr>
      <w:r>
        <w:t>To protect against waste, fraud, and abuse, guarantee call confidentiality,</w:t>
      </w:r>
      <w:r w:rsidRPr="00085722">
        <w:rPr>
          <w:rStyle w:val="FootnoteReference"/>
        </w:rPr>
        <w:footnoteReference w:id="145"/>
      </w:r>
      <w:r>
        <w:t xml:space="preserve"> and ensure compliance with the Commission’s rules and orders governing TRS, during the trial we require VRS providers to adhere to the following safeguards for all of their at-home CA workstations.</w:t>
      </w:r>
      <w:r>
        <w:rPr>
          <w:rStyle w:val="FootnoteReference"/>
        </w:rPr>
        <w:footnoteReference w:id="146"/>
      </w:r>
      <w:r>
        <w:t xml:space="preserve">  We also expect these providers to respond as quickly as they are able to any indications that their at-home CAs or workstations may not be meeting these safeguards or any of the Commission’s TRS standards</w:t>
      </w:r>
      <w:r w:rsidRPr="004B12E3">
        <w:t>.</w:t>
      </w:r>
      <w:r w:rsidRPr="004B12E3">
        <w:rPr>
          <w:rStyle w:val="FootnoteReference"/>
        </w:rPr>
        <w:footnoteReference w:id="147"/>
      </w:r>
    </w:p>
    <w:p w:rsidR="00134604" w:rsidRDefault="00134604" w:rsidP="00134604">
      <w:pPr>
        <w:pStyle w:val="ParaNum"/>
        <w:widowControl/>
      </w:pPr>
      <w:r>
        <w:rPr>
          <w:i/>
        </w:rPr>
        <w:t xml:space="preserve">Personnel Safeguards.  </w:t>
      </w:r>
      <w:r>
        <w:t xml:space="preserve">Providers must ensure that CAs </w:t>
      </w:r>
      <w:r w:rsidRPr="00085722">
        <w:t>working from at-home</w:t>
      </w:r>
      <w:r>
        <w:t xml:space="preserve"> workstations have the skills, experience, and knowledge to effectively handle the wide range of communications that take place over VRS.  To achieve this, we require participating VRS providers to comply with the following safeguards:</w:t>
      </w:r>
    </w:p>
    <w:p w:rsidR="00134604" w:rsidRDefault="00134604" w:rsidP="00134604">
      <w:pPr>
        <w:pStyle w:val="ParaNum"/>
        <w:widowControl/>
        <w:numPr>
          <w:ilvl w:val="0"/>
          <w:numId w:val="11"/>
        </w:numPr>
      </w:pPr>
      <w:r>
        <w:t>Before permitting CAs to handle calls from an at-home workstation, VRS providers must ensure that they have a level of experience, skills, and knowledge to effectively interpret from these workstations, including a thorough understanding of the Commission’s mandatory minimum standards.</w:t>
      </w:r>
      <w:r>
        <w:rPr>
          <w:rStyle w:val="FootnoteReference"/>
        </w:rPr>
        <w:footnoteReference w:id="148"/>
      </w:r>
      <w:r>
        <w:t xml:space="preserve">  This can be measured, for example, by having providers conduct tests or assessments of a CA’s capabilities and knowledge prior to permitting participation in the program. </w:t>
      </w:r>
    </w:p>
    <w:p w:rsidR="00134604" w:rsidRDefault="00134604" w:rsidP="00134604">
      <w:pPr>
        <w:pStyle w:val="ParaNum"/>
        <w:widowControl/>
        <w:numPr>
          <w:ilvl w:val="0"/>
          <w:numId w:val="11"/>
        </w:numPr>
      </w:pPr>
      <w:r>
        <w:t>To provide a measure of added assurance that CAs working at home have sufficient experience, skills, and knowledge to work without in-person supervision, any CA permitted to work at home first must have three years of experience as a call center CA.</w:t>
      </w:r>
      <w:r>
        <w:rPr>
          <w:rStyle w:val="FootnoteReference"/>
        </w:rPr>
        <w:footnoteReference w:id="149"/>
      </w:r>
      <w:r>
        <w:t xml:space="preserve">  </w:t>
      </w:r>
    </w:p>
    <w:p w:rsidR="00134604" w:rsidRDefault="00134604" w:rsidP="00134604">
      <w:pPr>
        <w:pStyle w:val="ParaNum"/>
        <w:widowControl/>
        <w:numPr>
          <w:ilvl w:val="0"/>
          <w:numId w:val="11"/>
        </w:numPr>
      </w:pPr>
      <w:r>
        <w:t>Before authorizing at-home workstations, VRS providers must establish protocols for the handling of calls from these stations (to the extent there are additional protocols that differ from those applicable to the provider’s call centers) and must provide training to at-home CAs on such protocols, in addition to all applicable training that is required of CAs working from call centers.</w:t>
      </w:r>
      <w:r>
        <w:rPr>
          <w:rStyle w:val="FootnoteReference"/>
        </w:rPr>
        <w:footnoteReference w:id="150"/>
      </w:r>
      <w:r w:rsidDel="00B65531">
        <w:t xml:space="preserve"> </w:t>
      </w:r>
      <w:r>
        <w:t xml:space="preserve"> </w:t>
      </w:r>
    </w:p>
    <w:p w:rsidR="00134604" w:rsidRDefault="00134604" w:rsidP="00134604">
      <w:pPr>
        <w:pStyle w:val="ParaNum"/>
        <w:widowControl/>
        <w:numPr>
          <w:ilvl w:val="0"/>
          <w:numId w:val="11"/>
        </w:numPr>
      </w:pPr>
      <w:r>
        <w:t>Before being permitted to work at home, CAs must certify to the provider in writing their understanding of and commitment to complying with the Commission’s rules governing TRS, including rules governing caller confidentiality and fraud prevention.</w:t>
      </w:r>
      <w:r>
        <w:rPr>
          <w:rStyle w:val="FootnoteReference"/>
        </w:rPr>
        <w:footnoteReference w:id="151"/>
      </w:r>
      <w:r>
        <w:t xml:space="preserve">  </w:t>
      </w:r>
    </w:p>
    <w:p w:rsidR="00134604" w:rsidRDefault="00134604" w:rsidP="00134604">
      <w:pPr>
        <w:pStyle w:val="ParaNum"/>
        <w:widowControl/>
        <w:numPr>
          <w:ilvl w:val="0"/>
          <w:numId w:val="11"/>
        </w:numPr>
      </w:pPr>
      <w:r>
        <w:t>VRS providers must provide CAs working from at-home workstations equivalent support to that provided to their counterparts working from call centers, as needed to effectively handle calls, including, where appropriate, the opportunity to team interpret and consult with supervisors.</w:t>
      </w:r>
      <w:r>
        <w:rPr>
          <w:rStyle w:val="FootnoteReference"/>
        </w:rPr>
        <w:footnoteReference w:id="152"/>
      </w:r>
      <w:r>
        <w:t xml:space="preserve">  Supervisors located at call centers must be readily available to CAs working from home to resolve problems that may arise during a relay call, such as difficulty in understanding a VRS user’s signs, the need for added support for emergency calls, and relieving a CA in the event of the CA’s sudden illness.</w:t>
      </w:r>
      <w:r>
        <w:rPr>
          <w:rStyle w:val="FootnoteReference"/>
        </w:rPr>
        <w:footnoteReference w:id="153"/>
      </w:r>
    </w:p>
    <w:p w:rsidR="00134604" w:rsidRPr="00321B68" w:rsidRDefault="00134604" w:rsidP="00134604">
      <w:pPr>
        <w:pStyle w:val="ParaNum"/>
        <w:widowControl/>
        <w:numPr>
          <w:ilvl w:val="0"/>
          <w:numId w:val="11"/>
        </w:numPr>
      </w:pPr>
      <w:r>
        <w:t>Each provider shall establish grounds for dismissing a CA from the at-home program (i.e., for noncompliance with the Commission’s at-home call handling safeguards and rules governing TRS), including a process for such termination in the event that the CA fails to adhere to these requirements.</w:t>
      </w:r>
      <w:r>
        <w:rPr>
          <w:rStyle w:val="FootnoteReference"/>
        </w:rPr>
        <w:footnoteReference w:id="154"/>
      </w:r>
      <w:r>
        <w:t xml:space="preserve">  Such grounds and process must be put in writing and provided to each CA participating in the pilot program.  CAs must certify as to their understanding of the reasons and process for such dismissal.</w:t>
      </w:r>
      <w:r>
        <w:rPr>
          <w:rStyle w:val="FootnoteReference"/>
        </w:rPr>
        <w:footnoteReference w:id="155"/>
      </w:r>
    </w:p>
    <w:p w:rsidR="00134604" w:rsidRDefault="00134604" w:rsidP="00134604">
      <w:pPr>
        <w:pStyle w:val="ParaNum"/>
        <w:widowControl/>
      </w:pPr>
      <w:r w:rsidRPr="00316AC2">
        <w:rPr>
          <w:rStyle w:val="CommentReference"/>
          <w:i/>
          <w:sz w:val="22"/>
          <w:szCs w:val="22"/>
        </w:rPr>
        <w:t>Technical and Environmental</w:t>
      </w:r>
      <w:r>
        <w:rPr>
          <w:rStyle w:val="CommentReference"/>
          <w:sz w:val="22"/>
          <w:szCs w:val="22"/>
        </w:rPr>
        <w:t xml:space="preserve"> </w:t>
      </w:r>
      <w:r w:rsidRPr="00F0545C">
        <w:rPr>
          <w:i/>
        </w:rPr>
        <w:t>Safeguards</w:t>
      </w:r>
      <w:r>
        <w:t>.  The home environment used to handle VRS calls must meet certain standards to ensure the provision of confidential and uninterrupted services to the same extent as the provider’s call center.  VRS providers must also ensure that at-home CAs are seamlessly integrated into their call routing, distribution, tracking, and support systems.</w:t>
      </w:r>
      <w:r>
        <w:rPr>
          <w:rStyle w:val="FootnoteReference"/>
        </w:rPr>
        <w:footnoteReference w:id="156"/>
      </w:r>
      <w:r>
        <w:t xml:space="preserve">  This will help ensure that VRS providers have the same level of oversight over an at-home CA workstation as a CA workstation in a call center.  To achieve this and to ensure compliance with the Commission’s minimum standards, we require the following safeguards: </w:t>
      </w:r>
    </w:p>
    <w:p w:rsidR="00134604" w:rsidRDefault="00134604" w:rsidP="00134604">
      <w:pPr>
        <w:pStyle w:val="ParaNum"/>
        <w:widowControl/>
        <w:numPr>
          <w:ilvl w:val="0"/>
          <w:numId w:val="11"/>
        </w:numPr>
      </w:pPr>
      <w:r>
        <w:t>Each at-home workstation shall reside in a separate, secure location in the CA’s home, where access is restricted solely to the CA.</w:t>
      </w:r>
      <w:r>
        <w:rPr>
          <w:rStyle w:val="FootnoteReference"/>
        </w:rPr>
        <w:footnoteReference w:id="157"/>
      </w:r>
      <w:r>
        <w:t xml:space="preserve"> </w:t>
      </w:r>
    </w:p>
    <w:p w:rsidR="00134604" w:rsidRDefault="00134604" w:rsidP="00134604">
      <w:pPr>
        <w:pStyle w:val="ParaNum"/>
        <w:widowControl/>
        <w:numPr>
          <w:ilvl w:val="0"/>
          <w:numId w:val="11"/>
        </w:numPr>
      </w:pPr>
      <w:r>
        <w:t>Each at-home workstation shall allow a CA to use all call-handling technology to the same extent as other CAs, including the ability to transition a non-emergency call to an emergency call, engage in virtual teaming with another CA, and allow supervisors to communicate with and oversee calls.</w:t>
      </w:r>
      <w:r>
        <w:rPr>
          <w:rStyle w:val="FootnoteReference"/>
        </w:rPr>
        <w:footnoteReference w:id="158"/>
      </w:r>
      <w:r>
        <w:t xml:space="preserve"> </w:t>
      </w:r>
    </w:p>
    <w:p w:rsidR="00134604" w:rsidRDefault="00134604" w:rsidP="00134604">
      <w:pPr>
        <w:pStyle w:val="ParaNum"/>
        <w:widowControl/>
        <w:numPr>
          <w:ilvl w:val="0"/>
          <w:numId w:val="11"/>
        </w:numPr>
      </w:pPr>
      <w:r>
        <w:t>VRS providers shall ensure that each at-home workstation is capable of supporting VRS in compliance with the Commission’s mandatory minimum technical and emergency call handling standards,</w:t>
      </w:r>
      <w:r>
        <w:rPr>
          <w:rStyle w:val="FootnoteReference"/>
        </w:rPr>
        <w:footnoteReference w:id="159"/>
      </w:r>
      <w:r>
        <w:t xml:space="preserve"> including the provision of system redundancy, and other safeguards to the same degree as these are available at call centers, and including the ability to route VRS calls around individual CA workstations in the event they experience a network outage or other service interruption.</w:t>
      </w:r>
      <w:r>
        <w:rPr>
          <w:rStyle w:val="FootnoteReference"/>
        </w:rPr>
        <w:footnoteReference w:id="160"/>
      </w:r>
    </w:p>
    <w:p w:rsidR="00134604" w:rsidRDefault="00134604" w:rsidP="00134604">
      <w:pPr>
        <w:pStyle w:val="ParaNum"/>
        <w:widowControl/>
        <w:numPr>
          <w:ilvl w:val="0"/>
          <w:numId w:val="11"/>
        </w:numPr>
      </w:pPr>
      <w:r>
        <w:t>Each at-home workstation shall be equipped with an effective means to prevent eavesdropping, such as white noise emitters or soundproofing, and to ensure that interruptions from noises outside the room do not adversely affect a CA’s ability to interpret a call accurately and effectively.</w:t>
      </w:r>
      <w:r>
        <w:rPr>
          <w:rStyle w:val="FootnoteReference"/>
        </w:rPr>
        <w:footnoteReference w:id="161"/>
      </w:r>
    </w:p>
    <w:p w:rsidR="00134604" w:rsidRDefault="00134604" w:rsidP="00134604">
      <w:pPr>
        <w:pStyle w:val="ParaNum"/>
        <w:widowControl/>
        <w:numPr>
          <w:ilvl w:val="0"/>
          <w:numId w:val="11"/>
        </w:numPr>
      </w:pPr>
      <w:r>
        <w:t>Each CA workstation must connect to the provider’s network over a secure connection to ensure caller privacy.</w:t>
      </w:r>
      <w:r>
        <w:rPr>
          <w:rStyle w:val="FootnoteReference"/>
        </w:rPr>
        <w:footnoteReference w:id="162"/>
      </w:r>
    </w:p>
    <w:p w:rsidR="00134604" w:rsidRDefault="00134604" w:rsidP="00134604">
      <w:pPr>
        <w:pStyle w:val="ParaNum"/>
        <w:widowControl/>
      </w:pPr>
      <w:r>
        <w:rPr>
          <w:i/>
        </w:rPr>
        <w:t>Monitoring and Oversight Obligations</w:t>
      </w:r>
      <w:r>
        <w:t>.  We require the following additional measures in order to appropriately monitor and oversee the at-home call handling pilot program:</w:t>
      </w:r>
    </w:p>
    <w:p w:rsidR="00134604" w:rsidRDefault="00134604" w:rsidP="00134604">
      <w:pPr>
        <w:pStyle w:val="ParaNum"/>
        <w:widowControl/>
        <w:numPr>
          <w:ilvl w:val="0"/>
          <w:numId w:val="15"/>
        </w:numPr>
      </w:pPr>
      <w:r>
        <w:t>To ensure CA compliance with the enumerated safeguards, VRS providers shall inspect and approve each at-home workstation before activating a CA’s workstation for use.</w:t>
      </w:r>
    </w:p>
    <w:p w:rsidR="00134604" w:rsidRDefault="00134604" w:rsidP="00134604">
      <w:pPr>
        <w:pStyle w:val="ParaNum"/>
        <w:widowControl/>
        <w:numPr>
          <w:ilvl w:val="0"/>
          <w:numId w:val="15"/>
        </w:numPr>
      </w:pPr>
      <w:r>
        <w:t>The VRS provider shall assign a unique call center identification number (ID) to each VRS at-home workstation and use this call center ID to identify all minutes handled from each such workstation in its call detail records submitted monthly to the TRS Fund administrator.</w:t>
      </w:r>
    </w:p>
    <w:p w:rsidR="00134604" w:rsidRDefault="00134604" w:rsidP="00134604">
      <w:pPr>
        <w:pStyle w:val="ParaNum"/>
        <w:widowControl/>
        <w:numPr>
          <w:ilvl w:val="0"/>
          <w:numId w:val="15"/>
        </w:numPr>
      </w:pPr>
      <w:r>
        <w:t>Each at-home workstation shall be equipped with monitoring technology sufficient to ensure that off-site supervision approximates the level of supervision at the provider’s call center, including the ability to monitor both ends of a call, i.e., video and audio, to the same extent as is possible in a call center.</w:t>
      </w:r>
      <w:r>
        <w:rPr>
          <w:rStyle w:val="FootnoteReference"/>
        </w:rPr>
        <w:footnoteReference w:id="163"/>
      </w:r>
      <w:r>
        <w:t xml:space="preserve">  Although we do not dictate the form of such monitoring, we note that commenters suggest an external camera with a view of the CA’s workspace</w:t>
      </w:r>
      <w:r>
        <w:rPr>
          <w:rStyle w:val="FootnoteReference"/>
        </w:rPr>
        <w:footnoteReference w:id="164"/>
      </w:r>
      <w:r>
        <w:t xml:space="preserve"> and tracking software that is capable of recording CA actions and producing reports that can be analyzed for anomalies.</w:t>
      </w:r>
      <w:r>
        <w:rPr>
          <w:rStyle w:val="FootnoteReference"/>
        </w:rPr>
        <w:footnoteReference w:id="165"/>
      </w:r>
      <w:r>
        <w:t xml:space="preserve">  To the extent that this method is used, providers shall regularly analyze such data to proactively address possible waste, fraud, and abuse.   </w:t>
      </w:r>
    </w:p>
    <w:p w:rsidR="00134604" w:rsidRDefault="00134604" w:rsidP="00134604">
      <w:pPr>
        <w:pStyle w:val="ParaNum"/>
        <w:widowControl/>
        <w:numPr>
          <w:ilvl w:val="0"/>
          <w:numId w:val="15"/>
        </w:numPr>
      </w:pPr>
      <w:r w:rsidRPr="00DC6420">
        <w:t xml:space="preserve">Each provider shall keep all records pertaining to at-home work stations, including the data produced by </w:t>
      </w:r>
      <w:r>
        <w:t xml:space="preserve">any </w:t>
      </w:r>
      <w:r w:rsidRPr="00DC6420">
        <w:t xml:space="preserve">at-home workstation monitoring technology, except for any data that records the content of </w:t>
      </w:r>
      <w:r>
        <w:t>an</w:t>
      </w:r>
      <w:r w:rsidRPr="00DC6420">
        <w:t xml:space="preserve"> interpreted conversation, for a minimum of </w:t>
      </w:r>
      <w:r>
        <w:t>three</w:t>
      </w:r>
      <w:r w:rsidRPr="00DC6420">
        <w:t xml:space="preserve"> years.  At-home workstations and workstation records shall be subject to review, audit, and inspection by the Commission and the </w:t>
      </w:r>
      <w:r>
        <w:t xml:space="preserve">TRS </w:t>
      </w:r>
      <w:r w:rsidRPr="00DC6420">
        <w:t xml:space="preserve">Fund administrator to the same extent as </w:t>
      </w:r>
      <w:r>
        <w:t xml:space="preserve">data produced from </w:t>
      </w:r>
      <w:r w:rsidRPr="00DC6420">
        <w:t>other call centers subject to the Commission’s rules.</w:t>
      </w:r>
      <w:r w:rsidRPr="00DC6420">
        <w:rPr>
          <w:rStyle w:val="FootnoteReference"/>
        </w:rPr>
        <w:footnoteReference w:id="166"/>
      </w:r>
      <w:r>
        <w:t xml:space="preserve">  </w:t>
      </w:r>
    </w:p>
    <w:p w:rsidR="00134604" w:rsidRDefault="00134604" w:rsidP="00134604">
      <w:pPr>
        <w:pStyle w:val="ParaNum"/>
        <w:widowControl/>
        <w:numPr>
          <w:ilvl w:val="0"/>
          <w:numId w:val="15"/>
        </w:numPr>
      </w:pPr>
      <w:r>
        <w:t>Each provider must conduct random and unannounced inspections of at least five percent (5%) of all at-home workstations during the pilot program and report its findings as specified below.  In addition, each at-home work environment may be subject to unannounced on-site inspections by the Commission.</w:t>
      </w:r>
    </w:p>
    <w:p w:rsidR="00134604" w:rsidRDefault="00134604" w:rsidP="00134604">
      <w:pPr>
        <w:pStyle w:val="ParaNum"/>
        <w:widowControl/>
        <w:numPr>
          <w:ilvl w:val="0"/>
          <w:numId w:val="15"/>
        </w:numPr>
      </w:pPr>
      <w:r>
        <w:t>Each at-home workstation will be subject to audits to the same extent as other call centers subject to the Commission’s rules.</w:t>
      </w:r>
      <w:r w:rsidR="006125D9">
        <w:rPr>
          <w:rStyle w:val="FootnoteReference"/>
        </w:rPr>
        <w:footnoteReference w:id="167"/>
      </w:r>
    </w:p>
    <w:p w:rsidR="00134604" w:rsidRDefault="00134604" w:rsidP="00134604">
      <w:pPr>
        <w:pStyle w:val="Heading3"/>
      </w:pPr>
      <w:bookmarkStart w:id="134" w:name="_Toc475724115"/>
      <w:bookmarkStart w:id="135" w:name="_Toc475724308"/>
      <w:bookmarkStart w:id="136" w:name="_Toc475724455"/>
      <w:bookmarkStart w:id="137" w:name="_Toc475724785"/>
      <w:bookmarkStart w:id="138" w:name="_Toc476077815"/>
      <w:bookmarkStart w:id="139" w:name="_Toc477963670"/>
      <w:r>
        <w:t>Participation in the Pilot Program</w:t>
      </w:r>
      <w:bookmarkEnd w:id="134"/>
      <w:bookmarkEnd w:id="135"/>
      <w:bookmarkEnd w:id="136"/>
      <w:bookmarkEnd w:id="137"/>
      <w:bookmarkEnd w:id="138"/>
      <w:bookmarkEnd w:id="139"/>
      <w:r>
        <w:t xml:space="preserve"> </w:t>
      </w:r>
    </w:p>
    <w:p w:rsidR="00134604" w:rsidRDefault="00134604" w:rsidP="00134604">
      <w:pPr>
        <w:pStyle w:val="ParaNum"/>
        <w:widowControl/>
      </w:pPr>
      <w:r>
        <w:t>Each currently certified VRS provider interested in participating in the pilot program must provide notification to the Commission of its intent to participate to CGB by September 1, 2017, together with a detailed plan of how it intends to achieve compliance with the Commission’s safeguards enumerated above and standards governing VRS.  Per the safeguards noted above, in these plans VRS providers shall specify the following:</w:t>
      </w:r>
    </w:p>
    <w:p w:rsidR="00134604" w:rsidRPr="005832DB" w:rsidRDefault="00134604" w:rsidP="00134604">
      <w:pPr>
        <w:pStyle w:val="ParaNum"/>
        <w:widowControl/>
        <w:numPr>
          <w:ilvl w:val="0"/>
          <w:numId w:val="16"/>
        </w:numPr>
      </w:pPr>
      <w:r w:rsidRPr="005832DB">
        <w:t>A description of the screening process used to select CAs for the at-home call handling program;</w:t>
      </w:r>
    </w:p>
    <w:p w:rsidR="00134604" w:rsidRPr="005832DB" w:rsidRDefault="00134604" w:rsidP="00134604">
      <w:pPr>
        <w:pStyle w:val="ParaNum"/>
        <w:widowControl/>
        <w:numPr>
          <w:ilvl w:val="0"/>
          <w:numId w:val="16"/>
        </w:numPr>
      </w:pPr>
      <w:r w:rsidRPr="005832DB">
        <w:t xml:space="preserve">A description of specific training </w:t>
      </w:r>
      <w:r>
        <w:t xml:space="preserve">to be </w:t>
      </w:r>
      <w:r w:rsidRPr="005832DB">
        <w:t>provided for at-home CAs;</w:t>
      </w:r>
    </w:p>
    <w:p w:rsidR="00134604" w:rsidRDefault="00134604" w:rsidP="00134604">
      <w:pPr>
        <w:pStyle w:val="ParaNum"/>
        <w:widowControl/>
        <w:numPr>
          <w:ilvl w:val="0"/>
          <w:numId w:val="16"/>
        </w:numPr>
      </w:pPr>
      <w:r w:rsidRPr="005832DB">
        <w:t>A description of the protocols and CA expectations developed for the at-home call handling program;</w:t>
      </w:r>
      <w:r>
        <w:t xml:space="preserve">  </w:t>
      </w:r>
    </w:p>
    <w:p w:rsidR="00134604" w:rsidRDefault="00134604" w:rsidP="00134604">
      <w:pPr>
        <w:pStyle w:val="ParaNum"/>
        <w:widowControl/>
        <w:numPr>
          <w:ilvl w:val="0"/>
          <w:numId w:val="16"/>
        </w:numPr>
      </w:pPr>
      <w:r>
        <w:t>A description of the grounds for dismissing a CA from the at-home program and the process for such termination in the event that the CA fails to adhere to applicable requirements;</w:t>
      </w:r>
    </w:p>
    <w:p w:rsidR="00134604" w:rsidRDefault="00134604" w:rsidP="00134604">
      <w:pPr>
        <w:pStyle w:val="ParaNum"/>
        <w:widowControl/>
        <w:numPr>
          <w:ilvl w:val="0"/>
          <w:numId w:val="16"/>
        </w:numPr>
      </w:pPr>
      <w:r>
        <w:t>A description of all steps that will be taken to install a workstation in a CA’s home, including evaluations that will be performed to ensure all workstations are sufficiently secure and equipped to prevent eavesdropping and outside interruptions;</w:t>
      </w:r>
    </w:p>
    <w:p w:rsidR="00134604" w:rsidRDefault="00134604" w:rsidP="00134604">
      <w:pPr>
        <w:pStyle w:val="ParaNum"/>
        <w:widowControl/>
        <w:numPr>
          <w:ilvl w:val="0"/>
          <w:numId w:val="16"/>
        </w:numPr>
      </w:pPr>
      <w:r>
        <w:t xml:space="preserve">A description of the monitoring technology to be used by the provider to ensure that off-site supervision approximates the level of supervision at the provider’s call center; </w:t>
      </w:r>
    </w:p>
    <w:p w:rsidR="00134604" w:rsidRDefault="00134604" w:rsidP="00134604">
      <w:pPr>
        <w:pStyle w:val="ParaNum"/>
        <w:widowControl/>
        <w:numPr>
          <w:ilvl w:val="0"/>
          <w:numId w:val="16"/>
        </w:numPr>
      </w:pPr>
      <w:r>
        <w:t xml:space="preserve">An explanation of </w:t>
      </w:r>
      <w:r w:rsidRPr="005832DB">
        <w:t xml:space="preserve">how the </w:t>
      </w:r>
      <w:r>
        <w:t xml:space="preserve">provider’s </w:t>
      </w:r>
      <w:r w:rsidRPr="005832DB">
        <w:t>workstation</w:t>
      </w:r>
      <w:r>
        <w:t>s will</w:t>
      </w:r>
      <w:r w:rsidRPr="005832DB">
        <w:t xml:space="preserve"> connect to the provider’s network, </w:t>
      </w:r>
      <w:r>
        <w:t xml:space="preserve">including how they will be </w:t>
      </w:r>
      <w:r w:rsidRPr="005832DB">
        <w:t>integrate</w:t>
      </w:r>
      <w:r>
        <w:t>d</w:t>
      </w:r>
      <w:r w:rsidRPr="005832DB">
        <w:t xml:space="preserve"> into the call center routing, distribution, tracking, </w:t>
      </w:r>
      <w:r>
        <w:t xml:space="preserve">and </w:t>
      </w:r>
      <w:r w:rsidRPr="005832DB">
        <w:t>support systems</w:t>
      </w:r>
      <w:r>
        <w:t xml:space="preserve">, and how the provider will ensure system redundancy in the event of service disruptions in at-home workstations; </w:t>
      </w:r>
    </w:p>
    <w:p w:rsidR="00134604" w:rsidRDefault="00134604" w:rsidP="00134604">
      <w:pPr>
        <w:pStyle w:val="ParaNum"/>
        <w:widowControl/>
        <w:numPr>
          <w:ilvl w:val="0"/>
          <w:numId w:val="16"/>
        </w:numPr>
      </w:pPr>
      <w:r>
        <w:t>A signed certification by an officer of the provider that the provider will conduct random and unannounced inspections of at least five percent (5%) of all at-home workstations during the pilot program; and</w:t>
      </w:r>
    </w:p>
    <w:p w:rsidR="00134604" w:rsidRPr="005832DB" w:rsidRDefault="00134604" w:rsidP="00134604">
      <w:pPr>
        <w:pStyle w:val="ParaNum"/>
        <w:widowControl/>
        <w:numPr>
          <w:ilvl w:val="0"/>
          <w:numId w:val="16"/>
        </w:numPr>
      </w:pPr>
      <w:r>
        <w:t>The provider’s commitment to comply with all other safeguards enumerated above and Commission rules governing TRS.</w:t>
      </w:r>
    </w:p>
    <w:p w:rsidR="00134604" w:rsidRDefault="00134604" w:rsidP="00134604">
      <w:pPr>
        <w:pStyle w:val="ParaNum"/>
        <w:widowControl/>
      </w:pPr>
      <w:r>
        <w:t>CGB, in consultation with OMD, will approve plans that demonstrate that the provider will fully comply with the Commission’s standards and safeguards.  Such approval may be canceled if the provider falls out of such compliance at any time.  In addition, providers may be subject to withholding, forfeitures, and penalties for noncompliant minutes handled by at-home workstations, as is the case for non-compliant minutes handled by call centers.</w:t>
      </w:r>
    </w:p>
    <w:p w:rsidR="00134604" w:rsidRDefault="00134604" w:rsidP="00134604">
      <w:pPr>
        <w:pStyle w:val="Heading3"/>
      </w:pPr>
      <w:bookmarkStart w:id="140" w:name="_Toc475724116"/>
      <w:bookmarkStart w:id="141" w:name="_Toc475724309"/>
      <w:bookmarkStart w:id="142" w:name="_Toc475724456"/>
      <w:bookmarkStart w:id="143" w:name="_Toc475724786"/>
      <w:bookmarkStart w:id="144" w:name="_Toc476077816"/>
      <w:bookmarkStart w:id="145" w:name="_Toc477963671"/>
      <w:r>
        <w:t>Data Collection</w:t>
      </w:r>
      <w:bookmarkEnd w:id="140"/>
      <w:bookmarkEnd w:id="141"/>
      <w:bookmarkEnd w:id="142"/>
      <w:bookmarkEnd w:id="143"/>
      <w:bookmarkEnd w:id="144"/>
      <w:bookmarkEnd w:id="145"/>
    </w:p>
    <w:p w:rsidR="00134604" w:rsidRDefault="00134604" w:rsidP="00134604">
      <w:pPr>
        <w:pStyle w:val="ParaNum"/>
        <w:widowControl/>
      </w:pPr>
      <w:r>
        <w:t>P</w:t>
      </w:r>
      <w:r w:rsidRPr="003E3456">
        <w:t xml:space="preserve">articipating providers will be required to submit to the </w:t>
      </w:r>
      <w:r>
        <w:t xml:space="preserve">TRS Fund administrator, with their monthly requests for compensation for minutes handled from both call centers and at-home workstations, </w:t>
      </w:r>
      <w:r w:rsidRPr="003E3456">
        <w:t xml:space="preserve">the following data for each month of the </w:t>
      </w:r>
      <w:r>
        <w:t>pilot program</w:t>
      </w:r>
      <w:r w:rsidRPr="003E3456">
        <w:t>:</w:t>
      </w:r>
    </w:p>
    <w:p w:rsidR="00134604" w:rsidRPr="006F1D7B" w:rsidRDefault="00134604" w:rsidP="00134604">
      <w:pPr>
        <w:pStyle w:val="ParaNum"/>
        <w:widowControl/>
        <w:numPr>
          <w:ilvl w:val="0"/>
          <w:numId w:val="10"/>
        </w:numPr>
      </w:pPr>
      <w:r>
        <w:t>The call center ID and full street address (number, street, city, state, and zip code) for each at-home workstation and the CA ID number for each individual handling VRS calls from that workstation; and</w:t>
      </w:r>
    </w:p>
    <w:p w:rsidR="00134604" w:rsidRPr="006F1D7B" w:rsidRDefault="00134604" w:rsidP="00134604">
      <w:pPr>
        <w:pStyle w:val="ParaNum"/>
        <w:widowControl/>
        <w:numPr>
          <w:ilvl w:val="0"/>
          <w:numId w:val="10"/>
        </w:numPr>
      </w:pPr>
      <w:r>
        <w:t xml:space="preserve">The location and call center IDs of </w:t>
      </w:r>
      <w:r w:rsidRPr="00747E2C">
        <w:t>call center</w:t>
      </w:r>
      <w:r>
        <w:t>s</w:t>
      </w:r>
      <w:r w:rsidRPr="00747E2C">
        <w:t xml:space="preserve"> </w:t>
      </w:r>
      <w:r>
        <w:t>providing supervision for at-home workstations, plus the names of persons at such call centers responsible for oversight of these workstations.</w:t>
      </w:r>
      <w:r w:rsidRPr="00747E2C">
        <w:t xml:space="preserve"> </w:t>
      </w:r>
      <w:r>
        <w:t xml:space="preserve"> </w:t>
      </w:r>
      <w:r w:rsidRPr="00747E2C">
        <w:t xml:space="preserve"> </w:t>
      </w:r>
    </w:p>
    <w:p w:rsidR="00134604" w:rsidRPr="005832DB" w:rsidRDefault="00134604" w:rsidP="00134604">
      <w:pPr>
        <w:pStyle w:val="ParaNum"/>
        <w:widowControl/>
      </w:pPr>
      <w:r>
        <w:t xml:space="preserve">In addition to these monthly reports, we require participants to submit, no later than seven months after the start of the program, a report covering the first six months of </w:t>
      </w:r>
      <w:r w:rsidRPr="005832DB">
        <w:t>the</w:t>
      </w:r>
      <w:r>
        <w:t xml:space="preserve">ir individual </w:t>
      </w:r>
      <w:r w:rsidRPr="005832DB">
        <w:t xml:space="preserve">pilot </w:t>
      </w:r>
      <w:r>
        <w:t xml:space="preserve">programs </w:t>
      </w:r>
      <w:r w:rsidRPr="005832DB">
        <w:t>containing the following information:</w:t>
      </w:r>
      <w:r>
        <w:rPr>
          <w:rStyle w:val="FootnoteReference"/>
        </w:rPr>
        <w:footnoteReference w:id="168"/>
      </w:r>
    </w:p>
    <w:p w:rsidR="00134604" w:rsidRPr="006F1D7B" w:rsidRDefault="00134604" w:rsidP="00134604">
      <w:pPr>
        <w:pStyle w:val="ParaNum"/>
        <w:widowControl/>
        <w:numPr>
          <w:ilvl w:val="0"/>
          <w:numId w:val="10"/>
        </w:numPr>
      </w:pPr>
      <w:r w:rsidRPr="00377528">
        <w:t xml:space="preserve">A description of the </w:t>
      </w:r>
      <w:r w:rsidRPr="005832DB">
        <w:t>actual screening process used to select CAs for the at-home call handling program;</w:t>
      </w:r>
    </w:p>
    <w:p w:rsidR="00134604" w:rsidRPr="006F1D7B" w:rsidRDefault="00134604" w:rsidP="00134604">
      <w:pPr>
        <w:pStyle w:val="ParaNum"/>
        <w:widowControl/>
        <w:numPr>
          <w:ilvl w:val="0"/>
          <w:numId w:val="10"/>
        </w:numPr>
      </w:pPr>
      <w:r w:rsidRPr="005832DB">
        <w:t>Copies of training materials provided to at-home CAs;</w:t>
      </w:r>
    </w:p>
    <w:p w:rsidR="00134604" w:rsidRPr="006F1D7B" w:rsidRDefault="00134604" w:rsidP="00134604">
      <w:pPr>
        <w:pStyle w:val="ParaNum"/>
        <w:widowControl/>
        <w:numPr>
          <w:ilvl w:val="0"/>
          <w:numId w:val="10"/>
        </w:numPr>
      </w:pPr>
      <w:r w:rsidRPr="005832DB">
        <w:t>Copies of written protocols used for CAs working from home;</w:t>
      </w:r>
    </w:p>
    <w:p w:rsidR="00134604" w:rsidRPr="006F1D7B" w:rsidRDefault="00134604" w:rsidP="00134604">
      <w:pPr>
        <w:pStyle w:val="ParaNum"/>
        <w:widowControl/>
        <w:numPr>
          <w:ilvl w:val="0"/>
          <w:numId w:val="10"/>
        </w:numPr>
      </w:pPr>
      <w:r w:rsidRPr="005832DB">
        <w:t>T</w:t>
      </w:r>
      <w:r w:rsidRPr="00377528">
        <w:t>he total number of CAs handling VRS calls from at-home workstations</w:t>
      </w:r>
      <w:r>
        <w:t xml:space="preserve"> over the first six months of the program;</w:t>
      </w:r>
      <w:r w:rsidRPr="005F7425">
        <w:t xml:space="preserve"> </w:t>
      </w:r>
    </w:p>
    <w:p w:rsidR="00134604" w:rsidRPr="006F1D7B" w:rsidRDefault="00134604" w:rsidP="00134604">
      <w:pPr>
        <w:pStyle w:val="ParaNum"/>
        <w:widowControl/>
        <w:numPr>
          <w:ilvl w:val="0"/>
          <w:numId w:val="10"/>
        </w:numPr>
      </w:pPr>
      <w:r>
        <w:t>The number of 911 calls handled by the provider’s at-home workstations;</w:t>
      </w:r>
    </w:p>
    <w:p w:rsidR="00134604" w:rsidRPr="006F1D7B" w:rsidRDefault="00134604" w:rsidP="00134604">
      <w:pPr>
        <w:pStyle w:val="ParaNum"/>
        <w:widowControl/>
        <w:numPr>
          <w:ilvl w:val="0"/>
          <w:numId w:val="10"/>
        </w:numPr>
      </w:pPr>
      <w:r>
        <w:t>A description and copies of any surveys or evaluations taken of CAs concerning their experience using at-home workstations and participating in an at-home call handling program;</w:t>
      </w:r>
    </w:p>
    <w:p w:rsidR="00134604" w:rsidRPr="006F1D7B" w:rsidRDefault="00134604" w:rsidP="00134604">
      <w:pPr>
        <w:pStyle w:val="ParaNum"/>
        <w:widowControl/>
        <w:numPr>
          <w:ilvl w:val="0"/>
          <w:numId w:val="10"/>
        </w:numPr>
      </w:pPr>
      <w:r>
        <w:t>The total number of CAs terminated from the program;</w:t>
      </w:r>
    </w:p>
    <w:p w:rsidR="00134604" w:rsidRPr="006F1D7B" w:rsidRDefault="00134604" w:rsidP="00134604">
      <w:pPr>
        <w:pStyle w:val="ParaNum"/>
        <w:widowControl/>
        <w:numPr>
          <w:ilvl w:val="0"/>
          <w:numId w:val="10"/>
        </w:numPr>
      </w:pPr>
      <w:r>
        <w:t>T</w:t>
      </w:r>
      <w:r w:rsidRPr="00747E2C">
        <w:t>he</w:t>
      </w:r>
      <w:r>
        <w:t xml:space="preserve"> total </w:t>
      </w:r>
      <w:r w:rsidRPr="00747E2C">
        <w:t xml:space="preserve">number of complaints, if any, submitted to the provider regarding </w:t>
      </w:r>
      <w:r>
        <w:t>its</w:t>
      </w:r>
      <w:r w:rsidRPr="00747E2C">
        <w:t xml:space="preserve"> at-home </w:t>
      </w:r>
      <w:r>
        <w:t>call handling</w:t>
      </w:r>
      <w:r w:rsidRPr="00747E2C">
        <w:t xml:space="preserve"> </w:t>
      </w:r>
      <w:r>
        <w:t>program or</w:t>
      </w:r>
      <w:r w:rsidRPr="00747E2C">
        <w:t xml:space="preserve"> calls handled by at-home </w:t>
      </w:r>
      <w:r>
        <w:t>CAs;</w:t>
      </w:r>
    </w:p>
    <w:p w:rsidR="00134604" w:rsidRPr="006F1D7B" w:rsidRDefault="00134604" w:rsidP="00134604">
      <w:pPr>
        <w:pStyle w:val="ParaNum"/>
        <w:widowControl/>
        <w:numPr>
          <w:ilvl w:val="0"/>
          <w:numId w:val="10"/>
        </w:numPr>
      </w:pPr>
      <w:r>
        <w:t>The total number of on-site inspections of at-home workstations conducted, along with the dates and locations of such inspections;</w:t>
      </w:r>
    </w:p>
    <w:p w:rsidR="00134604" w:rsidRPr="006F1D7B" w:rsidRDefault="00134604" w:rsidP="00134604">
      <w:pPr>
        <w:pStyle w:val="ParaNum"/>
        <w:widowControl/>
        <w:numPr>
          <w:ilvl w:val="0"/>
          <w:numId w:val="10"/>
        </w:numPr>
      </w:pPr>
      <w:r w:rsidRPr="00AC491F">
        <w:t>A description of the monitoring technology used to monitor CAs working at home</w:t>
      </w:r>
      <w:r>
        <w:t xml:space="preserve"> and an analysis of the experience of supervisors overseeing at-home CAs compared to overseeing CAs in a call center; </w:t>
      </w:r>
    </w:p>
    <w:p w:rsidR="00134604" w:rsidRPr="006F1D7B" w:rsidRDefault="00134604" w:rsidP="00134604">
      <w:pPr>
        <w:pStyle w:val="ParaNum"/>
        <w:widowControl/>
        <w:numPr>
          <w:ilvl w:val="0"/>
          <w:numId w:val="10"/>
        </w:numPr>
      </w:pPr>
      <w:r>
        <w:t>Copies of any reports produced by tracking software and a description explaining how the provider analyzed the reports for anomalies; and</w:t>
      </w:r>
    </w:p>
    <w:p w:rsidR="00134604" w:rsidRPr="006F1D7B" w:rsidRDefault="00134604" w:rsidP="00134604">
      <w:pPr>
        <w:pStyle w:val="ParaNum"/>
        <w:widowControl/>
        <w:numPr>
          <w:ilvl w:val="0"/>
          <w:numId w:val="10"/>
        </w:numPr>
      </w:pPr>
      <w:r>
        <w:t xml:space="preserve">Detailed documentation of costs incurred in the use of at-home workstations, including any costs associated with CA recruitment, training and compensation, engineering and technical set-up (including workstation set-up), and administrative and management support (including oversight, evaluation, and recording).  </w:t>
      </w:r>
    </w:p>
    <w:p w:rsidR="00134604" w:rsidRDefault="00134604" w:rsidP="00134604">
      <w:pPr>
        <w:pStyle w:val="ParaNum"/>
        <w:widowControl/>
      </w:pPr>
      <w:r>
        <w:t>We acknowledge the concerns of some commenters about the costs that may be associated with safeguards required for at-home call handling.</w:t>
      </w:r>
      <w:r>
        <w:rPr>
          <w:rStyle w:val="FootnoteReference"/>
        </w:rPr>
        <w:footnoteReference w:id="169"/>
      </w:r>
      <w:r>
        <w:t xml:space="preserve">  However, our action today authorizes, rather than mandates, participation in the at-home pilot program.  Accordingly, each VRS provider has the opportunity to assess for itself whether the costs of implementing this practice—and the requisite safeguards—outweigh its benefits.  Additionally, we agree with those commenters who maintain that there may be some cost savings associated with implementing at-home interpreting.</w:t>
      </w:r>
      <w:r>
        <w:rPr>
          <w:rStyle w:val="FootnoteReference"/>
        </w:rPr>
        <w:footnoteReference w:id="170"/>
      </w:r>
      <w:r>
        <w:t xml:space="preserve">  For example, ZVRS suggests that at-home call handling will allow VRS providers to reduce the number and size of call centers they lease or own, thereby reducing their facilities and utilities costs.</w:t>
      </w:r>
      <w:r>
        <w:rPr>
          <w:rStyle w:val="FootnoteReference"/>
        </w:rPr>
        <w:footnoteReference w:id="171"/>
      </w:r>
      <w:r>
        <w:t xml:space="preserve">  We are hopeful that the data we collect during the pilot program will test the accuracy of this assumption, and provide comprehensive information about the costs and benefits of allowing at-home workstations.  For these reasons, and for the various reasons articulated above, we conclude that if implemented with safeguards, the benefits of a pilot at-home interpretation program may outweigh its costs and warrant lifting the prohibition against this feature for a one-year period.</w:t>
      </w:r>
      <w:r>
        <w:rPr>
          <w:rStyle w:val="FootnoteReference"/>
        </w:rPr>
        <w:footnoteReference w:id="172"/>
      </w:r>
      <w:r>
        <w:t xml:space="preserve">  We will evaluate the value and effectiveness of this program at the conclusion of this period to make a determination on its continuation.</w:t>
      </w:r>
    </w:p>
    <w:p w:rsidR="00134604" w:rsidRDefault="00134604" w:rsidP="00134604">
      <w:pPr>
        <w:pStyle w:val="Heading2"/>
      </w:pPr>
      <w:bookmarkStart w:id="146" w:name="_Toc477963672"/>
      <w:r>
        <w:t>Legal Authority for Trials of Skills-Based Routing and Deaf Interpreters, and Pilot Program for At-Home Interpreting</w:t>
      </w:r>
      <w:bookmarkEnd w:id="146"/>
    </w:p>
    <w:p w:rsidR="00134604" w:rsidRPr="00E70FF2" w:rsidRDefault="00134604" w:rsidP="00134604">
      <w:pPr>
        <w:pStyle w:val="ParaNum"/>
        <w:widowControl/>
      </w:pPr>
      <w:r>
        <w:t xml:space="preserve">We conclude that the Commission has </w:t>
      </w:r>
      <w:r w:rsidRPr="007F7575">
        <w:t xml:space="preserve">authority </w:t>
      </w:r>
      <w:r>
        <w:t xml:space="preserve">under section 225 of the Act </w:t>
      </w:r>
      <w:r w:rsidRPr="007F7575">
        <w:t>to conduct trial</w:t>
      </w:r>
      <w:r>
        <w:t>s</w:t>
      </w:r>
      <w:r w:rsidRPr="007F7575">
        <w:t xml:space="preserve"> </w:t>
      </w:r>
      <w:r>
        <w:t>of skills-based routing and the use of deaf interpreters, and to establish a pilot program for at-home interpreting.  Section 225</w:t>
      </w:r>
      <w:r w:rsidRPr="007F7575">
        <w:t xml:space="preserve"> defines TRS as services that enable individuals with hearing and speech disabilities to engage in communication in a manner that is functionally equivalent to voice communications service, directs the Commission to ensure that such services are available to the extent possible and the most efficient manner, and authorizes the Commission to prescribe regulations to implement section 225</w:t>
      </w:r>
      <w:r>
        <w:t>, including functional requirements, guidelines, operational procedures, and minimum standards</w:t>
      </w:r>
      <w:r w:rsidRPr="007F7575">
        <w:t>.</w:t>
      </w:r>
      <w:r>
        <w:rPr>
          <w:rStyle w:val="FootnoteReference"/>
        </w:rPr>
        <w:footnoteReference w:id="173"/>
      </w:r>
      <w:r w:rsidRPr="007F7575">
        <w:t xml:space="preserve"> </w:t>
      </w:r>
      <w:r>
        <w:t xml:space="preserve"> The record indicates that the use of skills-based routing, deaf interpreters, and at-home interpreting may improve the functional equivalence and efficiency of VRS.</w:t>
      </w:r>
      <w:r>
        <w:rPr>
          <w:rStyle w:val="FootnoteReference"/>
        </w:rPr>
        <w:footnoteReference w:id="174"/>
      </w:r>
      <w:r>
        <w:t xml:space="preserve">  The data gathered from these trials and pilot program will enable the Commission to more fully assess these benefits as well as any additional costs resulting from such practices. </w:t>
      </w:r>
    </w:p>
    <w:p w:rsidR="00134604" w:rsidRPr="00AD3EEC" w:rsidRDefault="00134604" w:rsidP="00134604">
      <w:pPr>
        <w:pStyle w:val="Heading1"/>
        <w:rPr>
          <w:rFonts w:eastAsia="Calibri"/>
          <w:snapToGrid/>
        </w:rPr>
      </w:pPr>
      <w:bookmarkStart w:id="147" w:name="_Toc474858610"/>
      <w:bookmarkStart w:id="148" w:name="_Toc474859320"/>
      <w:bookmarkStart w:id="149" w:name="_Toc474860049"/>
      <w:bookmarkStart w:id="150" w:name="_Toc474860226"/>
      <w:bookmarkStart w:id="151" w:name="_Toc474860346"/>
      <w:bookmarkStart w:id="152" w:name="_Toc474860532"/>
      <w:bookmarkStart w:id="153" w:name="_Toc474860598"/>
      <w:bookmarkStart w:id="154" w:name="_Toc474860741"/>
      <w:bookmarkStart w:id="155" w:name="_Toc474946529"/>
      <w:bookmarkStart w:id="156" w:name="_Toc475724117"/>
      <w:bookmarkStart w:id="157" w:name="_Toc475724310"/>
      <w:bookmarkStart w:id="158" w:name="_Toc475724457"/>
      <w:bookmarkStart w:id="159" w:name="_Toc475724787"/>
      <w:bookmarkStart w:id="160" w:name="_Toc476077817"/>
      <w:bookmarkStart w:id="161" w:name="_Toc477963673"/>
      <w:r w:rsidRPr="00AD3EEC">
        <w:rPr>
          <w:rFonts w:eastAsia="Calibri"/>
          <w:snapToGrid/>
        </w:rPr>
        <w:t xml:space="preserve">Notice of Inquiry on </w:t>
      </w:r>
      <w:r>
        <w:rPr>
          <w:rFonts w:eastAsia="Calibri"/>
          <w:snapToGrid/>
        </w:rPr>
        <w:t xml:space="preserve">service quality </w:t>
      </w:r>
      <w:r w:rsidRPr="00AD3EEC">
        <w:rPr>
          <w:rFonts w:eastAsia="Calibri"/>
          <w:snapToGrid/>
        </w:rPr>
        <w:t xml:space="preserve">metrics </w:t>
      </w:r>
      <w:r>
        <w:rPr>
          <w:rFonts w:eastAsia="Calibri"/>
          <w:snapToGrid/>
        </w:rPr>
        <w:t xml:space="preserve">for </w:t>
      </w:r>
      <w:r w:rsidRPr="00AD3EEC">
        <w:rPr>
          <w:rFonts w:eastAsia="Calibri"/>
          <w:snapToGrid/>
        </w:rPr>
        <w:t>VRS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134604" w:rsidRPr="00AD3EEC" w:rsidRDefault="00134604" w:rsidP="00134604">
      <w:pPr>
        <w:pStyle w:val="ParaNum"/>
        <w:widowControl/>
        <w:rPr>
          <w:rFonts w:eastAsia="Calibri"/>
          <w:snapToGrid/>
        </w:rPr>
      </w:pPr>
      <w:r w:rsidRPr="00AD3EEC">
        <w:rPr>
          <w:rFonts w:eastAsia="Calibri"/>
          <w:snapToGrid/>
        </w:rPr>
        <w:t xml:space="preserve">In this </w:t>
      </w:r>
      <w:r>
        <w:rPr>
          <w:rFonts w:eastAsia="Calibri"/>
          <w:snapToGrid/>
        </w:rPr>
        <w:t>Notice of Inquiry (</w:t>
      </w:r>
      <w:r w:rsidRPr="00AD3EEC">
        <w:rPr>
          <w:rFonts w:eastAsia="Calibri"/>
          <w:snapToGrid/>
        </w:rPr>
        <w:t>NOI</w:t>
      </w:r>
      <w:r>
        <w:rPr>
          <w:rFonts w:eastAsia="Calibri"/>
          <w:snapToGrid/>
        </w:rPr>
        <w:t>),</w:t>
      </w:r>
      <w:r w:rsidRPr="00AD3EEC">
        <w:rPr>
          <w:rFonts w:eastAsia="Calibri"/>
          <w:snapToGrid/>
        </w:rPr>
        <w:t xml:space="preserve"> we seek comment on </w:t>
      </w:r>
      <w:r>
        <w:rPr>
          <w:rFonts w:eastAsia="Calibri"/>
          <w:snapToGrid/>
        </w:rPr>
        <w:t>establishing performance goals and service quality metrics to evaluate the efficacy of the VRS program.</w:t>
      </w:r>
      <w:r w:rsidRPr="00C939E2">
        <w:rPr>
          <w:rStyle w:val="FootnoteReference"/>
          <w:rFonts w:eastAsia="Calibri"/>
        </w:rPr>
        <w:footnoteReference w:id="175"/>
      </w:r>
      <w:r w:rsidRPr="00AD3EEC">
        <w:rPr>
          <w:rFonts w:eastAsia="Calibri"/>
          <w:snapToGrid/>
        </w:rPr>
        <w:t xml:space="preserve">  We </w:t>
      </w:r>
      <w:r>
        <w:rPr>
          <w:rFonts w:eastAsia="Calibri"/>
          <w:snapToGrid/>
        </w:rPr>
        <w:t>seek</w:t>
      </w:r>
      <w:r w:rsidRPr="00AD3EEC">
        <w:rPr>
          <w:rFonts w:eastAsia="Calibri"/>
          <w:snapToGrid/>
        </w:rPr>
        <w:t xml:space="preserve"> to </w:t>
      </w:r>
      <w:r>
        <w:rPr>
          <w:rFonts w:eastAsia="Calibri"/>
          <w:snapToGrid/>
        </w:rPr>
        <w:t xml:space="preserve">enable the Commission to make objective </w:t>
      </w:r>
      <w:r w:rsidRPr="00AD3EEC">
        <w:rPr>
          <w:rFonts w:eastAsia="Calibri"/>
          <w:snapToGrid/>
        </w:rPr>
        <w:t>determin</w:t>
      </w:r>
      <w:r>
        <w:rPr>
          <w:rFonts w:eastAsia="Calibri"/>
          <w:snapToGrid/>
        </w:rPr>
        <w:t>ations about</w:t>
      </w:r>
      <w:r w:rsidRPr="00AD3EEC">
        <w:rPr>
          <w:rFonts w:eastAsia="Calibri"/>
          <w:snapToGrid/>
        </w:rPr>
        <w:t xml:space="preserve"> the extent to which the VRS program </w:t>
      </w:r>
      <w:r>
        <w:rPr>
          <w:rFonts w:eastAsia="Calibri"/>
          <w:snapToGrid/>
        </w:rPr>
        <w:t xml:space="preserve">is </w:t>
      </w:r>
      <w:r w:rsidRPr="00AD3EEC">
        <w:rPr>
          <w:rFonts w:eastAsia="Calibri"/>
          <w:snapToGrid/>
        </w:rPr>
        <w:t>providing functionally equivalent communication services</w:t>
      </w:r>
      <w:r w:rsidRPr="009F3AD6">
        <w:rPr>
          <w:rFonts w:eastAsia="Calibri"/>
          <w:snapToGrid/>
        </w:rPr>
        <w:t xml:space="preserve"> </w:t>
      </w:r>
      <w:r>
        <w:rPr>
          <w:rFonts w:eastAsia="Calibri"/>
          <w:snapToGrid/>
        </w:rPr>
        <w:t xml:space="preserve">and </w:t>
      </w:r>
      <w:r w:rsidRPr="009F3AD6">
        <w:rPr>
          <w:rFonts w:eastAsia="Calibri"/>
          <w:snapToGrid/>
        </w:rPr>
        <w:t>in the most efficient and cost-effective manner</w:t>
      </w:r>
      <w:r w:rsidRPr="00AD3EEC">
        <w:rPr>
          <w:rFonts w:eastAsia="Calibri"/>
          <w:snapToGrid/>
        </w:rPr>
        <w:t>.</w:t>
      </w:r>
      <w:r>
        <w:rPr>
          <w:rStyle w:val="FootnoteReference"/>
          <w:rFonts w:eastAsia="Calibri"/>
        </w:rPr>
        <w:footnoteReference w:id="176"/>
      </w:r>
      <w:r w:rsidRPr="00AD3EEC">
        <w:rPr>
          <w:rFonts w:eastAsia="Calibri"/>
          <w:snapToGrid/>
        </w:rPr>
        <w:t xml:space="preserve">  </w:t>
      </w:r>
      <w:r>
        <w:rPr>
          <w:rFonts w:eastAsia="Calibri"/>
          <w:snapToGrid/>
        </w:rPr>
        <w:t xml:space="preserve">By developing well defined measures of VRS performance, the results of which can be made </w:t>
      </w:r>
      <w:r w:rsidRPr="00AD3EEC">
        <w:rPr>
          <w:rFonts w:eastAsia="Calibri"/>
          <w:snapToGrid/>
        </w:rPr>
        <w:t xml:space="preserve">transparent to the public, </w:t>
      </w:r>
      <w:r>
        <w:rPr>
          <w:rFonts w:eastAsia="Calibri"/>
          <w:snapToGrid/>
        </w:rPr>
        <w:t>we also seek to enable</w:t>
      </w:r>
      <w:r w:rsidRPr="00AD3EEC">
        <w:rPr>
          <w:rFonts w:eastAsia="Calibri"/>
          <w:snapToGrid/>
        </w:rPr>
        <w:t xml:space="preserve"> consumers to make more informed decisions in their selection of their VRS providers</w:t>
      </w:r>
      <w:r>
        <w:rPr>
          <w:rFonts w:eastAsia="Calibri"/>
          <w:snapToGrid/>
        </w:rPr>
        <w:t xml:space="preserve"> and thereby</w:t>
      </w:r>
      <w:r w:rsidRPr="00AD3EEC">
        <w:rPr>
          <w:rFonts w:eastAsia="Calibri"/>
          <w:snapToGrid/>
        </w:rPr>
        <w:t xml:space="preserve"> to achieve a more robust competitive environment for VRS.</w:t>
      </w:r>
      <w:r>
        <w:rPr>
          <w:rFonts w:eastAsia="Calibri"/>
          <w:snapToGrid/>
        </w:rPr>
        <w:t xml:space="preserve">  We further seek comment on the incidence of “phony” VRS calls, and the direction that should be provided by the Commission on the handling of such calls.</w:t>
      </w:r>
    </w:p>
    <w:p w:rsidR="00134604" w:rsidRPr="00AD3EEC" w:rsidRDefault="00134604" w:rsidP="00134604">
      <w:pPr>
        <w:pStyle w:val="Heading2"/>
      </w:pPr>
      <w:bookmarkStart w:id="162" w:name="_Toc474858611"/>
      <w:bookmarkStart w:id="163" w:name="_Toc474859321"/>
      <w:bookmarkStart w:id="164" w:name="_Toc474860050"/>
      <w:bookmarkStart w:id="165" w:name="_Toc474860227"/>
      <w:bookmarkStart w:id="166" w:name="_Toc474860347"/>
      <w:bookmarkStart w:id="167" w:name="_Toc474860533"/>
      <w:bookmarkStart w:id="168" w:name="_Toc474860599"/>
      <w:bookmarkStart w:id="169" w:name="_Toc474860742"/>
      <w:bookmarkStart w:id="170" w:name="_Toc474946530"/>
      <w:bookmarkStart w:id="171" w:name="_Toc475724118"/>
      <w:bookmarkStart w:id="172" w:name="_Toc475724311"/>
      <w:bookmarkStart w:id="173" w:name="_Toc475724458"/>
      <w:bookmarkStart w:id="174" w:name="_Toc475724788"/>
      <w:bookmarkStart w:id="175" w:name="_Toc476077818"/>
      <w:bookmarkStart w:id="176" w:name="_Toc477963674"/>
      <w:r w:rsidRPr="00AD3EEC">
        <w:t>Performance Goals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134604" w:rsidRPr="008C7F9F" w:rsidRDefault="00134604" w:rsidP="00134604">
      <w:pPr>
        <w:pStyle w:val="ParaNum"/>
        <w:widowControl/>
        <w:rPr>
          <w:rFonts w:eastAsia="Calibri"/>
          <w:snapToGrid/>
        </w:rPr>
      </w:pPr>
      <w:r w:rsidRPr="009D2C6A">
        <w:rPr>
          <w:rFonts w:eastAsia="Calibri"/>
          <w:snapToGrid/>
        </w:rPr>
        <w:t xml:space="preserve">We seek comment on </w:t>
      </w:r>
      <w:r w:rsidRPr="00F57714">
        <w:rPr>
          <w:rFonts w:eastAsia="Calibri"/>
          <w:snapToGrid/>
        </w:rPr>
        <w:t>appropriate performance goals</w:t>
      </w:r>
      <w:r w:rsidRPr="007A606E">
        <w:rPr>
          <w:rFonts w:eastAsia="Calibri"/>
          <w:snapToGrid/>
        </w:rPr>
        <w:t xml:space="preserve"> for the VRS program.  Section 225 requires </w:t>
      </w:r>
      <w:r>
        <w:rPr>
          <w:rFonts w:eastAsia="Calibri"/>
          <w:snapToGrid/>
        </w:rPr>
        <w:t xml:space="preserve">the Commission to ensure, to the extent possible, the availability </w:t>
      </w:r>
      <w:r w:rsidRPr="007A606E">
        <w:rPr>
          <w:rFonts w:eastAsia="Calibri"/>
          <w:snapToGrid/>
        </w:rPr>
        <w:t xml:space="preserve">to </w:t>
      </w:r>
      <w:r>
        <w:rPr>
          <w:rFonts w:eastAsia="Calibri"/>
          <w:snapToGrid/>
        </w:rPr>
        <w:t xml:space="preserve">people </w:t>
      </w:r>
      <w:r w:rsidRPr="007A606E">
        <w:rPr>
          <w:rFonts w:eastAsia="Calibri"/>
          <w:snapToGrid/>
        </w:rPr>
        <w:t xml:space="preserve">with disabilities </w:t>
      </w:r>
      <w:r>
        <w:rPr>
          <w:rFonts w:eastAsia="Calibri"/>
          <w:snapToGrid/>
        </w:rPr>
        <w:t xml:space="preserve">of telephone services </w:t>
      </w:r>
      <w:r w:rsidRPr="007A606E">
        <w:rPr>
          <w:rFonts w:eastAsia="Calibri"/>
          <w:snapToGrid/>
        </w:rPr>
        <w:t xml:space="preserve">that are functionally equivalent to services used by individuals who do not need </w:t>
      </w:r>
      <w:r>
        <w:rPr>
          <w:rFonts w:eastAsia="Calibri"/>
          <w:snapToGrid/>
        </w:rPr>
        <w:t>T</w:t>
      </w:r>
      <w:r w:rsidRPr="007A606E">
        <w:rPr>
          <w:rFonts w:eastAsia="Calibri"/>
          <w:snapToGrid/>
        </w:rPr>
        <w:t>RS</w:t>
      </w:r>
      <w:r w:rsidRPr="001C18E2">
        <w:rPr>
          <w:rFonts w:eastAsia="Calibri"/>
          <w:snapToGrid/>
        </w:rPr>
        <w:t>.</w:t>
      </w:r>
      <w:r>
        <w:rPr>
          <w:rStyle w:val="FootnoteReference"/>
          <w:rFonts w:eastAsia="Calibri"/>
          <w:snapToGrid/>
        </w:rPr>
        <w:footnoteReference w:id="177"/>
      </w:r>
      <w:r w:rsidRPr="009D2C6A">
        <w:rPr>
          <w:rFonts w:eastAsia="Calibri"/>
          <w:snapToGrid/>
        </w:rPr>
        <w:t xml:space="preserve">  We </w:t>
      </w:r>
      <w:r>
        <w:rPr>
          <w:rFonts w:eastAsia="Calibri"/>
          <w:snapToGrid/>
        </w:rPr>
        <w:t xml:space="preserve">seek comment on whether </w:t>
      </w:r>
      <w:r w:rsidRPr="009D2C6A">
        <w:rPr>
          <w:rFonts w:eastAsia="Calibri"/>
          <w:snapToGrid/>
        </w:rPr>
        <w:t xml:space="preserve">establishing </w:t>
      </w:r>
      <w:r>
        <w:rPr>
          <w:rFonts w:eastAsia="Calibri"/>
          <w:snapToGrid/>
        </w:rPr>
        <w:t xml:space="preserve">performance </w:t>
      </w:r>
      <w:r w:rsidRPr="00F57714">
        <w:rPr>
          <w:rFonts w:eastAsia="Calibri"/>
          <w:snapToGrid/>
        </w:rPr>
        <w:t>goal</w:t>
      </w:r>
      <w:r>
        <w:rPr>
          <w:rFonts w:eastAsia="Calibri"/>
          <w:snapToGrid/>
        </w:rPr>
        <w:t>s</w:t>
      </w:r>
      <w:r w:rsidRPr="00F57714">
        <w:rPr>
          <w:rFonts w:eastAsia="Calibri"/>
          <w:snapToGrid/>
        </w:rPr>
        <w:t xml:space="preserve"> that align with this </w:t>
      </w:r>
      <w:r w:rsidRPr="007A606E">
        <w:rPr>
          <w:rFonts w:eastAsia="Calibri"/>
          <w:snapToGrid/>
        </w:rPr>
        <w:t>requirement</w:t>
      </w:r>
      <w:r w:rsidRPr="00596EBF">
        <w:rPr>
          <w:rFonts w:eastAsia="Calibri"/>
        </w:rPr>
        <w:t xml:space="preserve"> is appropriate for </w:t>
      </w:r>
      <w:r>
        <w:rPr>
          <w:rFonts w:eastAsia="Calibri"/>
          <w:snapToGrid/>
        </w:rPr>
        <w:t xml:space="preserve">VRS.  </w:t>
      </w:r>
      <w:r w:rsidRPr="00253FE4">
        <w:rPr>
          <w:rFonts w:eastAsia="Calibri"/>
          <w:snapToGrid/>
        </w:rPr>
        <w:t xml:space="preserve">We believe that the mandate for VRS to be functionally equivalent to voice telephone services requires levels of service that are equivalent to those experienced in </w:t>
      </w:r>
      <w:r w:rsidRPr="00596EBF">
        <w:rPr>
          <w:rFonts w:eastAsia="Calibri"/>
        </w:rPr>
        <w:t xml:space="preserve">mainstream wireless, wireline, and voice over Internet protocol (VoIP) communication </w:t>
      </w:r>
      <w:r w:rsidRPr="00253FE4">
        <w:rPr>
          <w:rFonts w:eastAsia="Calibri"/>
          <w:snapToGrid/>
        </w:rPr>
        <w:t xml:space="preserve">calls between and among hearing persons.  </w:t>
      </w:r>
      <w:r>
        <w:rPr>
          <w:rFonts w:eastAsia="Calibri"/>
          <w:snapToGrid/>
        </w:rPr>
        <w:t>In this regard, we note that a policy statement submitted by v</w:t>
      </w:r>
      <w:r w:rsidRPr="008C7F9F">
        <w:rPr>
          <w:rFonts w:eastAsia="Calibri"/>
          <w:snapToGrid/>
        </w:rPr>
        <w:t xml:space="preserve">arious Consumer Groups </w:t>
      </w:r>
      <w:r>
        <w:rPr>
          <w:rFonts w:eastAsia="Calibri"/>
          <w:snapToGrid/>
        </w:rPr>
        <w:t xml:space="preserve">in April 2011 </w:t>
      </w:r>
      <w:r w:rsidRPr="008C7F9F">
        <w:rPr>
          <w:rFonts w:eastAsia="Calibri"/>
          <w:snapToGrid/>
        </w:rPr>
        <w:t>set</w:t>
      </w:r>
      <w:r>
        <w:rPr>
          <w:rFonts w:eastAsia="Calibri"/>
          <w:snapToGrid/>
        </w:rPr>
        <w:t>s</w:t>
      </w:r>
      <w:r w:rsidRPr="008C7F9F">
        <w:rPr>
          <w:rFonts w:eastAsia="Calibri"/>
          <w:snapToGrid/>
        </w:rPr>
        <w:t xml:space="preserve"> forth ten core principles that </w:t>
      </w:r>
      <w:r>
        <w:rPr>
          <w:rFonts w:eastAsia="Calibri"/>
          <w:snapToGrid/>
        </w:rPr>
        <w:t>the Consumer Groups</w:t>
      </w:r>
      <w:r w:rsidRPr="008C7F9F">
        <w:rPr>
          <w:rFonts w:eastAsia="Calibri"/>
          <w:snapToGrid/>
        </w:rPr>
        <w:t xml:space="preserve"> maintain should define functionally equivalent TRS.</w:t>
      </w:r>
      <w:r w:rsidRPr="00C939E2">
        <w:rPr>
          <w:rStyle w:val="FootnoteReference"/>
          <w:rFonts w:eastAsia="Calibri"/>
        </w:rPr>
        <w:footnoteReference w:id="178"/>
      </w:r>
      <w:r w:rsidRPr="008C7F9F">
        <w:rPr>
          <w:rFonts w:eastAsia="Calibri"/>
          <w:snapToGrid/>
        </w:rPr>
        <w:t xml:space="preserve">  Th</w:t>
      </w:r>
      <w:r>
        <w:rPr>
          <w:rFonts w:eastAsia="Calibri"/>
          <w:snapToGrid/>
        </w:rPr>
        <w:t>e</w:t>
      </w:r>
      <w:r w:rsidRPr="008C7F9F">
        <w:rPr>
          <w:rFonts w:eastAsia="Calibri"/>
          <w:snapToGrid/>
        </w:rPr>
        <w:t xml:space="preserve"> Statement proposes to define functional equivalence generally for all forms of TRS as follows:  </w:t>
      </w:r>
    </w:p>
    <w:p w:rsidR="00134604" w:rsidRDefault="00134604" w:rsidP="00134604">
      <w:pPr>
        <w:pStyle w:val="BlockText"/>
        <w:rPr>
          <w:rFonts w:eastAsia="Calibri"/>
          <w:snapToGrid/>
        </w:rPr>
      </w:pPr>
      <w:r w:rsidRPr="008C7F9F">
        <w:rPr>
          <w:rFonts w:eastAsia="Calibri"/>
          <w:snapToGrid/>
        </w:rPr>
        <w:t>Persons receiving or making relay calls are able to participate equally in the entire conversation with the other party or parties and they experience the same activity, emotional context, purpose, operation, work, service, or role (function) within the call as if the call is between individuals who are not using relay services on any end of the call.</w:t>
      </w:r>
      <w:r w:rsidRPr="00CD20B7">
        <w:rPr>
          <w:rStyle w:val="FootnoteReference"/>
          <w:rFonts w:eastAsia="Calibri"/>
        </w:rPr>
        <w:footnoteReference w:id="179"/>
      </w:r>
    </w:p>
    <w:p w:rsidR="00134604" w:rsidRPr="008030DF" w:rsidRDefault="00134604" w:rsidP="00134604">
      <w:pPr>
        <w:pStyle w:val="ParaNum"/>
        <w:numPr>
          <w:ilvl w:val="0"/>
          <w:numId w:val="0"/>
        </w:numPr>
        <w:rPr>
          <w:rFonts w:eastAsia="Calibri"/>
          <w:snapToGrid/>
        </w:rPr>
      </w:pPr>
      <w:r w:rsidRPr="008C7F9F">
        <w:rPr>
          <w:rFonts w:eastAsia="Calibri"/>
          <w:snapToGrid/>
        </w:rPr>
        <w:t xml:space="preserve">We seek comment on the extent to which </w:t>
      </w:r>
      <w:r>
        <w:rPr>
          <w:rFonts w:eastAsia="Calibri"/>
          <w:snapToGrid/>
        </w:rPr>
        <w:t>this is</w:t>
      </w:r>
      <w:r w:rsidRPr="008C7F9F">
        <w:rPr>
          <w:rFonts w:eastAsia="Calibri"/>
          <w:snapToGrid/>
        </w:rPr>
        <w:t xml:space="preserve"> an appropriate definition of functional equivalence for the purpose of defining performance goals and service quality metrics.</w:t>
      </w:r>
    </w:p>
    <w:p w:rsidR="00134604" w:rsidRPr="00CD6F61" w:rsidRDefault="00134604" w:rsidP="00134604">
      <w:pPr>
        <w:pStyle w:val="ParaNum"/>
        <w:widowControl/>
        <w:rPr>
          <w:rFonts w:eastAsia="Calibri"/>
        </w:rPr>
      </w:pPr>
      <w:r w:rsidRPr="00DC7103">
        <w:rPr>
          <w:rFonts w:eastAsia="Calibri"/>
          <w:snapToGrid/>
        </w:rPr>
        <w:t>We also seek comment on whether other goals are appropriate for assessing the VRS program and VRS provider performance</w:t>
      </w:r>
      <w:r w:rsidRPr="00DC7103">
        <w:rPr>
          <w:rFonts w:eastAsia="Calibri"/>
        </w:rPr>
        <w:t>.  For example, should VRS performance goals also mirror the Commission’s statutory obligations to ensure that TRS is provided “in the most efficient manner</w:t>
      </w:r>
      <w:r>
        <w:rPr>
          <w:rFonts w:eastAsia="Calibri"/>
        </w:rPr>
        <w:t>,</w:t>
      </w:r>
      <w:r w:rsidRPr="00DC7103">
        <w:rPr>
          <w:rFonts w:eastAsia="Calibri"/>
        </w:rPr>
        <w:t xml:space="preserve">” and </w:t>
      </w:r>
      <w:r w:rsidRPr="00DC7103">
        <w:rPr>
          <w:rFonts w:eastAsia="Calibri"/>
          <w:snapToGrid/>
        </w:rPr>
        <w:t>to encourage “the use of existing technology and . . . not discourage or impair the development of improved technology?”</w:t>
      </w:r>
      <w:r w:rsidRPr="00C939E2">
        <w:rPr>
          <w:rStyle w:val="FootnoteReference"/>
          <w:rFonts w:eastAsia="Calibri"/>
        </w:rPr>
        <w:footnoteReference w:id="180"/>
      </w:r>
      <w:r>
        <w:rPr>
          <w:rFonts w:eastAsia="Calibri"/>
          <w:snapToGrid/>
        </w:rPr>
        <w:t xml:space="preserve">  Should the cost-effective provision of VRS be included in VRS performance goals, either as a component of the efficient provision of VRS or as a separate goal?  </w:t>
      </w:r>
    </w:p>
    <w:p w:rsidR="00134604" w:rsidRPr="00C939E2" w:rsidRDefault="00134604" w:rsidP="00134604">
      <w:pPr>
        <w:pStyle w:val="ParaNum"/>
        <w:widowControl/>
        <w:rPr>
          <w:rFonts w:eastAsia="Calibri"/>
        </w:rPr>
      </w:pPr>
      <w:r w:rsidRPr="009F3AD6">
        <w:rPr>
          <w:rFonts w:eastAsia="Calibri"/>
        </w:rPr>
        <w:t xml:space="preserve">We seek comment on how the use of mainstream and off-the-shelf technologies that do not rely on VRS can serve the communications needs of individuals who are deaf, hard of hearing, deaf-blind, or have speech disabilities.  For example, people who use sign language are now able to communicate directly with each other </w:t>
      </w:r>
      <w:r>
        <w:rPr>
          <w:rFonts w:eastAsia="Calibri"/>
        </w:rPr>
        <w:t xml:space="preserve">via video </w:t>
      </w:r>
      <w:r w:rsidRPr="009F3AD6">
        <w:rPr>
          <w:rFonts w:eastAsia="Calibri"/>
        </w:rPr>
        <w:t>over broadband and cellular networks; and electronic messaging services, such as e-mail, short messaging service (SMS), instant messaging (IM), and chat, allow people to use these networks to communicate in text.  In addition, we expect some wireless providers to be rolling out real-time text (RTT) by the end of this calendar year.</w:t>
      </w:r>
      <w:r w:rsidRPr="009F3AD6">
        <w:rPr>
          <w:rFonts w:eastAsia="Calibri"/>
          <w:vertAlign w:val="superscript"/>
        </w:rPr>
        <w:footnoteReference w:id="181"/>
      </w:r>
      <w:r w:rsidRPr="009F3AD6">
        <w:rPr>
          <w:rFonts w:eastAsia="Calibri"/>
        </w:rPr>
        <w:t xml:space="preserve">  We ask commenters to address the types of circumstances when such services can be used to provide effective communication for these individuals.  What steps, if any, should the Commission be taking to provide such direct communication solutions?  Alternatively, are there certain situations where such services would fall short of functional equivalency for the signing population?  To what extent can these direct video or text alternatives be used for calls made to businesses and other parties, such as doctors’ offices, schools, stores, family members, and colleagues?  What are the potential cost-savings to the TRS Fund resulting from the use of such non-VRS technologies?</w:t>
      </w:r>
    </w:p>
    <w:p w:rsidR="00134604" w:rsidRDefault="00134604" w:rsidP="00134604">
      <w:pPr>
        <w:pStyle w:val="Heading2"/>
      </w:pPr>
      <w:bookmarkStart w:id="177" w:name="_Toc474858612"/>
      <w:bookmarkStart w:id="178" w:name="_Toc474859322"/>
      <w:bookmarkStart w:id="179" w:name="_Toc474860051"/>
      <w:bookmarkStart w:id="180" w:name="_Toc474860228"/>
      <w:bookmarkStart w:id="181" w:name="_Toc474860348"/>
      <w:bookmarkStart w:id="182" w:name="_Toc474860534"/>
      <w:bookmarkStart w:id="183" w:name="_Toc474860600"/>
      <w:bookmarkStart w:id="184" w:name="_Toc474860743"/>
      <w:bookmarkStart w:id="185" w:name="_Toc474946531"/>
      <w:bookmarkStart w:id="186" w:name="_Toc475724119"/>
      <w:bookmarkStart w:id="187" w:name="_Toc475724312"/>
      <w:bookmarkStart w:id="188" w:name="_Toc475724459"/>
      <w:bookmarkStart w:id="189" w:name="_Toc475724789"/>
      <w:bookmarkStart w:id="190" w:name="_Toc476077819"/>
      <w:bookmarkStart w:id="191" w:name="_Toc477963675"/>
      <w:r w:rsidRPr="00AD3EEC">
        <w:t>Performance Measures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134604" w:rsidRPr="00CD4FB9" w:rsidRDefault="00134604" w:rsidP="00134604">
      <w:pPr>
        <w:pStyle w:val="ParaNum"/>
        <w:widowControl/>
        <w:rPr>
          <w:rFonts w:eastAsia="Calibri"/>
        </w:rPr>
      </w:pPr>
      <w:r w:rsidRPr="00A604A0">
        <w:rPr>
          <w:rFonts w:eastAsia="Calibri"/>
        </w:rPr>
        <w:t xml:space="preserve">Our goal, then, is to define measurements that will provide valuable empirical evidence </w:t>
      </w:r>
      <w:r>
        <w:rPr>
          <w:rFonts w:eastAsia="Calibri"/>
        </w:rPr>
        <w:t xml:space="preserve">to inform both </w:t>
      </w:r>
      <w:r w:rsidRPr="00A604A0">
        <w:rPr>
          <w:rFonts w:eastAsia="Calibri"/>
        </w:rPr>
        <w:t>the Commission</w:t>
      </w:r>
      <w:r>
        <w:rPr>
          <w:rFonts w:eastAsia="Calibri"/>
        </w:rPr>
        <w:t>’s</w:t>
      </w:r>
      <w:r w:rsidRPr="00A604A0">
        <w:rPr>
          <w:rFonts w:eastAsia="Calibri"/>
        </w:rPr>
        <w:t xml:space="preserve"> </w:t>
      </w:r>
      <w:r>
        <w:rPr>
          <w:rFonts w:eastAsia="Calibri"/>
        </w:rPr>
        <w:t xml:space="preserve">VRS </w:t>
      </w:r>
      <w:r w:rsidRPr="00A604A0">
        <w:rPr>
          <w:rFonts w:eastAsia="Calibri"/>
        </w:rPr>
        <w:t>policy decisions</w:t>
      </w:r>
      <w:r>
        <w:rPr>
          <w:rFonts w:eastAsia="Calibri"/>
        </w:rPr>
        <w:t>,</w:t>
      </w:r>
      <w:r w:rsidRPr="00A604A0">
        <w:rPr>
          <w:rFonts w:eastAsia="Calibri"/>
        </w:rPr>
        <w:t xml:space="preserve"> as well as to provide consumers with the information they need to make informed choices in their selection of VRS provider services.</w:t>
      </w:r>
      <w:r w:rsidRPr="009D2C6A">
        <w:rPr>
          <w:rFonts w:eastAsia="Calibri"/>
          <w:snapToGrid/>
        </w:rPr>
        <w:t xml:space="preserve">  </w:t>
      </w:r>
      <w:r w:rsidRPr="00C939E2">
        <w:rPr>
          <w:rFonts w:eastAsia="Calibri"/>
        </w:rPr>
        <w:t>Some of these metrics may be observed automatically, e.g., by call processing logs or adding measurement functionality to end user equipment, while others may require the evaluation by VRS users or human subject matter experts.</w:t>
      </w:r>
    </w:p>
    <w:p w:rsidR="00134604" w:rsidRPr="00D91417" w:rsidRDefault="00134604" w:rsidP="00134604">
      <w:pPr>
        <w:pStyle w:val="ParaNum"/>
        <w:widowControl/>
        <w:rPr>
          <w:rFonts w:eastAsia="Calibri"/>
        </w:rPr>
      </w:pPr>
      <w:r>
        <w:rPr>
          <w:rFonts w:eastAsia="Calibri"/>
          <w:snapToGrid/>
        </w:rPr>
        <w:t>W</w:t>
      </w:r>
      <w:r w:rsidRPr="00CD4FB9">
        <w:rPr>
          <w:rFonts w:eastAsia="Calibri"/>
          <w:snapToGrid/>
        </w:rPr>
        <w:t xml:space="preserve">e seek comment on whether the derivation of data used to measure VRS service quality should be overseen by the </w:t>
      </w:r>
      <w:r>
        <w:rPr>
          <w:rFonts w:eastAsia="Calibri"/>
          <w:snapToGrid/>
        </w:rPr>
        <w:t xml:space="preserve">TRS </w:t>
      </w:r>
      <w:r w:rsidRPr="00CD4FB9">
        <w:rPr>
          <w:rFonts w:eastAsia="Calibri"/>
          <w:snapToGrid/>
        </w:rPr>
        <w:t>Fund administrator or otherwise developed through contractual or similar arrangements with independent third parties selected by the Commission.</w:t>
      </w:r>
      <w:r>
        <w:rPr>
          <w:rFonts w:eastAsia="Calibri"/>
          <w:snapToGrid/>
        </w:rPr>
        <w:t xml:space="preserve">  </w:t>
      </w:r>
      <w:r w:rsidRPr="007A606E">
        <w:rPr>
          <w:rFonts w:eastAsia="Calibri"/>
          <w:snapToGrid/>
        </w:rPr>
        <w:t xml:space="preserve">We </w:t>
      </w:r>
      <w:r>
        <w:rPr>
          <w:rFonts w:eastAsia="Calibri"/>
          <w:snapToGrid/>
        </w:rPr>
        <w:t>believe</w:t>
      </w:r>
      <w:r w:rsidRPr="007A606E">
        <w:rPr>
          <w:rFonts w:eastAsia="Calibri"/>
          <w:snapToGrid/>
        </w:rPr>
        <w:t xml:space="preserve"> that the establishment of estimates and calculations resulting from performance measures will have greater efficacy if the measurements and report</w:t>
      </w:r>
      <w:r>
        <w:rPr>
          <w:rFonts w:eastAsia="Calibri"/>
          <w:snapToGrid/>
        </w:rPr>
        <w:t>s</w:t>
      </w:r>
      <w:r w:rsidRPr="007A606E">
        <w:rPr>
          <w:rFonts w:eastAsia="Calibri"/>
          <w:snapToGrid/>
        </w:rPr>
        <w:t xml:space="preserve"> of results are conducted </w:t>
      </w:r>
      <w:r w:rsidRPr="00FF2289">
        <w:rPr>
          <w:rFonts w:eastAsia="Calibri"/>
          <w:snapToGrid/>
        </w:rPr>
        <w:t>independently, i.e., not by the regulated e</w:t>
      </w:r>
      <w:r w:rsidRPr="00D41DBB">
        <w:rPr>
          <w:rFonts w:eastAsia="Calibri"/>
          <w:snapToGrid/>
        </w:rPr>
        <w:t xml:space="preserve">ntities.  </w:t>
      </w:r>
      <w:r w:rsidRPr="00D91417">
        <w:rPr>
          <w:rFonts w:eastAsia="Calibri"/>
          <w:snapToGrid/>
        </w:rPr>
        <w:t>We also seek comment on whether to publish the metrics achieved for each provider</w:t>
      </w:r>
      <w:r>
        <w:rPr>
          <w:rFonts w:eastAsia="Calibri"/>
          <w:snapToGrid/>
        </w:rPr>
        <w:t xml:space="preserve">, as it appears likely </w:t>
      </w:r>
      <w:r w:rsidRPr="00D91417">
        <w:rPr>
          <w:rFonts w:eastAsia="Calibri"/>
          <w:snapToGrid/>
        </w:rPr>
        <w:t xml:space="preserve">that making the results of these measurements available to the public in a standard format will aid users in their selection of VRS providers.  </w:t>
      </w:r>
      <w:r>
        <w:rPr>
          <w:rFonts w:eastAsia="Calibri"/>
          <w:snapToGrid/>
        </w:rPr>
        <w:t xml:space="preserve">Finally, we seek comment on the merits of developing a system by which VRS users can rate the quality and performance of VRS calls, which would be based on the metrics discussed below and shared publicly to improve competition. </w:t>
      </w:r>
    </w:p>
    <w:p w:rsidR="00134604" w:rsidRPr="00D91417" w:rsidRDefault="00134604" w:rsidP="00134604">
      <w:pPr>
        <w:pStyle w:val="ParaNum"/>
        <w:widowControl/>
        <w:rPr>
          <w:rFonts w:eastAsia="Calibri"/>
        </w:rPr>
      </w:pPr>
      <w:r w:rsidRPr="00D91417">
        <w:rPr>
          <w:rFonts w:eastAsia="Calibri"/>
        </w:rPr>
        <w:t xml:space="preserve">To measure functional equivalence, we seek specific comment on </w:t>
      </w:r>
      <w:r>
        <w:rPr>
          <w:rFonts w:eastAsia="Calibri"/>
        </w:rPr>
        <w:t xml:space="preserve">whether to use </w:t>
      </w:r>
      <w:r w:rsidRPr="00D91417">
        <w:rPr>
          <w:rFonts w:eastAsia="Calibri"/>
        </w:rPr>
        <w:t>the following metrics:  (1) quality and accuracy of interpretation; (2) technical voice and video quality; (3)</w:t>
      </w:r>
      <w:r>
        <w:rPr>
          <w:rFonts w:eastAsia="Calibri"/>
        </w:rPr>
        <w:t> </w:t>
      </w:r>
      <w:r w:rsidRPr="00D91417">
        <w:rPr>
          <w:rFonts w:eastAsia="Calibri"/>
        </w:rPr>
        <w:t>interoperability and portability; (4) percentage and frequency of dropped or disconnected calls; and (5)</w:t>
      </w:r>
      <w:r>
        <w:rPr>
          <w:rFonts w:eastAsia="Calibri"/>
        </w:rPr>
        <w:t> </w:t>
      </w:r>
      <w:r w:rsidRPr="00D91417">
        <w:rPr>
          <w:rFonts w:eastAsia="Calibri"/>
        </w:rPr>
        <w:t>service outages.</w:t>
      </w:r>
      <w:r w:rsidRPr="00C939E2">
        <w:rPr>
          <w:rStyle w:val="FootnoteReference"/>
          <w:rFonts w:eastAsia="Calibri"/>
        </w:rPr>
        <w:footnoteReference w:id="182"/>
      </w:r>
      <w:r w:rsidRPr="00D91417">
        <w:rPr>
          <w:rFonts w:eastAsia="Calibri"/>
        </w:rPr>
        <w:t xml:space="preserve">  </w:t>
      </w:r>
    </w:p>
    <w:p w:rsidR="00134604" w:rsidRDefault="00134604" w:rsidP="00134604">
      <w:pPr>
        <w:pStyle w:val="ParaNum"/>
        <w:widowControl/>
        <w:rPr>
          <w:rFonts w:eastAsia="Calibri"/>
          <w:snapToGrid/>
        </w:rPr>
      </w:pPr>
      <w:r>
        <w:rPr>
          <w:rFonts w:eastAsia="Calibri"/>
          <w:i/>
          <w:snapToGrid/>
        </w:rPr>
        <w:t xml:space="preserve">Quality and </w:t>
      </w:r>
      <w:r w:rsidRPr="007502E6">
        <w:rPr>
          <w:rFonts w:eastAsia="Calibri"/>
          <w:i/>
          <w:snapToGrid/>
        </w:rPr>
        <w:t xml:space="preserve">Accuracy of Interpretation.  </w:t>
      </w:r>
      <w:r w:rsidRPr="00E51DC1">
        <w:rPr>
          <w:rFonts w:eastAsia="Calibri"/>
          <w:snapToGrid/>
        </w:rPr>
        <w:t>The Commission’s mandatory minimum standards prohibit CAs from intentionally altering a rela</w:t>
      </w:r>
      <w:r>
        <w:rPr>
          <w:rFonts w:eastAsia="Calibri"/>
          <w:snapToGrid/>
        </w:rPr>
        <w:t>y</w:t>
      </w:r>
      <w:r w:rsidRPr="00E51DC1">
        <w:rPr>
          <w:rFonts w:eastAsia="Calibri"/>
          <w:snapToGrid/>
        </w:rPr>
        <w:t>ed conversation and further require that they “relay all conversation verbatim unless the relay user specifically requests summarization . . .”</w:t>
      </w:r>
      <w:r w:rsidRPr="00C939E2">
        <w:rPr>
          <w:rStyle w:val="FootnoteReference"/>
          <w:rFonts w:eastAsia="Calibri"/>
        </w:rPr>
        <w:footnoteReference w:id="183"/>
      </w:r>
      <w:r w:rsidRPr="007502E6">
        <w:rPr>
          <w:rFonts w:eastAsia="Calibri"/>
          <w:snapToGrid/>
        </w:rPr>
        <w:t xml:space="preserve">  Commission rules </w:t>
      </w:r>
      <w:r>
        <w:rPr>
          <w:rFonts w:eastAsia="Calibri"/>
          <w:snapToGrid/>
        </w:rPr>
        <w:t xml:space="preserve">also </w:t>
      </w:r>
      <w:r w:rsidRPr="007502E6">
        <w:rPr>
          <w:rFonts w:eastAsia="Calibri"/>
          <w:snapToGrid/>
        </w:rPr>
        <w:t>require that VRS CAs be qualified to “interpret effectively, accurately, and impartially, both receptively and expressively, using any necessary specialized vocabulary.”</w:t>
      </w:r>
      <w:r w:rsidRPr="00C939E2">
        <w:rPr>
          <w:rStyle w:val="FootnoteReference"/>
          <w:rFonts w:eastAsia="Calibri"/>
        </w:rPr>
        <w:footnoteReference w:id="184"/>
      </w:r>
      <w:r w:rsidRPr="007502E6">
        <w:rPr>
          <w:rFonts w:eastAsia="Calibri"/>
          <w:snapToGrid/>
        </w:rPr>
        <w:t xml:space="preserve">  Additionally, </w:t>
      </w:r>
      <w:r w:rsidRPr="00E51DC1">
        <w:rPr>
          <w:rFonts w:eastAsia="Calibri"/>
          <w:snapToGrid/>
        </w:rPr>
        <w:t>our rules require CAs to “possess clear and articulate voice communications” for the voice leg of the call.</w:t>
      </w:r>
      <w:r w:rsidRPr="00C939E2">
        <w:rPr>
          <w:rStyle w:val="FootnoteReference"/>
          <w:rFonts w:eastAsia="Calibri"/>
        </w:rPr>
        <w:footnoteReference w:id="185"/>
      </w:r>
      <w:r w:rsidRPr="007502E6">
        <w:rPr>
          <w:rFonts w:eastAsia="Calibri"/>
          <w:snapToGrid/>
        </w:rPr>
        <w:t xml:space="preserve">  </w:t>
      </w:r>
      <w:r w:rsidRPr="00DD30AF">
        <w:rPr>
          <w:rFonts w:eastAsia="Calibri"/>
          <w:snapToGrid/>
        </w:rPr>
        <w:t xml:space="preserve">Yet, consumer organizations have continued to </w:t>
      </w:r>
      <w:r>
        <w:rPr>
          <w:rFonts w:eastAsia="Calibri"/>
          <w:snapToGrid/>
        </w:rPr>
        <w:t>show concern about the quality of VRS interpretation</w:t>
      </w:r>
      <w:r w:rsidRPr="00DD30AF">
        <w:rPr>
          <w:rFonts w:eastAsia="Calibri"/>
          <w:snapToGrid/>
        </w:rPr>
        <w:t>.</w:t>
      </w:r>
      <w:r>
        <w:rPr>
          <w:rStyle w:val="FootnoteReference"/>
          <w:rFonts w:eastAsia="Calibri"/>
          <w:snapToGrid/>
        </w:rPr>
        <w:footnoteReference w:id="186"/>
      </w:r>
      <w:r w:rsidRPr="00DD30AF">
        <w:rPr>
          <w:rFonts w:eastAsia="Calibri"/>
          <w:snapToGrid/>
        </w:rPr>
        <w:t xml:space="preserve">  We seek comment on how interpretation quality </w:t>
      </w:r>
      <w:r>
        <w:rPr>
          <w:rFonts w:eastAsia="Calibri"/>
          <w:snapToGrid/>
        </w:rPr>
        <w:t>can</w:t>
      </w:r>
      <w:r w:rsidRPr="00DD30AF">
        <w:rPr>
          <w:rFonts w:eastAsia="Calibri"/>
          <w:snapToGrid/>
        </w:rPr>
        <w:t xml:space="preserve"> be </w:t>
      </w:r>
      <w:r>
        <w:rPr>
          <w:rFonts w:eastAsia="Calibri"/>
          <w:snapToGrid/>
        </w:rPr>
        <w:t xml:space="preserve">effectively </w:t>
      </w:r>
      <w:r w:rsidRPr="00DD30AF">
        <w:rPr>
          <w:rFonts w:eastAsia="Calibri"/>
          <w:snapToGrid/>
        </w:rPr>
        <w:t xml:space="preserve">measured to </w:t>
      </w:r>
      <w:r>
        <w:rPr>
          <w:rFonts w:eastAsia="Calibri"/>
          <w:snapToGrid/>
        </w:rPr>
        <w:t>assess</w:t>
      </w:r>
      <w:r w:rsidRPr="00DD30AF">
        <w:rPr>
          <w:rFonts w:eastAsia="Calibri"/>
          <w:snapToGrid/>
        </w:rPr>
        <w:t xml:space="preserve"> functional equivalence</w:t>
      </w:r>
      <w:r>
        <w:rPr>
          <w:rFonts w:eastAsia="Calibri"/>
          <w:snapToGrid/>
        </w:rPr>
        <w:t>.</w:t>
      </w:r>
      <w:r>
        <w:rPr>
          <w:rStyle w:val="FootnoteReference"/>
          <w:rFonts w:eastAsia="Calibri"/>
          <w:snapToGrid/>
        </w:rPr>
        <w:footnoteReference w:id="187"/>
      </w:r>
      <w:r w:rsidRPr="00DD30AF">
        <w:rPr>
          <w:rFonts w:eastAsia="Calibri"/>
          <w:snapToGrid/>
        </w:rPr>
        <w:t xml:space="preserve">  </w:t>
      </w:r>
    </w:p>
    <w:p w:rsidR="00134604" w:rsidRPr="00DD30AF" w:rsidRDefault="00134604" w:rsidP="00134604">
      <w:pPr>
        <w:pStyle w:val="ParaNum"/>
        <w:widowControl/>
        <w:rPr>
          <w:rFonts w:eastAsia="Calibri"/>
          <w:snapToGrid/>
        </w:rPr>
      </w:pPr>
      <w:r>
        <w:rPr>
          <w:rFonts w:eastAsia="Calibri"/>
          <w:snapToGrid/>
        </w:rPr>
        <w:t xml:space="preserve">A key element of interpretation quality is accuracy, i.e., the extent to which </w:t>
      </w:r>
      <w:r w:rsidRPr="00DD30AF">
        <w:rPr>
          <w:rFonts w:eastAsia="Calibri"/>
          <w:snapToGrid/>
        </w:rPr>
        <w:t>the information conveyed by one party to a VRS call accurately matches the communication conveyed by the CA to the other parties to that call.</w:t>
      </w:r>
      <w:r>
        <w:rPr>
          <w:rFonts w:eastAsia="Calibri"/>
          <w:snapToGrid/>
        </w:rPr>
        <w:t xml:space="preserve">  </w:t>
      </w:r>
      <w:r w:rsidRPr="00DD30AF">
        <w:rPr>
          <w:rFonts w:eastAsia="Calibri"/>
          <w:snapToGrid/>
        </w:rPr>
        <w:t xml:space="preserve">How should accuracy be measured?  What metrics and methods are currently used to evaluate </w:t>
      </w:r>
      <w:r>
        <w:rPr>
          <w:rFonts w:eastAsia="Calibri"/>
          <w:snapToGrid/>
        </w:rPr>
        <w:t xml:space="preserve">VRS </w:t>
      </w:r>
      <w:r w:rsidRPr="00DD30AF">
        <w:rPr>
          <w:rFonts w:eastAsia="Calibri"/>
          <w:snapToGrid/>
        </w:rPr>
        <w:t xml:space="preserve">interpreters, e.g., for purposes of certification or evaluation during interpreter training?  Are there </w:t>
      </w:r>
      <w:r>
        <w:rPr>
          <w:rFonts w:eastAsia="Calibri"/>
          <w:snapToGrid/>
        </w:rPr>
        <w:t xml:space="preserve">relevant </w:t>
      </w:r>
      <w:r w:rsidRPr="00DD30AF">
        <w:rPr>
          <w:rFonts w:eastAsia="Calibri"/>
          <w:snapToGrid/>
        </w:rPr>
        <w:t xml:space="preserve">metrics and </w:t>
      </w:r>
      <w:r>
        <w:rPr>
          <w:rFonts w:eastAsia="Calibri"/>
          <w:snapToGrid/>
        </w:rPr>
        <w:t>methods used by</w:t>
      </w:r>
      <w:r w:rsidRPr="00DD30AF">
        <w:rPr>
          <w:rFonts w:eastAsia="Calibri"/>
          <w:snapToGrid/>
        </w:rPr>
        <w:t xml:space="preserve"> </w:t>
      </w:r>
      <w:r>
        <w:rPr>
          <w:rFonts w:eastAsia="Calibri"/>
          <w:snapToGrid/>
        </w:rPr>
        <w:t xml:space="preserve">spoken </w:t>
      </w:r>
      <w:r w:rsidRPr="00DD30AF">
        <w:rPr>
          <w:rFonts w:eastAsia="Calibri"/>
          <w:snapToGrid/>
        </w:rPr>
        <w:t>language translators</w:t>
      </w:r>
      <w:r>
        <w:rPr>
          <w:rFonts w:eastAsia="Calibri"/>
          <w:snapToGrid/>
        </w:rPr>
        <w:t xml:space="preserve"> that could be effectively applied </w:t>
      </w:r>
      <w:r w:rsidRPr="00DD30AF">
        <w:rPr>
          <w:rFonts w:eastAsia="Calibri"/>
          <w:snapToGrid/>
        </w:rPr>
        <w:t xml:space="preserve">to evaluate the accuracy of </w:t>
      </w:r>
      <w:r>
        <w:rPr>
          <w:rFonts w:eastAsia="Calibri"/>
          <w:snapToGrid/>
        </w:rPr>
        <w:t>VRS interpretation</w:t>
      </w:r>
      <w:r w:rsidRPr="00DD30AF">
        <w:rPr>
          <w:rFonts w:eastAsia="Calibri"/>
          <w:snapToGrid/>
        </w:rPr>
        <w:t>?  For example, f</w:t>
      </w:r>
      <w:r>
        <w:t xml:space="preserve">or any given call, </w:t>
      </w:r>
      <w:r w:rsidRPr="00DD30AF">
        <w:rPr>
          <w:rFonts w:eastAsia="Calibri"/>
          <w:snapToGrid/>
        </w:rPr>
        <w:t xml:space="preserve">can </w:t>
      </w:r>
      <w:r>
        <w:t>accuracy be measured by comparing the signs of the ASL user and words of the hearing person—as each are delivered to the CA—to the words spoken and signs made by the CA?  Given that interpretation of ASL to English is often a matter of conveying concepts rather than word-for-word translation, how can an appropriate comparison between the signs produced by ASL users be effectively compared to the words relayed by the CA to produce an effective accuracy percentage?  U</w:t>
      </w:r>
      <w:r w:rsidRPr="00DD30AF">
        <w:rPr>
          <w:rFonts w:eastAsia="Calibri"/>
          <w:snapToGrid/>
        </w:rPr>
        <w:t xml:space="preserve">nlike speech-to-text transcription, interpretation accuracy may be difficult to evaluate on a word-by-word basis because the grammar and word usage differ between ASL and spoken languages such as English or Spanish.  How can we account for such differences in taking accuracy measurements?  Are there scales similar to the voice five-step mean opinion score (MOS) metrics? </w:t>
      </w:r>
      <w:r>
        <w:rPr>
          <w:rFonts w:eastAsia="Calibri"/>
          <w:snapToGrid/>
        </w:rPr>
        <w:t xml:space="preserve"> MOS scores are used to rate the user-perceived quality and listening effort on a five point scale, such as “excellent-good-fair-poor-bad,” as defined in ITU-T Recommendation P.800.</w:t>
      </w:r>
      <w:r>
        <w:rPr>
          <w:rStyle w:val="FootnoteReference"/>
          <w:rFonts w:eastAsia="Calibri"/>
          <w:snapToGrid/>
        </w:rPr>
        <w:footnoteReference w:id="188"/>
      </w:r>
      <w:r w:rsidRPr="00DD30AF">
        <w:rPr>
          <w:rFonts w:eastAsia="Calibri"/>
          <w:snapToGrid/>
        </w:rPr>
        <w:t xml:space="preserve"> </w:t>
      </w:r>
    </w:p>
    <w:p w:rsidR="00134604" w:rsidRPr="00541671" w:rsidRDefault="00134604" w:rsidP="00134604">
      <w:pPr>
        <w:pStyle w:val="ParaNum"/>
        <w:widowControl/>
        <w:rPr>
          <w:rFonts w:eastAsia="Calibri"/>
          <w:snapToGrid/>
        </w:rPr>
      </w:pPr>
      <w:r>
        <w:t xml:space="preserve">Should we adjust accuracy measurements for certain kinds of calls, such as calls to 911 or calls where a skills-based or deaf interpreter is utilized?  More broadly, what tools should we use to measure the accuracy of VRS calls given that measurements may be unreliable without access to </w:t>
      </w:r>
      <w:r w:rsidRPr="007502E6">
        <w:rPr>
          <w:rFonts w:eastAsia="Calibri"/>
          <w:snapToGrid/>
        </w:rPr>
        <w:t>both side</w:t>
      </w:r>
      <w:r>
        <w:rPr>
          <w:rFonts w:eastAsia="Calibri"/>
          <w:snapToGrid/>
        </w:rPr>
        <w:t>s</w:t>
      </w:r>
      <w:r w:rsidRPr="007502E6">
        <w:rPr>
          <w:rFonts w:eastAsia="Calibri"/>
          <w:snapToGrid/>
        </w:rPr>
        <w:t xml:space="preserve"> of the conversation</w:t>
      </w:r>
      <w:r>
        <w:rPr>
          <w:rFonts w:eastAsia="Calibri"/>
          <w:snapToGrid/>
        </w:rPr>
        <w:t xml:space="preserve">? </w:t>
      </w:r>
      <w:r w:rsidRPr="007502E6">
        <w:rPr>
          <w:rFonts w:eastAsia="Calibri"/>
          <w:snapToGrid/>
        </w:rPr>
        <w:t xml:space="preserve"> </w:t>
      </w:r>
      <w:r>
        <w:rPr>
          <w:rFonts w:eastAsia="Calibri"/>
          <w:snapToGrid/>
        </w:rPr>
        <w:t>S</w:t>
      </w:r>
      <w:r w:rsidRPr="007502E6">
        <w:rPr>
          <w:rFonts w:eastAsia="Calibri"/>
          <w:snapToGrid/>
        </w:rPr>
        <w:t xml:space="preserve">hould </w:t>
      </w:r>
      <w:r>
        <w:rPr>
          <w:rFonts w:eastAsia="Calibri"/>
          <w:snapToGrid/>
        </w:rPr>
        <w:t>test calls</w:t>
      </w:r>
      <w:r w:rsidRPr="00E51DC1">
        <w:rPr>
          <w:rFonts w:eastAsia="Calibri"/>
          <w:snapToGrid/>
        </w:rPr>
        <w:t xml:space="preserve">, e.g., by </w:t>
      </w:r>
      <w:r>
        <w:rPr>
          <w:rFonts w:eastAsia="Calibri"/>
          <w:snapToGrid/>
        </w:rPr>
        <w:t xml:space="preserve">independent </w:t>
      </w:r>
      <w:r w:rsidRPr="00E51DC1">
        <w:rPr>
          <w:rFonts w:eastAsia="Calibri"/>
          <w:snapToGrid/>
        </w:rPr>
        <w:t>third parties, using sample scripts</w:t>
      </w:r>
      <w:r>
        <w:rPr>
          <w:rFonts w:eastAsia="Calibri"/>
          <w:snapToGrid/>
        </w:rPr>
        <w:t>,</w:t>
      </w:r>
      <w:r w:rsidRPr="002C6200">
        <w:rPr>
          <w:rFonts w:eastAsia="Calibri"/>
          <w:snapToGrid/>
        </w:rPr>
        <w:t xml:space="preserve"> </w:t>
      </w:r>
      <w:r>
        <w:rPr>
          <w:rFonts w:eastAsia="Calibri"/>
          <w:snapToGrid/>
        </w:rPr>
        <w:t xml:space="preserve">be employed to </w:t>
      </w:r>
      <w:r w:rsidRPr="007502E6">
        <w:rPr>
          <w:rFonts w:eastAsia="Calibri"/>
          <w:snapToGrid/>
        </w:rPr>
        <w:t>evaluate the accuracy of interpretation</w:t>
      </w:r>
      <w:r w:rsidRPr="00C57ED6">
        <w:rPr>
          <w:rFonts w:eastAsia="Calibri"/>
          <w:snapToGrid/>
        </w:rPr>
        <w:t>?</w:t>
      </w:r>
      <w:r w:rsidRPr="00C939E2">
        <w:rPr>
          <w:rStyle w:val="FootnoteReference"/>
          <w:rFonts w:eastAsia="Calibri"/>
        </w:rPr>
        <w:footnoteReference w:id="189"/>
      </w:r>
      <w:r w:rsidRPr="007502E6">
        <w:rPr>
          <w:rFonts w:eastAsia="Calibri"/>
          <w:snapToGrid/>
        </w:rPr>
        <w:t xml:space="preserve">  </w:t>
      </w:r>
      <w:r>
        <w:rPr>
          <w:rFonts w:eastAsia="Calibri"/>
          <w:snapToGrid/>
        </w:rPr>
        <w:t xml:space="preserve">Alternatively, should independent third parties be permitted to monitor unscripted calls for the purpose of measuring interpretation quality, and under what conditions to protect privacy and confidentiality?  </w:t>
      </w:r>
      <w:r>
        <w:t>Our rules presently prohibit providers from retaining records of the content of any conversation beyond the duration of a call.</w:t>
      </w:r>
      <w:r>
        <w:rPr>
          <w:rStyle w:val="FootnoteReference"/>
        </w:rPr>
        <w:footnoteReference w:id="190"/>
      </w:r>
      <w:r>
        <w:t xml:space="preserve">  Are there real-time or other methods that can be used to measure the accuracy of calls consistently with this prohibition?  Or should an exception be permitted for purposes of ensuring call quality</w:t>
      </w:r>
      <w:r w:rsidRPr="00D41DBB">
        <w:t xml:space="preserve">?  For example, should we require providers to record a statistically valid sample of calls?  Should we use anonymous </w:t>
      </w:r>
      <w:r>
        <w:t>callers to make and record call</w:t>
      </w:r>
      <w:r w:rsidRPr="00D41DBB">
        <w:t xml:space="preserve"> interactions for later analysis by experts?  How many calls would be appropriate for either of these methods?</w:t>
      </w:r>
      <w:r>
        <w:t xml:space="preserve">  </w:t>
      </w:r>
      <w:r w:rsidRPr="00D41DBB">
        <w:t xml:space="preserve">How should we address the confidentiality </w:t>
      </w:r>
      <w:r>
        <w:t>concerns of VRS users if recordings are used in this process?</w:t>
      </w:r>
    </w:p>
    <w:p w:rsidR="00134604" w:rsidRDefault="00134604" w:rsidP="00134604">
      <w:pPr>
        <w:pStyle w:val="ParaNum"/>
        <w:widowControl/>
        <w:rPr>
          <w:rFonts w:eastAsia="Calibri"/>
          <w:snapToGrid/>
        </w:rPr>
      </w:pPr>
      <w:r w:rsidRPr="00AD3EEC">
        <w:rPr>
          <w:rFonts w:eastAsia="Calibri"/>
          <w:snapToGrid/>
        </w:rPr>
        <w:t xml:space="preserve">We </w:t>
      </w:r>
      <w:r>
        <w:rPr>
          <w:rFonts w:eastAsia="Calibri"/>
          <w:snapToGrid/>
        </w:rPr>
        <w:t xml:space="preserve">also seek comment on whether and how to </w:t>
      </w:r>
      <w:r w:rsidRPr="00AD3EEC">
        <w:rPr>
          <w:rFonts w:eastAsia="Calibri"/>
          <w:snapToGrid/>
        </w:rPr>
        <w:t xml:space="preserve">measure the synchronicity of </w:t>
      </w:r>
      <w:r>
        <w:rPr>
          <w:rFonts w:eastAsia="Calibri"/>
          <w:snapToGrid/>
        </w:rPr>
        <w:t xml:space="preserve">interpreted </w:t>
      </w:r>
      <w:r w:rsidRPr="00AD3EEC">
        <w:rPr>
          <w:rFonts w:eastAsia="Calibri"/>
          <w:snapToGrid/>
        </w:rPr>
        <w:t xml:space="preserve">communications taking place during a VRS call.  </w:t>
      </w:r>
      <w:r>
        <w:rPr>
          <w:rFonts w:eastAsia="Calibri"/>
          <w:snapToGrid/>
        </w:rPr>
        <w:t>Although</w:t>
      </w:r>
      <w:r w:rsidRPr="00AD3EEC">
        <w:rPr>
          <w:rFonts w:eastAsia="Calibri"/>
          <w:snapToGrid/>
        </w:rPr>
        <w:t xml:space="preserve"> we recognize that there is necessarily some delay during relay calls,</w:t>
      </w:r>
      <w:r>
        <w:rPr>
          <w:rStyle w:val="FootnoteReference"/>
          <w:rFonts w:eastAsia="Calibri"/>
          <w:snapToGrid/>
        </w:rPr>
        <w:footnoteReference w:id="191"/>
      </w:r>
      <w:r w:rsidRPr="00AD3EEC">
        <w:rPr>
          <w:rFonts w:eastAsia="Calibri"/>
          <w:snapToGrid/>
        </w:rPr>
        <w:t xml:space="preserve"> this delay </w:t>
      </w:r>
      <w:r>
        <w:rPr>
          <w:rFonts w:eastAsia="Calibri"/>
          <w:snapToGrid/>
        </w:rPr>
        <w:t xml:space="preserve">should </w:t>
      </w:r>
      <w:r w:rsidRPr="00AD3EEC">
        <w:rPr>
          <w:rFonts w:eastAsia="Calibri"/>
          <w:snapToGrid/>
        </w:rPr>
        <w:t>be kept to a minimum</w:t>
      </w:r>
      <w:r>
        <w:rPr>
          <w:rFonts w:eastAsia="Calibri"/>
          <w:snapToGrid/>
        </w:rPr>
        <w:t>,</w:t>
      </w:r>
      <w:r w:rsidRPr="00AD3EEC">
        <w:rPr>
          <w:rFonts w:eastAsia="Calibri"/>
          <w:snapToGrid/>
        </w:rPr>
        <w:t xml:space="preserve"> and signing should begin to appear at the approximate time that the corresponding speech begins and end approx</w:t>
      </w:r>
      <w:r>
        <w:rPr>
          <w:rFonts w:eastAsia="Calibri"/>
          <w:snapToGrid/>
        </w:rPr>
        <w:t xml:space="preserve">imately when the speech ends.  </w:t>
      </w:r>
      <w:r w:rsidRPr="00AD3EEC">
        <w:rPr>
          <w:rFonts w:eastAsia="Calibri"/>
          <w:snapToGrid/>
        </w:rPr>
        <w:t xml:space="preserve">We seek comment on </w:t>
      </w:r>
      <w:r>
        <w:rPr>
          <w:rFonts w:eastAsia="Calibri"/>
          <w:snapToGrid/>
        </w:rPr>
        <w:t>whether there are existing metrics, e.g., for non-ASL language interpreters, that we might use for this purpose.  Are there studies that indicate what kind of delay is acceptable for fluid conversation?  Does the interpretation delay vary significantly among CAs such that there is a need to determine this measurement?  To what extent should</w:t>
      </w:r>
      <w:r w:rsidRPr="00AD3EEC">
        <w:rPr>
          <w:rFonts w:eastAsia="Calibri"/>
          <w:snapToGrid/>
        </w:rPr>
        <w:t xml:space="preserve"> this metric be measured by independent third parties</w:t>
      </w:r>
      <w:r>
        <w:rPr>
          <w:rFonts w:eastAsia="Calibri"/>
          <w:snapToGrid/>
        </w:rPr>
        <w:t>?</w:t>
      </w:r>
    </w:p>
    <w:p w:rsidR="00134604" w:rsidRPr="0032650E" w:rsidRDefault="00134604" w:rsidP="00134604">
      <w:pPr>
        <w:pStyle w:val="ParaNum"/>
        <w:widowControl/>
        <w:rPr>
          <w:rFonts w:eastAsia="Calibri"/>
          <w:snapToGrid/>
        </w:rPr>
      </w:pPr>
      <w:r w:rsidRPr="00AD3EEC">
        <w:rPr>
          <w:rFonts w:eastAsia="Calibri"/>
          <w:snapToGrid/>
        </w:rPr>
        <w:t xml:space="preserve">Are there other </w:t>
      </w:r>
      <w:r>
        <w:rPr>
          <w:rFonts w:eastAsia="Calibri"/>
          <w:snapToGrid/>
        </w:rPr>
        <w:t xml:space="preserve">metrics </w:t>
      </w:r>
      <w:r w:rsidRPr="00AD3EEC">
        <w:rPr>
          <w:rFonts w:eastAsia="Calibri"/>
          <w:snapToGrid/>
        </w:rPr>
        <w:t xml:space="preserve">that the Commission should use to evaluate </w:t>
      </w:r>
      <w:r>
        <w:rPr>
          <w:rFonts w:eastAsia="Calibri"/>
          <w:snapToGrid/>
        </w:rPr>
        <w:t xml:space="preserve">interpreter </w:t>
      </w:r>
      <w:r w:rsidRPr="00AD3EEC">
        <w:rPr>
          <w:rFonts w:eastAsia="Calibri"/>
          <w:snapToGrid/>
        </w:rPr>
        <w:t>quality</w:t>
      </w:r>
      <w:r>
        <w:rPr>
          <w:rFonts w:eastAsia="Calibri"/>
          <w:snapToGrid/>
        </w:rPr>
        <w:t xml:space="preserve"> and accuracy</w:t>
      </w:r>
      <w:r w:rsidRPr="00AD3EEC">
        <w:rPr>
          <w:rFonts w:eastAsia="Calibri"/>
          <w:snapToGrid/>
        </w:rPr>
        <w:t xml:space="preserve">?  </w:t>
      </w:r>
      <w:r>
        <w:rPr>
          <w:rFonts w:eastAsia="Calibri"/>
          <w:snapToGrid/>
        </w:rPr>
        <w:t>How</w:t>
      </w:r>
      <w:r w:rsidRPr="00AD3EEC">
        <w:rPr>
          <w:rFonts w:eastAsia="Calibri"/>
          <w:snapToGrid/>
        </w:rPr>
        <w:t xml:space="preserve"> effectively </w:t>
      </w:r>
      <w:r>
        <w:rPr>
          <w:rFonts w:eastAsia="Calibri"/>
          <w:snapToGrid/>
        </w:rPr>
        <w:t xml:space="preserve">will such metrics </w:t>
      </w:r>
      <w:r w:rsidRPr="00AD3EEC">
        <w:rPr>
          <w:rFonts w:eastAsia="Calibri"/>
          <w:snapToGrid/>
        </w:rPr>
        <w:t>assess the extent to which functional equivalence is being attained</w:t>
      </w:r>
      <w:r>
        <w:rPr>
          <w:rFonts w:eastAsia="Calibri"/>
          <w:snapToGrid/>
        </w:rPr>
        <w:t xml:space="preserve">, and what </w:t>
      </w:r>
      <w:r w:rsidRPr="00AD3EEC">
        <w:rPr>
          <w:rFonts w:eastAsia="Calibri"/>
          <w:snapToGrid/>
        </w:rPr>
        <w:t xml:space="preserve">methods </w:t>
      </w:r>
      <w:r>
        <w:rPr>
          <w:rFonts w:eastAsia="Calibri"/>
          <w:snapToGrid/>
        </w:rPr>
        <w:t xml:space="preserve">can </w:t>
      </w:r>
      <w:r w:rsidRPr="00AD3EEC">
        <w:rPr>
          <w:rFonts w:eastAsia="Calibri"/>
          <w:snapToGrid/>
        </w:rPr>
        <w:t xml:space="preserve">be used to </w:t>
      </w:r>
      <w:r>
        <w:rPr>
          <w:rFonts w:eastAsia="Calibri"/>
          <w:snapToGrid/>
        </w:rPr>
        <w:t xml:space="preserve">measure these?  </w:t>
      </w:r>
    </w:p>
    <w:p w:rsidR="00134604" w:rsidRPr="00AD3EEC" w:rsidRDefault="00134604" w:rsidP="00134604">
      <w:pPr>
        <w:pStyle w:val="ParaNum"/>
        <w:widowControl/>
        <w:rPr>
          <w:rFonts w:eastAsia="Calibri"/>
          <w:snapToGrid/>
        </w:rPr>
      </w:pPr>
      <w:r w:rsidRPr="00B206F8">
        <w:rPr>
          <w:rFonts w:eastAsia="Calibri"/>
          <w:i/>
          <w:snapToGrid/>
        </w:rPr>
        <w:t>Technical Voice and Video Quality.</w:t>
      </w:r>
      <w:r>
        <w:rPr>
          <w:rFonts w:eastAsia="Calibri"/>
          <w:i/>
          <w:snapToGrid/>
        </w:rPr>
        <w:t xml:space="preserve">  </w:t>
      </w:r>
      <w:r>
        <w:rPr>
          <w:rFonts w:eastAsia="Calibri"/>
          <w:snapToGrid/>
        </w:rPr>
        <w:t xml:space="preserve">The technical quality of video and voice transmissions, which may be affected by a number of variables, including frame rate, video resolution, audio sampling rate, and the audio and video codec, strongly influences the ability of VRS users to communicate effectively.  </w:t>
      </w:r>
      <w:r w:rsidRPr="00AD3EEC">
        <w:rPr>
          <w:rFonts w:eastAsia="Calibri"/>
          <w:snapToGrid/>
        </w:rPr>
        <w:t>Optimizing video clarity</w:t>
      </w:r>
      <w:r>
        <w:rPr>
          <w:rFonts w:eastAsia="Calibri"/>
          <w:snapToGrid/>
        </w:rPr>
        <w:t xml:space="preserve">, for example, </w:t>
      </w:r>
      <w:r w:rsidRPr="00AD3EEC">
        <w:rPr>
          <w:rFonts w:eastAsia="Calibri"/>
          <w:snapToGrid/>
        </w:rPr>
        <w:t>appear</w:t>
      </w:r>
      <w:r>
        <w:rPr>
          <w:rFonts w:eastAsia="Calibri"/>
          <w:snapToGrid/>
        </w:rPr>
        <w:t>s</w:t>
      </w:r>
      <w:r w:rsidRPr="00AD3EEC">
        <w:rPr>
          <w:rFonts w:eastAsia="Calibri"/>
          <w:snapToGrid/>
        </w:rPr>
        <w:t xml:space="preserve"> to be essential to </w:t>
      </w:r>
      <w:r>
        <w:rPr>
          <w:rFonts w:eastAsia="Calibri"/>
          <w:snapToGrid/>
        </w:rPr>
        <w:t xml:space="preserve">ensuring effective </w:t>
      </w:r>
      <w:r w:rsidRPr="00AD3EEC">
        <w:rPr>
          <w:rFonts w:eastAsia="Calibri"/>
          <w:snapToGrid/>
        </w:rPr>
        <w:t xml:space="preserve">communication on the </w:t>
      </w:r>
      <w:r>
        <w:rPr>
          <w:rFonts w:eastAsia="Calibri"/>
          <w:snapToGrid/>
        </w:rPr>
        <w:t xml:space="preserve">video (ASL) </w:t>
      </w:r>
      <w:r w:rsidRPr="00AD3EEC">
        <w:rPr>
          <w:rFonts w:eastAsia="Calibri"/>
          <w:snapToGrid/>
        </w:rPr>
        <w:t xml:space="preserve">leg of </w:t>
      </w:r>
      <w:r>
        <w:rPr>
          <w:rFonts w:eastAsia="Calibri"/>
          <w:snapToGrid/>
        </w:rPr>
        <w:t xml:space="preserve">a </w:t>
      </w:r>
      <w:r w:rsidRPr="00AD3EEC">
        <w:rPr>
          <w:rFonts w:eastAsia="Calibri"/>
          <w:snapToGrid/>
        </w:rPr>
        <w:t xml:space="preserve">VRS call.  </w:t>
      </w:r>
      <w:r>
        <w:rPr>
          <w:rFonts w:eastAsia="Calibri"/>
          <w:snapToGrid/>
        </w:rPr>
        <w:t>In addition, a provider’s support for voice carry-over may be critical to some users</w:t>
      </w:r>
      <w:r w:rsidRPr="00A1104C">
        <w:rPr>
          <w:rFonts w:eastAsia="Calibri"/>
          <w:snapToGrid/>
        </w:rPr>
        <w:t>.</w:t>
      </w:r>
      <w:r>
        <w:rPr>
          <w:rStyle w:val="FootnoteReference"/>
          <w:rFonts w:eastAsia="Calibri"/>
          <w:snapToGrid/>
        </w:rPr>
        <w:footnoteReference w:id="192"/>
      </w:r>
      <w:r w:rsidRPr="00A1104C">
        <w:rPr>
          <w:rFonts w:eastAsia="Calibri"/>
          <w:snapToGrid/>
        </w:rPr>
        <w:t xml:space="preserve">  </w:t>
      </w:r>
      <w:r>
        <w:rPr>
          <w:rFonts w:eastAsia="Calibri"/>
          <w:snapToGrid/>
        </w:rPr>
        <w:t>Technical quality parameters may in turn depend on the type of software and hardware made available to VRS users, the Internet bandwidth available to the ASL speaker, and the service infrastructure deployed by the VRS provider.</w:t>
      </w:r>
      <w:r w:rsidRPr="00AD3EEC">
        <w:rPr>
          <w:rFonts w:eastAsia="Calibri"/>
          <w:snapToGrid/>
        </w:rPr>
        <w:t xml:space="preserve">  </w:t>
      </w:r>
      <w:r>
        <w:rPr>
          <w:rFonts w:eastAsia="Calibri"/>
          <w:snapToGrid/>
        </w:rPr>
        <w:t xml:space="preserve">What metrics should be assigned to evaluate the technical quality of VRS as </w:t>
      </w:r>
      <w:r w:rsidRPr="00AD3EEC">
        <w:rPr>
          <w:rFonts w:eastAsia="Calibri"/>
          <w:snapToGrid/>
        </w:rPr>
        <w:t>a component of functional equivalenc</w:t>
      </w:r>
      <w:r>
        <w:rPr>
          <w:rFonts w:eastAsia="Calibri"/>
          <w:snapToGrid/>
        </w:rPr>
        <w:t>e</w:t>
      </w:r>
      <w:r w:rsidRPr="00AD3EEC">
        <w:rPr>
          <w:rFonts w:eastAsia="Calibri"/>
          <w:snapToGrid/>
        </w:rPr>
        <w:t xml:space="preserve">?  </w:t>
      </w:r>
      <w:r>
        <w:rPr>
          <w:rFonts w:eastAsia="Calibri"/>
          <w:snapToGrid/>
        </w:rPr>
        <w:t>What are the key parameters of a VRS provider’s audio and video communication service, and how should they be measured, evaluated, and published?  Finally, i</w:t>
      </w:r>
      <w:r w:rsidDel="00A1104C">
        <w:rPr>
          <w:rFonts w:eastAsia="Calibri"/>
          <w:snapToGrid/>
        </w:rPr>
        <w:t xml:space="preserve">n the future, voice-over-IP services used by VRS providers may also allow carriage of voice in high definition (HD audio).  </w:t>
      </w:r>
      <w:r>
        <w:rPr>
          <w:rFonts w:eastAsia="Calibri"/>
          <w:snapToGrid/>
        </w:rPr>
        <w:t>Should providers disclose whether they interconnect with their telecommunication service provider in HD audio?</w:t>
      </w:r>
      <w:r w:rsidRPr="00AD3EEC">
        <w:rPr>
          <w:rFonts w:eastAsia="Calibri"/>
          <w:snapToGrid/>
        </w:rPr>
        <w:t xml:space="preserve">  To what extent is this capability </w:t>
      </w:r>
      <w:r>
        <w:rPr>
          <w:rFonts w:eastAsia="Calibri"/>
          <w:snapToGrid/>
        </w:rPr>
        <w:t>needed for</w:t>
      </w:r>
      <w:r w:rsidRPr="00AD3EEC">
        <w:rPr>
          <w:rFonts w:eastAsia="Calibri"/>
          <w:snapToGrid/>
        </w:rPr>
        <w:t xml:space="preserve"> functionally equivalent VRS communications, and what metrics can be used to measure this feature?</w:t>
      </w:r>
      <w:r>
        <w:rPr>
          <w:rFonts w:eastAsia="Calibri"/>
          <w:snapToGrid/>
        </w:rPr>
        <w:t xml:space="preserve">  </w:t>
      </w:r>
    </w:p>
    <w:p w:rsidR="00134604" w:rsidRPr="007502E6" w:rsidRDefault="00134604" w:rsidP="00134604">
      <w:pPr>
        <w:pStyle w:val="ParaNum"/>
        <w:widowControl/>
        <w:rPr>
          <w:rFonts w:eastAsia="Calibri"/>
          <w:snapToGrid/>
        </w:rPr>
      </w:pPr>
      <w:r w:rsidRPr="00E51DC1">
        <w:rPr>
          <w:rFonts w:eastAsia="Calibri"/>
          <w:i/>
          <w:snapToGrid/>
        </w:rPr>
        <w:t>Interoperability</w:t>
      </w:r>
      <w:r w:rsidRPr="00E51DC1">
        <w:rPr>
          <w:rFonts w:eastAsia="Calibri"/>
          <w:snapToGrid/>
        </w:rPr>
        <w:t xml:space="preserve">.  </w:t>
      </w:r>
      <w:r>
        <w:rPr>
          <w:rFonts w:eastAsia="Calibri"/>
          <w:snapToGrid/>
        </w:rPr>
        <w:t>The Commission has long recognized the importance of interoperability to ensuring functional equivalence, given that v</w:t>
      </w:r>
      <w:r w:rsidRPr="00E51DC1">
        <w:rPr>
          <w:rFonts w:eastAsia="Calibri"/>
          <w:snapToGrid/>
        </w:rPr>
        <w:t xml:space="preserve">oice telephone users </w:t>
      </w:r>
      <w:r>
        <w:rPr>
          <w:rFonts w:eastAsia="Calibri"/>
          <w:snapToGrid/>
        </w:rPr>
        <w:t>may generally call</w:t>
      </w:r>
      <w:r w:rsidRPr="00E51DC1">
        <w:rPr>
          <w:rFonts w:eastAsia="Calibri"/>
          <w:snapToGrid/>
        </w:rPr>
        <w:t xml:space="preserve"> any person </w:t>
      </w:r>
      <w:r>
        <w:rPr>
          <w:rFonts w:eastAsia="Calibri"/>
          <w:snapToGrid/>
        </w:rPr>
        <w:t>without interoperability issues</w:t>
      </w:r>
      <w:r w:rsidRPr="00E51DC1">
        <w:rPr>
          <w:rFonts w:eastAsia="Calibri"/>
          <w:snapToGrid/>
        </w:rPr>
        <w:t>.</w:t>
      </w:r>
      <w:r>
        <w:rPr>
          <w:rStyle w:val="FootnoteReference"/>
          <w:rFonts w:eastAsia="Calibri"/>
          <w:snapToGrid/>
        </w:rPr>
        <w:footnoteReference w:id="193"/>
      </w:r>
      <w:r w:rsidRPr="00E51DC1">
        <w:rPr>
          <w:rFonts w:eastAsia="Calibri"/>
          <w:snapToGrid/>
        </w:rPr>
        <w:t xml:space="preserve">  </w:t>
      </w:r>
      <w:r>
        <w:rPr>
          <w:rFonts w:eastAsia="Calibri"/>
          <w:snapToGrid/>
        </w:rPr>
        <w:t>T</w:t>
      </w:r>
      <w:r w:rsidRPr="00E51DC1">
        <w:rPr>
          <w:rFonts w:eastAsia="Calibri"/>
          <w:snapToGrid/>
        </w:rPr>
        <w:t xml:space="preserve">he Commission </w:t>
      </w:r>
      <w:r w:rsidRPr="007502E6">
        <w:rPr>
          <w:rFonts w:eastAsia="Calibri"/>
          <w:snapToGrid/>
        </w:rPr>
        <w:t xml:space="preserve">has </w:t>
      </w:r>
      <w:r>
        <w:rPr>
          <w:rFonts w:eastAsia="Calibri"/>
          <w:snapToGrid/>
        </w:rPr>
        <w:t xml:space="preserve">incorporated interoperability standards into its rules and has </w:t>
      </w:r>
      <w:r w:rsidRPr="007502E6">
        <w:rPr>
          <w:rFonts w:eastAsia="Calibri"/>
          <w:snapToGrid/>
        </w:rPr>
        <w:t xml:space="preserve">established </w:t>
      </w:r>
      <w:r w:rsidRPr="00E51DC1">
        <w:rPr>
          <w:rFonts w:eastAsia="Calibri"/>
          <w:snapToGrid/>
        </w:rPr>
        <w:t>a means by which each provider’s compliance with these standards can be measured.</w:t>
      </w:r>
      <w:r w:rsidRPr="00C939E2">
        <w:rPr>
          <w:rStyle w:val="FootnoteReference"/>
          <w:rFonts w:eastAsia="Calibri"/>
        </w:rPr>
        <w:footnoteReference w:id="194"/>
      </w:r>
      <w:r w:rsidRPr="00E51DC1">
        <w:rPr>
          <w:rFonts w:eastAsia="Calibri"/>
          <w:snapToGrid/>
        </w:rPr>
        <w:t xml:space="preserve">  </w:t>
      </w:r>
      <w:r>
        <w:rPr>
          <w:rFonts w:eastAsia="Calibri"/>
          <w:snapToGrid/>
        </w:rPr>
        <w:t>To enhance the ability of the Commission and consumers to evaluate the extent of the interoperability that is achieved by VRS providers, w</w:t>
      </w:r>
      <w:r w:rsidRPr="00E51DC1">
        <w:rPr>
          <w:rFonts w:eastAsia="Calibri"/>
          <w:snapToGrid/>
        </w:rPr>
        <w:t xml:space="preserve">e seek comment on </w:t>
      </w:r>
      <w:r>
        <w:rPr>
          <w:rFonts w:eastAsia="Calibri"/>
          <w:snapToGrid/>
        </w:rPr>
        <w:t>the most</w:t>
      </w:r>
      <w:r w:rsidRPr="007502E6">
        <w:rPr>
          <w:rFonts w:eastAsia="Calibri"/>
          <w:snapToGrid/>
        </w:rPr>
        <w:t xml:space="preserve"> appropriate metric</w:t>
      </w:r>
      <w:r>
        <w:rPr>
          <w:rFonts w:eastAsia="Calibri"/>
          <w:snapToGrid/>
        </w:rPr>
        <w:t>s and measurement methods</w:t>
      </w:r>
      <w:r w:rsidRPr="007502E6">
        <w:rPr>
          <w:rFonts w:eastAsia="Calibri"/>
          <w:snapToGrid/>
        </w:rPr>
        <w:t xml:space="preserve"> for </w:t>
      </w:r>
      <w:r>
        <w:rPr>
          <w:rFonts w:eastAsia="Calibri"/>
          <w:snapToGrid/>
        </w:rPr>
        <w:t xml:space="preserve">quantitatively </w:t>
      </w:r>
      <w:r w:rsidRPr="007502E6">
        <w:rPr>
          <w:rFonts w:eastAsia="Calibri"/>
          <w:snapToGrid/>
        </w:rPr>
        <w:t xml:space="preserve">assessing </w:t>
      </w:r>
      <w:r>
        <w:rPr>
          <w:rFonts w:eastAsia="Calibri"/>
          <w:snapToGrid/>
        </w:rPr>
        <w:t>interoperability</w:t>
      </w:r>
      <w:r w:rsidRPr="007502E6">
        <w:rPr>
          <w:rFonts w:eastAsia="Calibri"/>
          <w:snapToGrid/>
        </w:rPr>
        <w:t xml:space="preserve">.  </w:t>
      </w:r>
      <w:r>
        <w:rPr>
          <w:rFonts w:eastAsia="Calibri"/>
          <w:snapToGrid/>
        </w:rPr>
        <w:t>For example, is there a means of quantifying the interoperability of various types of user-visible functions, such as the connection of calls, video mail and address books, or technical protocol features such as call setup, codecs, system configuration, end-to-end security and registration that could fail to interoperate as a result of noncompliance.</w:t>
      </w:r>
    </w:p>
    <w:p w:rsidR="00134604" w:rsidRDefault="00134604" w:rsidP="00134604">
      <w:pPr>
        <w:pStyle w:val="ParaNum"/>
        <w:widowControl/>
        <w:rPr>
          <w:rFonts w:eastAsia="Calibri"/>
          <w:snapToGrid/>
        </w:rPr>
      </w:pPr>
      <w:r w:rsidRPr="00EF294D">
        <w:rPr>
          <w:rFonts w:eastAsia="Calibri"/>
          <w:i/>
          <w:snapToGrid/>
        </w:rPr>
        <w:t>Dropped or Disconnected Calls</w:t>
      </w:r>
      <w:r w:rsidRPr="007A606E">
        <w:rPr>
          <w:rFonts w:eastAsia="Calibri"/>
          <w:snapToGrid/>
        </w:rPr>
        <w:t>.</w:t>
      </w:r>
      <w:r>
        <w:rPr>
          <w:rFonts w:eastAsia="Calibri"/>
          <w:snapToGrid/>
        </w:rPr>
        <w:t xml:space="preserve"> </w:t>
      </w:r>
      <w:r w:rsidRPr="007A606E">
        <w:rPr>
          <w:rFonts w:eastAsia="Calibri"/>
          <w:snapToGrid/>
        </w:rPr>
        <w:t xml:space="preserve"> We next seek comment on whether it would be appropriate to track and measure the percentage and frequency of “dropped” or disconnected VRS calls as an indicator of </w:t>
      </w:r>
      <w:r>
        <w:rPr>
          <w:rFonts w:eastAsia="Calibri"/>
          <w:snapToGrid/>
        </w:rPr>
        <w:t xml:space="preserve">service quality and </w:t>
      </w:r>
      <w:r w:rsidRPr="00EF294D">
        <w:rPr>
          <w:rFonts w:eastAsia="Calibri"/>
          <w:snapToGrid/>
        </w:rPr>
        <w:t>functional equivalenc</w:t>
      </w:r>
      <w:r>
        <w:rPr>
          <w:rFonts w:eastAsia="Calibri"/>
          <w:snapToGrid/>
        </w:rPr>
        <w:t>e</w:t>
      </w:r>
      <w:r w:rsidRPr="00EF294D">
        <w:rPr>
          <w:rFonts w:eastAsia="Calibri"/>
          <w:snapToGrid/>
        </w:rPr>
        <w:t xml:space="preserve">, </w:t>
      </w:r>
      <w:r>
        <w:rPr>
          <w:rFonts w:eastAsia="Calibri"/>
          <w:snapToGrid/>
        </w:rPr>
        <w:t>and how such</w:t>
      </w:r>
      <w:r w:rsidRPr="00EF294D">
        <w:rPr>
          <w:rFonts w:eastAsia="Calibri"/>
          <w:snapToGrid/>
        </w:rPr>
        <w:t xml:space="preserve"> data should be compared with dropped or disconnected telephone calls made over mainstream voice networks.  </w:t>
      </w:r>
      <w:r>
        <w:rPr>
          <w:rFonts w:eastAsia="Calibri"/>
          <w:snapToGrid/>
        </w:rPr>
        <w:t xml:space="preserve">Should such metrics be collected through user feedback or test calls or by analyzing provider logs?  Is it possible to distinguish call drops that occur due to disruptions in the Internet connectivity of the VRS user from call drops caused by the VRS provider or deficiencies in the VRS user software or hardware?  Are there metrics and measurement methodologies used in wireless or wireline networks that can be used for VRS?  </w:t>
      </w:r>
      <w:r w:rsidRPr="00EF294D">
        <w:rPr>
          <w:rFonts w:eastAsia="Calibri"/>
          <w:snapToGrid/>
        </w:rPr>
        <w:t xml:space="preserve">We further seek comment on </w:t>
      </w:r>
      <w:r>
        <w:rPr>
          <w:rFonts w:eastAsia="Calibri"/>
          <w:snapToGrid/>
        </w:rPr>
        <w:t xml:space="preserve">how such </w:t>
      </w:r>
      <w:r w:rsidRPr="00EF294D">
        <w:rPr>
          <w:rFonts w:eastAsia="Calibri"/>
          <w:snapToGrid/>
        </w:rPr>
        <w:t xml:space="preserve">data </w:t>
      </w:r>
      <w:r>
        <w:rPr>
          <w:rFonts w:eastAsia="Calibri"/>
          <w:snapToGrid/>
        </w:rPr>
        <w:t>should be collected</w:t>
      </w:r>
      <w:r w:rsidRPr="00EF294D">
        <w:rPr>
          <w:rFonts w:eastAsia="Calibri"/>
          <w:snapToGrid/>
        </w:rPr>
        <w:t>.</w:t>
      </w:r>
    </w:p>
    <w:p w:rsidR="00134604" w:rsidRDefault="00134604" w:rsidP="00134604">
      <w:pPr>
        <w:pStyle w:val="ParaNum"/>
        <w:widowControl/>
        <w:rPr>
          <w:rFonts w:eastAsia="Calibri"/>
          <w:snapToGrid/>
        </w:rPr>
      </w:pPr>
      <w:r>
        <w:rPr>
          <w:rFonts w:eastAsia="Calibri"/>
          <w:i/>
          <w:snapToGrid/>
        </w:rPr>
        <w:t xml:space="preserve">Service Outages.  </w:t>
      </w:r>
      <w:r w:rsidRPr="00E51DC1">
        <w:rPr>
          <w:rFonts w:eastAsia="Calibri"/>
          <w:snapToGrid/>
        </w:rPr>
        <w:t>Commission rules require all Internet-based TRS providers to notify the Commission in the event of a service outage</w:t>
      </w:r>
      <w:r>
        <w:rPr>
          <w:rFonts w:eastAsia="Calibri"/>
          <w:snapToGrid/>
        </w:rPr>
        <w:t xml:space="preserve"> or a voluntary service interruption of less than 30 minutes and to seek advance approval for voluntary interruptions of longer duration</w:t>
      </w:r>
      <w:r w:rsidRPr="00E51DC1">
        <w:rPr>
          <w:rFonts w:eastAsia="Calibri"/>
          <w:snapToGrid/>
        </w:rPr>
        <w:t>.</w:t>
      </w:r>
      <w:r w:rsidRPr="00C939E2">
        <w:rPr>
          <w:rStyle w:val="FootnoteReference"/>
          <w:rFonts w:eastAsia="Calibri"/>
        </w:rPr>
        <w:footnoteReference w:id="195"/>
      </w:r>
      <w:r w:rsidRPr="00E51DC1">
        <w:rPr>
          <w:rFonts w:eastAsia="Calibri"/>
          <w:snapToGrid/>
        </w:rPr>
        <w:t xml:space="preserve">  </w:t>
      </w:r>
      <w:r w:rsidRPr="009428B1">
        <w:rPr>
          <w:rFonts w:eastAsia="Calibri"/>
          <w:snapToGrid/>
        </w:rPr>
        <w:t>In addition, as noted above, redundancy of facilities is a requirement for all forms of TRS.</w:t>
      </w:r>
      <w:r w:rsidRPr="00C939E2">
        <w:rPr>
          <w:rStyle w:val="FootnoteReference"/>
          <w:rFonts w:eastAsia="Calibri"/>
        </w:rPr>
        <w:footnoteReference w:id="196"/>
      </w:r>
      <w:r>
        <w:rPr>
          <w:rFonts w:eastAsia="Calibri"/>
          <w:snapToGrid/>
        </w:rPr>
        <w:t xml:space="preserve">  In general,</w:t>
      </w:r>
      <w:r w:rsidRPr="000D69EA">
        <w:rPr>
          <w:rFonts w:eastAsia="Calibri"/>
          <w:snapToGrid/>
        </w:rPr>
        <w:t xml:space="preserve"> to achieve functional equivalenc</w:t>
      </w:r>
      <w:r>
        <w:rPr>
          <w:rFonts w:eastAsia="Calibri"/>
          <w:snapToGrid/>
        </w:rPr>
        <w:t>e</w:t>
      </w:r>
      <w:r w:rsidRPr="000D69EA">
        <w:rPr>
          <w:rFonts w:eastAsia="Calibri"/>
          <w:snapToGrid/>
        </w:rPr>
        <w:t xml:space="preserve">, </w:t>
      </w:r>
      <w:r w:rsidRPr="00C57ED6">
        <w:rPr>
          <w:rFonts w:eastAsia="Calibri"/>
          <w:snapToGrid/>
        </w:rPr>
        <w:t xml:space="preserve">we believe that the frequency and extent of </w:t>
      </w:r>
      <w:r>
        <w:rPr>
          <w:rFonts w:eastAsia="Calibri"/>
          <w:snapToGrid/>
        </w:rPr>
        <w:t xml:space="preserve">VRS </w:t>
      </w:r>
      <w:r w:rsidRPr="00C57ED6">
        <w:rPr>
          <w:rFonts w:eastAsia="Calibri"/>
          <w:snapToGrid/>
        </w:rPr>
        <w:t xml:space="preserve">service outages </w:t>
      </w:r>
      <w:r>
        <w:rPr>
          <w:rFonts w:eastAsia="Calibri"/>
          <w:snapToGrid/>
        </w:rPr>
        <w:t xml:space="preserve">and interruptions </w:t>
      </w:r>
      <w:r w:rsidRPr="00C57ED6">
        <w:rPr>
          <w:rFonts w:eastAsia="Calibri"/>
          <w:snapToGrid/>
        </w:rPr>
        <w:t xml:space="preserve">should not exceed that of outages </w:t>
      </w:r>
      <w:r>
        <w:rPr>
          <w:rFonts w:eastAsia="Calibri"/>
          <w:snapToGrid/>
        </w:rPr>
        <w:t xml:space="preserve">and interruptions </w:t>
      </w:r>
      <w:r w:rsidRPr="00C57ED6">
        <w:rPr>
          <w:rFonts w:eastAsia="Calibri"/>
          <w:snapToGrid/>
        </w:rPr>
        <w:t>occurring on transmission services used by hearing people.</w:t>
      </w:r>
      <w:r w:rsidRPr="00E51DC1">
        <w:rPr>
          <w:rFonts w:eastAsia="Calibri"/>
          <w:snapToGrid/>
        </w:rPr>
        <w:t xml:space="preserve">  We seek comment on th</w:t>
      </w:r>
      <w:r w:rsidRPr="000D69EA">
        <w:rPr>
          <w:rFonts w:eastAsia="Calibri"/>
          <w:snapToGrid/>
        </w:rPr>
        <w:t xml:space="preserve">is assumption.  </w:t>
      </w:r>
      <w:r w:rsidRPr="00E51DC1">
        <w:rPr>
          <w:rFonts w:eastAsia="Calibri"/>
          <w:snapToGrid/>
        </w:rPr>
        <w:t>We seek comment on an appropriate metric to measure functional equivalenc</w:t>
      </w:r>
      <w:r>
        <w:rPr>
          <w:rFonts w:eastAsia="Calibri"/>
          <w:snapToGrid/>
        </w:rPr>
        <w:t>e</w:t>
      </w:r>
      <w:r w:rsidRPr="000D69EA">
        <w:rPr>
          <w:rFonts w:eastAsia="Calibri"/>
          <w:snapToGrid/>
        </w:rPr>
        <w:t xml:space="preserve"> in this regard</w:t>
      </w:r>
      <w:r>
        <w:rPr>
          <w:rFonts w:eastAsia="Calibri"/>
          <w:snapToGrid/>
        </w:rPr>
        <w:t>.</w:t>
      </w:r>
    </w:p>
    <w:p w:rsidR="00134604" w:rsidRDefault="00134604" w:rsidP="00134604">
      <w:pPr>
        <w:pStyle w:val="ParaNum"/>
        <w:widowControl/>
        <w:rPr>
          <w:rFonts w:eastAsia="Calibri"/>
          <w:snapToGrid/>
        </w:rPr>
      </w:pPr>
      <w:r>
        <w:rPr>
          <w:rFonts w:eastAsia="Calibri"/>
          <w:i/>
          <w:snapToGrid/>
        </w:rPr>
        <w:t>Other Metrics</w:t>
      </w:r>
      <w:r>
        <w:rPr>
          <w:rFonts w:eastAsia="Calibri"/>
          <w:snapToGrid/>
        </w:rPr>
        <w:t>.  We seek further comment on other concrete, measurable metrics we could employ to measure the quality of service among VRS providers.  Commenters should address, with specificity, what should be measured, how it should be measured, and how often it should be measured, along with any estimated costs of such measurements.</w:t>
      </w:r>
    </w:p>
    <w:p w:rsidR="00134604" w:rsidRPr="001D78B6" w:rsidRDefault="00134604" w:rsidP="00134604">
      <w:pPr>
        <w:pStyle w:val="Heading2"/>
      </w:pPr>
      <w:bookmarkStart w:id="192" w:name="_Toc477963676"/>
      <w:r w:rsidRPr="001D78B6">
        <w:t>Phony VRS Calls</w:t>
      </w:r>
      <w:bookmarkEnd w:id="192"/>
    </w:p>
    <w:p w:rsidR="00134604" w:rsidRPr="001D78B6" w:rsidRDefault="00134604" w:rsidP="00134604">
      <w:pPr>
        <w:pStyle w:val="ParaNum"/>
        <w:widowControl/>
        <w:rPr>
          <w:rFonts w:eastAsia="Calibri"/>
          <w:snapToGrid/>
        </w:rPr>
      </w:pPr>
      <w:r>
        <w:rPr>
          <w:rFonts w:eastAsia="Calibri"/>
          <w:snapToGrid/>
        </w:rPr>
        <w:t>T</w:t>
      </w:r>
      <w:r w:rsidRPr="001D78B6">
        <w:rPr>
          <w:rFonts w:eastAsia="Calibri"/>
          <w:snapToGrid/>
        </w:rPr>
        <w:t xml:space="preserve">he Commission has received anecdotal evidence of calls made to VRS CAs that are not made for the purpose of communicating with a third party, but rather for the sole purpose of harassing or threatening a CA.  We seek comment on the extent to which such calls occur, as well as the incidence of other types of “phony” VRS calls, for example, those that involve scams or spoofing.  Given that such calls are not intended for the purpose for which the VRS program exists, i.e., to ensure that people with disabilities have access to telephone service that is functionally equivalent to </w:t>
      </w:r>
      <w:r>
        <w:rPr>
          <w:rFonts w:eastAsia="Calibri"/>
          <w:snapToGrid/>
        </w:rPr>
        <w:t xml:space="preserve">that of </w:t>
      </w:r>
      <w:r w:rsidRPr="001D78B6">
        <w:rPr>
          <w:rFonts w:eastAsia="Calibri"/>
          <w:snapToGrid/>
        </w:rPr>
        <w:t xml:space="preserve">hearing individuals who use </w:t>
      </w:r>
      <w:r w:rsidRPr="00837F84">
        <w:rPr>
          <w:rFonts w:eastAsia="Calibri"/>
          <w:snapToGrid/>
        </w:rPr>
        <w:t xml:space="preserve">voice services, it would not appear that such calls should be treated as legitimate VRS calls that must be handled in accordance with the TRS rules.  We seek comment on how such calls should be handled and </w:t>
      </w:r>
      <w:r>
        <w:rPr>
          <w:rFonts w:eastAsia="Calibri"/>
          <w:snapToGrid/>
        </w:rPr>
        <w:t xml:space="preserve">on </w:t>
      </w:r>
      <w:r w:rsidRPr="00837F84">
        <w:rPr>
          <w:rFonts w:eastAsia="Calibri"/>
          <w:snapToGrid/>
        </w:rPr>
        <w:t>action that should be taken by the</w:t>
      </w:r>
      <w:r w:rsidRPr="001D78B6">
        <w:rPr>
          <w:rFonts w:eastAsia="Calibri"/>
          <w:snapToGrid/>
        </w:rPr>
        <w:t xml:space="preserve"> Commission to effectively address such calls. </w:t>
      </w:r>
    </w:p>
    <w:p w:rsidR="00134604" w:rsidRPr="001D78B6" w:rsidRDefault="00134604" w:rsidP="00134604">
      <w:pPr>
        <w:pStyle w:val="ParaNum"/>
        <w:widowControl/>
        <w:rPr>
          <w:rFonts w:eastAsia="Calibri"/>
          <w:snapToGrid/>
        </w:rPr>
      </w:pPr>
      <w:r w:rsidRPr="001D78B6">
        <w:rPr>
          <w:rFonts w:eastAsia="Calibri"/>
          <w:snapToGrid/>
        </w:rPr>
        <w:t>On a related matter, we note that in the past, the Commission received reports that text-based IP Relay was being used to commit “swatting,” i.e., individuals were using IP Relay to hide their identities in order to place calls to 911, in an attempt to trick public safety answering points into dispatching emergency services based on false reports.  To curtail this practice, in 201</w:t>
      </w:r>
      <w:r>
        <w:rPr>
          <w:rFonts w:eastAsia="Calibri"/>
          <w:snapToGrid/>
        </w:rPr>
        <w:t>4</w:t>
      </w:r>
      <w:r w:rsidRPr="001D78B6">
        <w:rPr>
          <w:rFonts w:eastAsia="Calibri"/>
          <w:snapToGrid/>
        </w:rPr>
        <w:t xml:space="preserve">, IP Relay providers were granted a </w:t>
      </w:r>
      <w:r w:rsidRPr="00837F84">
        <w:rPr>
          <w:rFonts w:eastAsia="Calibri"/>
          <w:snapToGrid/>
        </w:rPr>
        <w:t>waiver allowing</w:t>
      </w:r>
      <w:r w:rsidRPr="001D78B6">
        <w:rPr>
          <w:rFonts w:eastAsia="Calibri"/>
          <w:snapToGrid/>
        </w:rPr>
        <w:t xml:space="preserve"> them to refuse to handle 911 calls from individuals whose IP Relay registration information has not been verified prior to placement of such calls.</w:t>
      </w:r>
      <w:r w:rsidRPr="001D78B6">
        <w:rPr>
          <w:rFonts w:eastAsia="Calibri"/>
          <w:snapToGrid/>
          <w:vertAlign w:val="superscript"/>
        </w:rPr>
        <w:footnoteReference w:id="197"/>
      </w:r>
      <w:r w:rsidRPr="001D78B6">
        <w:rPr>
          <w:rFonts w:eastAsia="Calibri"/>
          <w:snapToGrid/>
        </w:rPr>
        <w:t xml:space="preserve">  We are unaware of similar inciden</w:t>
      </w:r>
      <w:r>
        <w:rPr>
          <w:rFonts w:eastAsia="Calibri"/>
          <w:snapToGrid/>
        </w:rPr>
        <w:t>ts</w:t>
      </w:r>
      <w:r w:rsidRPr="001D78B6">
        <w:rPr>
          <w:rFonts w:eastAsia="Calibri"/>
          <w:snapToGrid/>
        </w:rPr>
        <w:t xml:space="preserve"> of swatting through VRS, but </w:t>
      </w:r>
      <w:r>
        <w:rPr>
          <w:rFonts w:eastAsia="Calibri"/>
          <w:snapToGrid/>
        </w:rPr>
        <w:t xml:space="preserve">we </w:t>
      </w:r>
      <w:r w:rsidRPr="001D78B6">
        <w:rPr>
          <w:rFonts w:eastAsia="Calibri"/>
          <w:snapToGrid/>
        </w:rPr>
        <w:t>invite commenters to share reports of any such occurrences, as well as recommendations on how to address such incidents.</w:t>
      </w:r>
    </w:p>
    <w:p w:rsidR="00134604" w:rsidRPr="002F1E73" w:rsidRDefault="00134604" w:rsidP="00134604">
      <w:pPr>
        <w:pStyle w:val="Heading1"/>
      </w:pPr>
      <w:bookmarkStart w:id="193" w:name="_Toc474858618"/>
      <w:bookmarkStart w:id="194" w:name="_Toc474859328"/>
      <w:bookmarkStart w:id="195" w:name="_Toc474860057"/>
      <w:bookmarkStart w:id="196" w:name="_Toc474860230"/>
      <w:bookmarkStart w:id="197" w:name="_Toc474860350"/>
      <w:bookmarkStart w:id="198" w:name="_Toc474860536"/>
      <w:bookmarkStart w:id="199" w:name="_Toc474860602"/>
      <w:bookmarkStart w:id="200" w:name="_Toc474860745"/>
      <w:bookmarkStart w:id="201" w:name="_Toc474946532"/>
      <w:bookmarkStart w:id="202" w:name="_Toc475724120"/>
      <w:bookmarkStart w:id="203" w:name="_Toc475724313"/>
      <w:bookmarkStart w:id="204" w:name="_Toc475724460"/>
      <w:bookmarkStart w:id="205" w:name="_Toc475724790"/>
      <w:bookmarkStart w:id="206" w:name="_Toc476077820"/>
      <w:bookmarkStart w:id="207" w:name="_Toc477963677"/>
      <w:r>
        <w:t>further notice of proposed rulemaking</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134604" w:rsidRPr="00383B58" w:rsidRDefault="00134604" w:rsidP="00134604">
      <w:pPr>
        <w:pStyle w:val="ParaNum"/>
        <w:widowControl/>
      </w:pPr>
      <w:r>
        <w:t xml:space="preserve">In this Further Notice of Proposed Rulemaking, we propose a four-year plan for VRS compensation, an amendment to permit server-based routing of VRS and point-to-point video calls, safeguards around who may use enterprise and public VRS videophones, and an amendment to allow customer service support centers to access the TRS Numbering Directory for direct video calling.  </w:t>
      </w:r>
      <w:r w:rsidRPr="00682EAE">
        <w:t>We also seek comment on whether to direct the TRS Fund administrator to continue to request funding for research and development, whether to prohibit non-service related inducements to register for or use VRS, and whether to prohibit the use of non-compete provisions in VRS CA employment contracts.</w:t>
      </w:r>
    </w:p>
    <w:p w:rsidR="00134604" w:rsidRDefault="00134604" w:rsidP="00134604">
      <w:pPr>
        <w:pStyle w:val="Heading2"/>
      </w:pPr>
      <w:bookmarkStart w:id="208" w:name="_Toc474858620"/>
      <w:bookmarkStart w:id="209" w:name="_Toc474859330"/>
      <w:bookmarkStart w:id="210" w:name="_Toc474860059"/>
      <w:bookmarkStart w:id="211" w:name="_Toc474860232"/>
      <w:bookmarkStart w:id="212" w:name="_Toc474860352"/>
      <w:bookmarkStart w:id="213" w:name="_Toc474860538"/>
      <w:bookmarkStart w:id="214" w:name="_Toc474860604"/>
      <w:bookmarkStart w:id="215" w:name="_Toc474860747"/>
      <w:bookmarkStart w:id="216" w:name="_Toc474946534"/>
      <w:bookmarkStart w:id="217" w:name="_Toc475724121"/>
      <w:bookmarkStart w:id="218" w:name="_Toc475724314"/>
      <w:bookmarkStart w:id="219" w:name="_Toc475724461"/>
      <w:bookmarkStart w:id="220" w:name="_Toc475724791"/>
      <w:bookmarkStart w:id="221" w:name="_Toc476077821"/>
      <w:bookmarkStart w:id="222" w:name="_Toc477963678"/>
      <w:r>
        <w:t>VRS Compensation Rates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134604" w:rsidRDefault="00134604" w:rsidP="00134604">
      <w:pPr>
        <w:pStyle w:val="ParaNum"/>
        <w:widowControl/>
      </w:pPr>
      <w:r w:rsidRPr="00FA666B">
        <w:rPr>
          <w:i/>
        </w:rPr>
        <w:t>Background</w:t>
      </w:r>
      <w:r>
        <w:t>.  In 2007, the Commission adopted a</w:t>
      </w:r>
      <w:r w:rsidRPr="002E0E55">
        <w:t xml:space="preserve"> tiered VRS compensation rate structure </w:t>
      </w:r>
      <w:r>
        <w:t xml:space="preserve">in order </w:t>
      </w:r>
      <w:r w:rsidRPr="002E0E55">
        <w:t>to reflect likely cost differentials between small, mid-level, and large, dominant providers and “to ensure that, in furtherance of promoting competition, the newer providers will cover their costs, and the larger and more established providers are not overcompensated due to economies of scale.”</w:t>
      </w:r>
      <w:r w:rsidRPr="00C939E2">
        <w:rPr>
          <w:rStyle w:val="FootnoteReference"/>
        </w:rPr>
        <w:footnoteReference w:id="198"/>
      </w:r>
      <w:r w:rsidRPr="002E0E55">
        <w:t xml:space="preserve">  </w:t>
      </w:r>
      <w:r>
        <w:t>Subsequently, the Commission determined that VRS compensation rates for all the rate tiers were substantially in excess of providers’ actual costs.</w:t>
      </w:r>
      <w:r>
        <w:rPr>
          <w:rStyle w:val="FootnoteReference"/>
        </w:rPr>
        <w:footnoteReference w:id="199"/>
      </w:r>
      <w:r>
        <w:t xml:space="preserve">  To </w:t>
      </w:r>
      <w:r w:rsidRPr="00156D03">
        <w:t xml:space="preserve">partially </w:t>
      </w:r>
      <w:r>
        <w:t>address these discrepancies, the Commission reduced rates in 2010.</w:t>
      </w:r>
      <w:r>
        <w:rPr>
          <w:rStyle w:val="FootnoteReference"/>
        </w:rPr>
        <w:footnoteReference w:id="200"/>
      </w:r>
    </w:p>
    <w:p w:rsidR="00134604" w:rsidRDefault="00134604" w:rsidP="00134604">
      <w:pPr>
        <w:pStyle w:val="ParaNum"/>
        <w:widowControl/>
      </w:pPr>
      <w:r>
        <w:t>I</w:t>
      </w:r>
      <w:r w:rsidRPr="002E0E55">
        <w:t xml:space="preserve">n the </w:t>
      </w:r>
      <w:r w:rsidRPr="002E0E55">
        <w:rPr>
          <w:i/>
        </w:rPr>
        <w:t>2013 VRS Reform Order</w:t>
      </w:r>
      <w:r w:rsidRPr="002E0E55">
        <w:t xml:space="preserve"> </w:t>
      </w:r>
      <w:r w:rsidRPr="00995D83">
        <w:t xml:space="preserve">the Commission adopted a transitional four-year </w:t>
      </w:r>
      <w:r>
        <w:t>“glide-path”</w:t>
      </w:r>
      <w:r w:rsidRPr="00995D83">
        <w:t xml:space="preserve"> of </w:t>
      </w:r>
      <w:r>
        <w:t xml:space="preserve">further </w:t>
      </w:r>
      <w:r w:rsidRPr="00995D83">
        <w:t>compensation rate adjustments in lieu of a more immediate reduction of the rates to cost-based levels, in order to assist providers in adjusting to cost-based rates</w:t>
      </w:r>
      <w:r w:rsidRPr="004C6E82">
        <w:t>.</w:t>
      </w:r>
      <w:r w:rsidRPr="00C939E2">
        <w:rPr>
          <w:rStyle w:val="FootnoteReference"/>
        </w:rPr>
        <w:footnoteReference w:id="201"/>
      </w:r>
      <w:r>
        <w:t xml:space="preserve">  Specifically, t</w:t>
      </w:r>
      <w:r w:rsidRPr="004C6E82">
        <w:t xml:space="preserve">he Commission’s four-year rate plan </w:t>
      </w:r>
      <w:r>
        <w:t>established</w:t>
      </w:r>
      <w:r w:rsidRPr="004C6E82">
        <w:t xml:space="preserve"> </w:t>
      </w:r>
      <w:r>
        <w:t xml:space="preserve">gradual per-minute VRS </w:t>
      </w:r>
      <w:r w:rsidRPr="004C6E82">
        <w:t xml:space="preserve">rate reductions every six months, </w:t>
      </w:r>
      <w:r>
        <w:t>from July 1, 2013, through June 30, 2017, as follows:</w:t>
      </w:r>
      <w:r>
        <w:rPr>
          <w:rStyle w:val="FootnoteReference"/>
        </w:rPr>
        <w:footnoteReference w:id="202"/>
      </w:r>
      <w:r w:rsidR="00221DC9">
        <w:br w:type="page"/>
      </w:r>
    </w:p>
    <w:p w:rsidR="00134604" w:rsidRPr="00596EBF" w:rsidRDefault="00134604" w:rsidP="00134604">
      <w:pPr>
        <w:pStyle w:val="StyleBoldCentered"/>
        <w:rPr>
          <w:caps w:val="0"/>
        </w:rPr>
      </w:pPr>
      <w:r w:rsidRPr="00596EBF">
        <w:rPr>
          <w:caps w:val="0"/>
        </w:rPr>
        <w:t xml:space="preserve">Table </w:t>
      </w:r>
      <w:r>
        <w:rPr>
          <w:caps w:val="0"/>
        </w:rPr>
        <w:t>1</w:t>
      </w:r>
    </w:p>
    <w:tbl>
      <w:tblPr>
        <w:tblW w:w="927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58"/>
        <w:gridCol w:w="1040"/>
        <w:gridCol w:w="1040"/>
        <w:gridCol w:w="1040"/>
        <w:gridCol w:w="1040"/>
        <w:gridCol w:w="1040"/>
        <w:gridCol w:w="1040"/>
        <w:gridCol w:w="1040"/>
        <w:gridCol w:w="1040"/>
      </w:tblGrid>
      <w:tr w:rsidR="00134604" w:rsidRPr="00DE6E34" w:rsidTr="00221DC9">
        <w:trPr>
          <w:trHeight w:val="718"/>
        </w:trPr>
        <w:tc>
          <w:tcPr>
            <w:tcW w:w="958"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pPr>
          </w:p>
          <w:p w:rsidR="00134604" w:rsidRPr="00DE6E34" w:rsidRDefault="00134604" w:rsidP="001B42F7">
            <w:pPr>
              <w:jc w:val="center"/>
            </w:pPr>
          </w:p>
          <w:p w:rsidR="00134604" w:rsidRPr="00DE6E34" w:rsidRDefault="00134604" w:rsidP="001B42F7">
            <w:pPr>
              <w:jc w:val="center"/>
              <w:rPr>
                <w:sz w:val="18"/>
                <w:szCs w:val="18"/>
              </w:rPr>
            </w:pPr>
            <w:r w:rsidRPr="00DE6E34">
              <w:rPr>
                <w:sz w:val="18"/>
                <w:szCs w:val="18"/>
              </w:rPr>
              <w:t>Tiers</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 w:val="18"/>
                <w:szCs w:val="18"/>
              </w:rPr>
            </w:pPr>
            <w:r w:rsidRPr="00DE6E34">
              <w:rPr>
                <w:sz w:val="18"/>
                <w:szCs w:val="18"/>
              </w:rPr>
              <w:t>July – Dec. 2013</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 w:val="18"/>
                <w:szCs w:val="18"/>
              </w:rPr>
            </w:pPr>
            <w:r w:rsidRPr="00DE6E34">
              <w:rPr>
                <w:sz w:val="18"/>
                <w:szCs w:val="18"/>
              </w:rPr>
              <w:t>Jan. – June 2014</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 w:val="18"/>
                <w:szCs w:val="18"/>
              </w:rPr>
            </w:pPr>
            <w:r w:rsidRPr="00DE6E34">
              <w:rPr>
                <w:sz w:val="18"/>
                <w:szCs w:val="18"/>
              </w:rPr>
              <w:t>July – Dec. 2014</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C103F0" w:rsidRDefault="00134604" w:rsidP="001B42F7">
            <w:pPr>
              <w:jc w:val="center"/>
              <w:rPr>
                <w:sz w:val="18"/>
                <w:szCs w:val="18"/>
              </w:rPr>
            </w:pPr>
            <w:r w:rsidRPr="00C103F0">
              <w:rPr>
                <w:rFonts w:eastAsia="Calibri"/>
                <w:kern w:val="0"/>
                <w:sz w:val="18"/>
                <w:szCs w:val="18"/>
              </w:rPr>
              <w:t>Jan. – June 2015</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 w:val="18"/>
                <w:szCs w:val="18"/>
              </w:rPr>
            </w:pPr>
            <w:r w:rsidRPr="00DE6E34">
              <w:rPr>
                <w:sz w:val="18"/>
                <w:szCs w:val="18"/>
              </w:rPr>
              <w:t>July – Dec. 2015</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 w:val="18"/>
                <w:szCs w:val="18"/>
              </w:rPr>
            </w:pPr>
            <w:r w:rsidRPr="00DE6E34">
              <w:rPr>
                <w:sz w:val="18"/>
                <w:szCs w:val="18"/>
              </w:rPr>
              <w:t>Jan. – June 2016</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 w:val="18"/>
                <w:szCs w:val="18"/>
              </w:rPr>
            </w:pPr>
            <w:r w:rsidRPr="00DE6E34">
              <w:rPr>
                <w:sz w:val="18"/>
                <w:szCs w:val="18"/>
              </w:rPr>
              <w:t>July – Dec. 2016</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 w:val="18"/>
                <w:szCs w:val="18"/>
              </w:rPr>
            </w:pPr>
            <w:r w:rsidRPr="00DE6E34">
              <w:rPr>
                <w:sz w:val="18"/>
                <w:szCs w:val="18"/>
              </w:rPr>
              <w:t>Jan. – June 2017</w:t>
            </w:r>
          </w:p>
        </w:tc>
      </w:tr>
      <w:tr w:rsidR="00134604" w:rsidRPr="00DE6E34" w:rsidTr="00221DC9">
        <w:trPr>
          <w:trHeight w:val="538"/>
        </w:trPr>
        <w:tc>
          <w:tcPr>
            <w:tcW w:w="958"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 w:val="18"/>
                <w:szCs w:val="18"/>
              </w:rPr>
            </w:pPr>
            <w:r w:rsidRPr="00C103F0">
              <w:rPr>
                <w:rFonts w:eastAsia="Calibri"/>
                <w:kern w:val="0"/>
                <w:sz w:val="18"/>
                <w:szCs w:val="18"/>
              </w:rPr>
              <w:t>Tier I (1</w:t>
            </w:r>
            <w:r w:rsidRPr="00DE6E34">
              <w:rPr>
                <w:rFonts w:eastAsia="Calibri"/>
                <w:kern w:val="0"/>
                <w:sz w:val="18"/>
                <w:szCs w:val="18"/>
                <w:vertAlign w:val="superscript"/>
              </w:rPr>
              <w:t>st</w:t>
            </w:r>
            <w:r w:rsidRPr="00C103F0">
              <w:rPr>
                <w:rFonts w:eastAsia="Calibri"/>
                <w:kern w:val="0"/>
                <w:sz w:val="18"/>
                <w:szCs w:val="18"/>
              </w:rPr>
              <w:t xml:space="preserve"> 500,000 monthly minutes)</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Cs w:val="22"/>
              </w:rPr>
            </w:pPr>
            <w:r w:rsidRPr="00DE6E34">
              <w:rPr>
                <w:szCs w:val="22"/>
              </w:rPr>
              <w:t>$5.98</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Cs w:val="22"/>
              </w:rPr>
            </w:pPr>
            <w:r w:rsidRPr="00DE6E34">
              <w:rPr>
                <w:szCs w:val="22"/>
              </w:rPr>
              <w:t>$5.75</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Cs w:val="22"/>
              </w:rPr>
            </w:pPr>
            <w:r w:rsidRPr="00DE6E34">
              <w:rPr>
                <w:szCs w:val="22"/>
              </w:rPr>
              <w:t>$5.52</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Cs w:val="22"/>
              </w:rPr>
            </w:pPr>
            <w:r w:rsidRPr="00DE6E34">
              <w:rPr>
                <w:szCs w:val="22"/>
              </w:rPr>
              <w:t>$5.29</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Cs w:val="22"/>
              </w:rPr>
            </w:pPr>
            <w:r w:rsidRPr="00DE6E34">
              <w:rPr>
                <w:szCs w:val="22"/>
              </w:rPr>
              <w:t>$5.06</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Cs w:val="22"/>
              </w:rPr>
            </w:pPr>
            <w:r w:rsidRPr="00DE6E34">
              <w:rPr>
                <w:szCs w:val="22"/>
              </w:rPr>
              <w:t>$4.82</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Cs w:val="22"/>
              </w:rPr>
            </w:pPr>
            <w:r w:rsidRPr="00DE6E34">
              <w:rPr>
                <w:szCs w:val="22"/>
              </w:rPr>
              <w:t>$4.44</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Cs w:val="22"/>
              </w:rPr>
            </w:pPr>
            <w:r w:rsidRPr="00DE6E34">
              <w:rPr>
                <w:szCs w:val="22"/>
              </w:rPr>
              <w:t>$4.06</w:t>
            </w:r>
          </w:p>
        </w:tc>
      </w:tr>
      <w:tr w:rsidR="00134604" w:rsidRPr="00DE6E34" w:rsidTr="00221DC9">
        <w:trPr>
          <w:trHeight w:val="970"/>
        </w:trPr>
        <w:tc>
          <w:tcPr>
            <w:tcW w:w="958"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C103F0" w:rsidRDefault="00134604" w:rsidP="001B42F7">
            <w:pPr>
              <w:jc w:val="center"/>
              <w:rPr>
                <w:rFonts w:eastAsia="Calibri"/>
                <w:kern w:val="0"/>
                <w:sz w:val="18"/>
                <w:szCs w:val="18"/>
              </w:rPr>
            </w:pPr>
            <w:r w:rsidRPr="00C103F0">
              <w:rPr>
                <w:rFonts w:eastAsia="Calibri"/>
                <w:kern w:val="0"/>
                <w:sz w:val="18"/>
                <w:szCs w:val="18"/>
              </w:rPr>
              <w:t>Tier II (2</w:t>
            </w:r>
            <w:r w:rsidRPr="00DE6E34">
              <w:rPr>
                <w:rFonts w:eastAsia="Calibri"/>
                <w:kern w:val="0"/>
                <w:sz w:val="18"/>
                <w:szCs w:val="18"/>
                <w:vertAlign w:val="superscript"/>
              </w:rPr>
              <w:t>nd</w:t>
            </w:r>
            <w:r w:rsidRPr="00C103F0">
              <w:rPr>
                <w:rFonts w:eastAsia="Calibri"/>
                <w:kern w:val="0"/>
                <w:sz w:val="18"/>
                <w:szCs w:val="18"/>
              </w:rPr>
              <w:t xml:space="preserve"> 500,000 monthly minutes)</w:t>
            </w:r>
          </w:p>
          <w:p w:rsidR="00134604" w:rsidRPr="00DE6E34" w:rsidRDefault="00134604" w:rsidP="001B42F7">
            <w:pPr>
              <w:jc w:val="center"/>
              <w:rPr>
                <w:sz w:val="18"/>
                <w:szCs w:val="18"/>
              </w:rPr>
            </w:pP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Cs w:val="22"/>
              </w:rPr>
            </w:pPr>
            <w:r w:rsidRPr="00DE6E34">
              <w:rPr>
                <w:szCs w:val="22"/>
              </w:rPr>
              <w:t>$4.82</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Cs w:val="22"/>
              </w:rPr>
            </w:pPr>
            <w:r w:rsidRPr="00DE6E34">
              <w:rPr>
                <w:szCs w:val="22"/>
              </w:rPr>
              <w:t>$4.82</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Cs w:val="22"/>
              </w:rPr>
            </w:pPr>
            <w:r w:rsidRPr="00DE6E34">
              <w:rPr>
                <w:szCs w:val="22"/>
              </w:rPr>
              <w:t>$4.82</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Cs w:val="22"/>
              </w:rPr>
            </w:pPr>
            <w:r w:rsidRPr="00DE6E34">
              <w:rPr>
                <w:szCs w:val="22"/>
              </w:rPr>
              <w:t>$4.82</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Cs w:val="22"/>
              </w:rPr>
            </w:pPr>
            <w:r w:rsidRPr="00DE6E34">
              <w:rPr>
                <w:szCs w:val="22"/>
              </w:rPr>
              <w:t>$4.82</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Cs w:val="22"/>
              </w:rPr>
            </w:pPr>
            <w:r w:rsidRPr="00DE6E34">
              <w:rPr>
                <w:szCs w:val="22"/>
              </w:rPr>
              <w:t>$4.82</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Cs w:val="22"/>
              </w:rPr>
            </w:pPr>
            <w:r w:rsidRPr="00DE6E34">
              <w:rPr>
                <w:szCs w:val="22"/>
              </w:rPr>
              <w:t>$4.44</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Cs w:val="22"/>
              </w:rPr>
            </w:pPr>
            <w:r w:rsidRPr="00DE6E34">
              <w:rPr>
                <w:szCs w:val="22"/>
              </w:rPr>
              <w:t>$4.06</w:t>
            </w:r>
          </w:p>
        </w:tc>
      </w:tr>
      <w:tr w:rsidR="00134604" w:rsidRPr="00DE6E34" w:rsidTr="00221DC9">
        <w:trPr>
          <w:trHeight w:val="1024"/>
        </w:trPr>
        <w:tc>
          <w:tcPr>
            <w:tcW w:w="958"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C103F0" w:rsidRDefault="00134604" w:rsidP="001B42F7">
            <w:pPr>
              <w:jc w:val="center"/>
              <w:rPr>
                <w:sz w:val="18"/>
                <w:szCs w:val="18"/>
              </w:rPr>
            </w:pPr>
            <w:r w:rsidRPr="00C103F0">
              <w:rPr>
                <w:rFonts w:eastAsia="Calibri"/>
                <w:snapToGrid/>
                <w:kern w:val="0"/>
                <w:sz w:val="18"/>
                <w:szCs w:val="18"/>
              </w:rPr>
              <w:t>Tier III (monthly minutes exceeding 1 million)</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Cs w:val="22"/>
              </w:rPr>
            </w:pPr>
            <w:r w:rsidRPr="00DE6E34">
              <w:rPr>
                <w:szCs w:val="22"/>
              </w:rPr>
              <w:t>$4.82</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Cs w:val="22"/>
              </w:rPr>
            </w:pPr>
            <w:r w:rsidRPr="00DE6E34">
              <w:rPr>
                <w:szCs w:val="22"/>
              </w:rPr>
              <w:t>$4.63</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Cs w:val="22"/>
              </w:rPr>
            </w:pPr>
            <w:r w:rsidRPr="00DE6E34">
              <w:rPr>
                <w:szCs w:val="22"/>
              </w:rPr>
              <w:t>$4.44</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Cs w:val="22"/>
              </w:rPr>
            </w:pPr>
            <w:r w:rsidRPr="00DE6E34">
              <w:rPr>
                <w:szCs w:val="22"/>
              </w:rPr>
              <w:t>$4.25</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Del="00E40B28" w:rsidRDefault="00134604" w:rsidP="001B42F7">
            <w:pPr>
              <w:jc w:val="center"/>
              <w:rPr>
                <w:szCs w:val="22"/>
              </w:rPr>
            </w:pPr>
            <w:r w:rsidRPr="00DE6E34">
              <w:rPr>
                <w:szCs w:val="22"/>
              </w:rPr>
              <w:t>$4.06</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Cs w:val="22"/>
              </w:rPr>
            </w:pPr>
            <w:r w:rsidRPr="00DE6E34">
              <w:rPr>
                <w:szCs w:val="22"/>
              </w:rPr>
              <w:t>$3.87</w:t>
            </w:r>
          </w:p>
        </w:tc>
        <w:tc>
          <w:tcPr>
            <w:tcW w:w="1040" w:type="dxa"/>
            <w:tcBorders>
              <w:top w:val="single" w:sz="8" w:space="0" w:color="auto"/>
              <w:left w:val="single" w:sz="8" w:space="0" w:color="auto"/>
              <w:bottom w:val="single" w:sz="8" w:space="0" w:color="auto"/>
              <w:right w:val="single" w:sz="8" w:space="0" w:color="auto"/>
            </w:tcBorders>
            <w:shd w:val="clear" w:color="auto" w:fill="auto"/>
            <w:tcMar>
              <w:top w:w="72" w:type="dxa"/>
              <w:left w:w="72" w:type="dxa"/>
              <w:bottom w:w="72" w:type="dxa"/>
              <w:right w:w="72" w:type="dxa"/>
            </w:tcMar>
            <w:vAlign w:val="center"/>
          </w:tcPr>
          <w:p w:rsidR="00134604" w:rsidRPr="00DE6E34" w:rsidRDefault="00134604" w:rsidP="001B42F7">
            <w:pPr>
              <w:jc w:val="center"/>
              <w:rPr>
                <w:szCs w:val="22"/>
              </w:rPr>
            </w:pPr>
            <w:r w:rsidRPr="00DE6E34">
              <w:rPr>
                <w:szCs w:val="22"/>
              </w:rPr>
              <w:t>$3.68</w:t>
            </w:r>
          </w:p>
        </w:tc>
        <w:tc>
          <w:tcPr>
            <w:tcW w:w="1040" w:type="dxa"/>
            <w:tcBorders>
              <w:top w:val="single" w:sz="8" w:space="0" w:color="auto"/>
              <w:left w:val="single" w:sz="8" w:space="0" w:color="auto"/>
              <w:bottom w:val="single" w:sz="8" w:space="0" w:color="auto"/>
              <w:right w:val="single" w:sz="8" w:space="0" w:color="auto"/>
            </w:tcBorders>
            <w:vAlign w:val="center"/>
          </w:tcPr>
          <w:p w:rsidR="00134604" w:rsidRPr="00DE6E34" w:rsidRDefault="00134604" w:rsidP="001B42F7">
            <w:pPr>
              <w:jc w:val="center"/>
              <w:rPr>
                <w:szCs w:val="22"/>
              </w:rPr>
            </w:pPr>
            <w:r w:rsidRPr="00DE6E34">
              <w:rPr>
                <w:szCs w:val="22"/>
              </w:rPr>
              <w:t>$3.49</w:t>
            </w:r>
          </w:p>
        </w:tc>
      </w:tr>
    </w:tbl>
    <w:p w:rsidR="00134604" w:rsidRPr="006E4B18" w:rsidRDefault="00134604" w:rsidP="00134604"/>
    <w:p w:rsidR="00134604" w:rsidRDefault="00134604" w:rsidP="00134604">
      <w:pPr>
        <w:pStyle w:val="ParaNum"/>
        <w:widowControl/>
      </w:pPr>
      <w:r>
        <w:t xml:space="preserve">In the </w:t>
      </w:r>
      <w:r w:rsidRPr="004C6E82">
        <w:rPr>
          <w:i/>
        </w:rPr>
        <w:t>2013 VRS Reform Order</w:t>
      </w:r>
      <w:r>
        <w:t xml:space="preserve">, the Commission also </w:t>
      </w:r>
      <w:r w:rsidRPr="002E0E55">
        <w:t xml:space="preserve">reassessed the use of </w:t>
      </w:r>
      <w:r>
        <w:t xml:space="preserve">a </w:t>
      </w:r>
      <w:r w:rsidRPr="002E0E55">
        <w:t xml:space="preserve">tiered </w:t>
      </w:r>
      <w:r>
        <w:t xml:space="preserve">compensation </w:t>
      </w:r>
      <w:r w:rsidRPr="002E0E55">
        <w:t>rate structure</w:t>
      </w:r>
      <w:r>
        <w:t>, n</w:t>
      </w:r>
      <w:r w:rsidRPr="002E0E55">
        <w:t xml:space="preserve">oting that </w:t>
      </w:r>
      <w:r>
        <w:t>the relatively higher per-minute costs incurred by smaller providers</w:t>
      </w:r>
      <w:r w:rsidRPr="002E0E55">
        <w:t xml:space="preserve"> may reflect inherent economies of scale rather than provider “‘learning curve[s]</w:t>
      </w:r>
      <w:r>
        <w:t>.</w:t>
      </w:r>
      <w:r w:rsidRPr="002E0E55">
        <w:t>’”</w:t>
      </w:r>
      <w:r>
        <w:rPr>
          <w:rStyle w:val="FootnoteReference"/>
        </w:rPr>
        <w:footnoteReference w:id="203"/>
      </w:r>
      <w:r w:rsidRPr="002E0E55">
        <w:t xml:space="preserve"> </w:t>
      </w:r>
      <w:r>
        <w:t xml:space="preserve"> Finding </w:t>
      </w:r>
      <w:r w:rsidRPr="002E0E55">
        <w:t xml:space="preserve">that “no party </w:t>
      </w:r>
      <w:r>
        <w:t>. . .</w:t>
      </w:r>
      <w:r w:rsidRPr="002E0E55">
        <w:t xml:space="preserve"> has presented a valid reason why the TRS Fund should support indefinitely VRS operations that are substantially less efficient,” the Commission decided that, “to encourage the provision of VRS in the most efficient manner, the gap between the highest and lowest tiered rates will be reduced over time, in accordance with [</w:t>
      </w:r>
      <w:r>
        <w:t xml:space="preserve">the </w:t>
      </w:r>
      <w:r w:rsidRPr="002E0E55">
        <w:t>four-year transition] schedule.”</w:t>
      </w:r>
      <w:r w:rsidRPr="00C939E2">
        <w:rPr>
          <w:rStyle w:val="FootnoteReference"/>
        </w:rPr>
        <w:footnoteReference w:id="204"/>
      </w:r>
      <w:r w:rsidRPr="00995D83">
        <w:t xml:space="preserve"> </w:t>
      </w:r>
      <w:r>
        <w:t xml:space="preserve"> For the purpose of </w:t>
      </w:r>
      <w:r w:rsidRPr="006A562C">
        <w:t>this transition period</w:t>
      </w:r>
      <w:r>
        <w:t>,</w:t>
      </w:r>
      <w:r w:rsidRPr="006A562C">
        <w:t xml:space="preserve"> </w:t>
      </w:r>
      <w:r>
        <w:t>however, t</w:t>
      </w:r>
      <w:r w:rsidRPr="006A562C">
        <w:t>he Commission retained a modified version of the tiered VRS compensation rate structure</w:t>
      </w:r>
      <w:r>
        <w:t>, so as</w:t>
      </w:r>
      <w:r w:rsidRPr="006A562C">
        <w:t xml:space="preserve"> “to ensure that smaller VRS providers have a reasonable opportunity to improve the efficiency of their operations and to reach the optimum scale to compete effectively after the implementation of structural reforms.”</w:t>
      </w:r>
      <w:r w:rsidRPr="00C939E2">
        <w:rPr>
          <w:rStyle w:val="FootnoteReference"/>
        </w:rPr>
        <w:footnoteReference w:id="205"/>
      </w:r>
      <w:r w:rsidRPr="006A562C">
        <w:t xml:space="preserve">  </w:t>
      </w:r>
      <w:r>
        <w:rPr>
          <w:snapToGrid/>
        </w:rPr>
        <w:t>Upon the completion of certain structural reforms, which the Commission expected to occur before the expiration of the four-year plan, the Commission contemplated moving to a unitary compensation rate for all minutes, which the Commission hoped to set based on pricing benchmarks developed through competitive bidding for the provision of various elements of VRS.</w:t>
      </w:r>
      <w:r w:rsidRPr="00C939E2">
        <w:rPr>
          <w:rStyle w:val="FootnoteReference"/>
        </w:rPr>
        <w:footnoteReference w:id="206"/>
      </w:r>
      <w:r w:rsidRPr="002009C9">
        <w:t xml:space="preserve"> </w:t>
      </w:r>
      <w:r>
        <w:t xml:space="preserve"> </w:t>
      </w:r>
    </w:p>
    <w:p w:rsidR="00134604" w:rsidRDefault="00134604" w:rsidP="00134604">
      <w:pPr>
        <w:pStyle w:val="ParaNum"/>
        <w:widowControl/>
      </w:pPr>
      <w:r>
        <w:t>On March 1, 2016, after considering a petition by all six certified VRS providers urging an interruption of the scheduled compensation rate adjustments, the Commission adopted a temporary “freeze” of the compensation rates of the smallest VRS providers—those handling 500,000 or fewer monthly minutes.</w:t>
      </w:r>
      <w:r>
        <w:rPr>
          <w:rStyle w:val="FootnoteReference"/>
        </w:rPr>
        <w:footnoteReference w:id="207"/>
      </w:r>
      <w:r>
        <w:t xml:space="preserve">  Relying</w:t>
      </w:r>
      <w:r w:rsidRPr="00897899">
        <w:t xml:space="preserve"> on an analysis by the TRS Fund administrator, Rolka Loube Associates LLC (Rolka Loube), </w:t>
      </w:r>
      <w:r>
        <w:t xml:space="preserve">which showed that </w:t>
      </w:r>
      <w:r w:rsidRPr="00897899">
        <w:t xml:space="preserve">the smallest VRS providers </w:t>
      </w:r>
      <w:r>
        <w:t>would not be able to recover their costs for</w:t>
      </w:r>
      <w:r w:rsidRPr="00897899">
        <w:t xml:space="preserve"> the 2015-16 Fund </w:t>
      </w:r>
      <w:r>
        <w:t>Y</w:t>
      </w:r>
      <w:r w:rsidRPr="00897899">
        <w:t>ear</w:t>
      </w:r>
      <w:r>
        <w:t>,</w:t>
      </w:r>
      <w:r w:rsidRPr="00C939E2">
        <w:rPr>
          <w:rStyle w:val="FootnoteReference"/>
        </w:rPr>
        <w:footnoteReference w:id="208"/>
      </w:r>
      <w:r w:rsidRPr="00897899">
        <w:t xml:space="preserve"> </w:t>
      </w:r>
      <w:r>
        <w:t>the Commission concluded that,</w:t>
      </w:r>
      <w:r w:rsidRPr="00897899">
        <w:t xml:space="preserve"> </w:t>
      </w:r>
      <w:r w:rsidRPr="00887B67">
        <w:t xml:space="preserve">absent </w:t>
      </w:r>
      <w:r>
        <w:t xml:space="preserve">compensation </w:t>
      </w:r>
      <w:r w:rsidRPr="00887B67">
        <w:t xml:space="preserve">rate relief, the smallest providers </w:t>
      </w:r>
      <w:r>
        <w:t>would</w:t>
      </w:r>
      <w:r w:rsidRPr="00887B67">
        <w:t xml:space="preserve"> be unable to continue </w:t>
      </w:r>
      <w:r>
        <w:t>growing their operations.</w:t>
      </w:r>
      <w:r w:rsidRPr="00C939E2">
        <w:rPr>
          <w:rStyle w:val="FootnoteReference"/>
        </w:rPr>
        <w:footnoteReference w:id="209"/>
      </w:r>
      <w:r w:rsidRPr="00887B67">
        <w:t xml:space="preserve">  </w:t>
      </w:r>
      <w:r>
        <w:t xml:space="preserve">To allow those </w:t>
      </w:r>
      <w:r w:rsidRPr="00887B67">
        <w:t xml:space="preserve">providers </w:t>
      </w:r>
      <w:r>
        <w:t xml:space="preserve">additional time to </w:t>
      </w:r>
      <w:r w:rsidRPr="00887B67">
        <w:t>“reach the optimum scale to compete effectively</w:t>
      </w:r>
      <w:r>
        <w:t>,</w:t>
      </w:r>
      <w:r w:rsidRPr="00887B67">
        <w:t xml:space="preserve">” </w:t>
      </w:r>
      <w:r>
        <w:t>the Commission reinstated, for the smallest providers only,</w:t>
      </w:r>
      <w:r w:rsidRPr="00887B67">
        <w:t xml:space="preserve"> the Tier I rate of $5.29 per minute that was in effect prior to June 30, 2015, for 16 additional months, </w:t>
      </w:r>
      <w:r>
        <w:t xml:space="preserve">i.e., </w:t>
      </w:r>
      <w:r w:rsidRPr="00887B67">
        <w:t>from July 1, 2015</w:t>
      </w:r>
      <w:r>
        <w:t>,</w:t>
      </w:r>
      <w:r w:rsidRPr="00887B67">
        <w:t xml:space="preserve"> to October 31, 2016</w:t>
      </w:r>
      <w:r>
        <w:t>.</w:t>
      </w:r>
      <w:r w:rsidRPr="00C939E2">
        <w:rPr>
          <w:rStyle w:val="FootnoteReference"/>
        </w:rPr>
        <w:footnoteReference w:id="210"/>
      </w:r>
      <w:r>
        <w:t xml:space="preserve">  </w:t>
      </w:r>
      <w:r w:rsidRPr="00887B67">
        <w:t>The Commission also adjusted the rate reductions scheduled to occur after the expiration of the rate freeze, in order to avoid subjecting the smallest VRS providers to a sudden drop in compensation after the expiration of the 16-month period.</w:t>
      </w:r>
      <w:r w:rsidRPr="00C939E2">
        <w:rPr>
          <w:rStyle w:val="FootnoteReference"/>
        </w:rPr>
        <w:footnoteReference w:id="211"/>
      </w:r>
      <w:r w:rsidRPr="00887B67">
        <w:t xml:space="preserve">  </w:t>
      </w:r>
      <w:r>
        <w:t>As revised by the Rate Freeze Order, the rate plan for the last two months of the four-year plan is shown below:</w:t>
      </w:r>
    </w:p>
    <w:p w:rsidR="00134604" w:rsidRDefault="00134604" w:rsidP="00134604">
      <w:pPr>
        <w:pStyle w:val="StyleBoldCentered"/>
      </w:pPr>
      <w:r w:rsidRPr="00A604A0">
        <w:rPr>
          <w:caps w:val="0"/>
        </w:rPr>
        <w:t>Table 2</w:t>
      </w:r>
    </w:p>
    <w:tbl>
      <w:tblPr>
        <w:tblW w:w="834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821"/>
        <w:gridCol w:w="810"/>
        <w:gridCol w:w="810"/>
        <w:gridCol w:w="810"/>
        <w:gridCol w:w="810"/>
        <w:gridCol w:w="810"/>
        <w:gridCol w:w="900"/>
      </w:tblGrid>
      <w:tr w:rsidR="00134604" w:rsidRPr="006A562C" w:rsidTr="001B42F7">
        <w:trPr>
          <w:trHeight w:val="611"/>
        </w:trPr>
        <w:tc>
          <w:tcPr>
            <w:tcW w:w="2576" w:type="dxa"/>
            <w:shd w:val="clear" w:color="auto" w:fill="auto"/>
          </w:tcPr>
          <w:p w:rsidR="00134604" w:rsidRPr="006A562C" w:rsidRDefault="00134604" w:rsidP="001B42F7">
            <w:pPr>
              <w:widowControl/>
              <w:spacing w:after="120"/>
              <w:rPr>
                <w:rFonts w:eastAsia="Calibri"/>
                <w:kern w:val="0"/>
                <w:szCs w:val="22"/>
              </w:rPr>
            </w:pPr>
          </w:p>
        </w:tc>
        <w:tc>
          <w:tcPr>
            <w:tcW w:w="821" w:type="dxa"/>
            <w:shd w:val="clear" w:color="auto" w:fill="auto"/>
          </w:tcPr>
          <w:p w:rsidR="00134604" w:rsidRPr="006A562C" w:rsidRDefault="00134604" w:rsidP="001B42F7">
            <w:pPr>
              <w:widowControl/>
              <w:rPr>
                <w:rFonts w:eastAsia="Calibri"/>
                <w:kern w:val="0"/>
                <w:szCs w:val="22"/>
              </w:rPr>
            </w:pPr>
            <w:r w:rsidRPr="006A562C">
              <w:rPr>
                <w:rFonts w:eastAsia="Calibri"/>
                <w:kern w:val="0"/>
                <w:szCs w:val="22"/>
              </w:rPr>
              <w:t>Jan. – June 2015</w:t>
            </w:r>
          </w:p>
        </w:tc>
        <w:tc>
          <w:tcPr>
            <w:tcW w:w="810" w:type="dxa"/>
            <w:shd w:val="clear" w:color="auto" w:fill="auto"/>
          </w:tcPr>
          <w:p w:rsidR="00134604" w:rsidRPr="006A562C" w:rsidRDefault="00134604" w:rsidP="001B42F7">
            <w:pPr>
              <w:widowControl/>
              <w:rPr>
                <w:rFonts w:eastAsia="Calibri"/>
                <w:kern w:val="0"/>
                <w:szCs w:val="22"/>
              </w:rPr>
            </w:pPr>
            <w:r w:rsidRPr="006A562C">
              <w:rPr>
                <w:rFonts w:eastAsia="Calibri"/>
                <w:kern w:val="0"/>
                <w:szCs w:val="22"/>
              </w:rPr>
              <w:t>July – Dec. 2015</w:t>
            </w:r>
          </w:p>
        </w:tc>
        <w:tc>
          <w:tcPr>
            <w:tcW w:w="810" w:type="dxa"/>
            <w:shd w:val="clear" w:color="auto" w:fill="auto"/>
          </w:tcPr>
          <w:p w:rsidR="00134604" w:rsidRPr="006A562C" w:rsidRDefault="00134604" w:rsidP="001B42F7">
            <w:pPr>
              <w:widowControl/>
              <w:rPr>
                <w:rFonts w:eastAsia="Calibri"/>
                <w:kern w:val="0"/>
                <w:szCs w:val="22"/>
              </w:rPr>
            </w:pPr>
            <w:r w:rsidRPr="006A562C">
              <w:rPr>
                <w:rFonts w:eastAsia="Calibri"/>
                <w:kern w:val="0"/>
                <w:szCs w:val="22"/>
              </w:rPr>
              <w:t>Jan. – June 2016</w:t>
            </w:r>
          </w:p>
        </w:tc>
        <w:tc>
          <w:tcPr>
            <w:tcW w:w="810" w:type="dxa"/>
            <w:tcBorders>
              <w:bottom w:val="single" w:sz="4" w:space="0" w:color="auto"/>
            </w:tcBorders>
          </w:tcPr>
          <w:p w:rsidR="00134604" w:rsidRPr="006A562C" w:rsidRDefault="00134604" w:rsidP="001B42F7">
            <w:pPr>
              <w:widowControl/>
              <w:rPr>
                <w:rFonts w:eastAsia="Calibri"/>
                <w:kern w:val="0"/>
                <w:szCs w:val="22"/>
              </w:rPr>
            </w:pPr>
            <w:r w:rsidRPr="006A562C">
              <w:rPr>
                <w:rFonts w:eastAsia="Calibri"/>
                <w:kern w:val="0"/>
                <w:szCs w:val="22"/>
              </w:rPr>
              <w:t>July – Oct. 2016</w:t>
            </w:r>
          </w:p>
        </w:tc>
        <w:tc>
          <w:tcPr>
            <w:tcW w:w="810" w:type="dxa"/>
            <w:tcBorders>
              <w:bottom w:val="single" w:sz="4" w:space="0" w:color="auto"/>
            </w:tcBorders>
          </w:tcPr>
          <w:p w:rsidR="00134604" w:rsidRPr="006A562C" w:rsidRDefault="00134604" w:rsidP="001B42F7">
            <w:pPr>
              <w:widowControl/>
              <w:rPr>
                <w:rFonts w:eastAsia="Calibri"/>
                <w:kern w:val="0"/>
                <w:szCs w:val="22"/>
              </w:rPr>
            </w:pPr>
            <w:r>
              <w:rPr>
                <w:rFonts w:eastAsia="Calibri"/>
                <w:kern w:val="0"/>
                <w:szCs w:val="22"/>
              </w:rPr>
              <w:t>Nov.</w:t>
            </w:r>
            <w:r w:rsidRPr="00661725">
              <w:rPr>
                <w:rFonts w:eastAsia="Calibri"/>
                <w:kern w:val="0"/>
                <w:szCs w:val="22"/>
              </w:rPr>
              <w:t xml:space="preserve">– </w:t>
            </w:r>
            <w:r w:rsidRPr="006A562C">
              <w:rPr>
                <w:rFonts w:eastAsia="Calibri"/>
                <w:kern w:val="0"/>
                <w:szCs w:val="22"/>
              </w:rPr>
              <w:t xml:space="preserve"> Dec. 2016</w:t>
            </w:r>
          </w:p>
        </w:tc>
        <w:tc>
          <w:tcPr>
            <w:tcW w:w="810" w:type="dxa"/>
            <w:tcBorders>
              <w:bottom w:val="single" w:sz="4" w:space="0" w:color="auto"/>
            </w:tcBorders>
          </w:tcPr>
          <w:p w:rsidR="00134604" w:rsidRPr="006A562C" w:rsidRDefault="00134604" w:rsidP="001B42F7">
            <w:pPr>
              <w:widowControl/>
              <w:rPr>
                <w:rFonts w:eastAsia="Calibri"/>
                <w:kern w:val="0"/>
                <w:szCs w:val="22"/>
              </w:rPr>
            </w:pPr>
            <w:r w:rsidRPr="006A562C">
              <w:rPr>
                <w:rFonts w:eastAsia="Calibri"/>
                <w:kern w:val="0"/>
                <w:szCs w:val="22"/>
              </w:rPr>
              <w:t>Jan. – Apr.  2017</w:t>
            </w:r>
          </w:p>
        </w:tc>
        <w:tc>
          <w:tcPr>
            <w:tcW w:w="900" w:type="dxa"/>
            <w:tcBorders>
              <w:bottom w:val="single" w:sz="4" w:space="0" w:color="auto"/>
            </w:tcBorders>
          </w:tcPr>
          <w:p w:rsidR="00134604" w:rsidRPr="006A562C" w:rsidRDefault="00134604" w:rsidP="001B42F7">
            <w:pPr>
              <w:widowControl/>
              <w:rPr>
                <w:rFonts w:eastAsia="Calibri"/>
                <w:kern w:val="0"/>
                <w:szCs w:val="22"/>
              </w:rPr>
            </w:pPr>
            <w:r w:rsidRPr="006A562C">
              <w:rPr>
                <w:rFonts w:eastAsia="Calibri"/>
                <w:kern w:val="0"/>
                <w:szCs w:val="22"/>
              </w:rPr>
              <w:t>May – June 2017</w:t>
            </w:r>
          </w:p>
        </w:tc>
      </w:tr>
      <w:tr w:rsidR="00134604" w:rsidRPr="006A562C" w:rsidTr="001B42F7">
        <w:tc>
          <w:tcPr>
            <w:tcW w:w="2576" w:type="dxa"/>
            <w:shd w:val="clear" w:color="auto" w:fill="auto"/>
          </w:tcPr>
          <w:p w:rsidR="00134604" w:rsidRPr="006A562C" w:rsidRDefault="00134604" w:rsidP="001B42F7">
            <w:pPr>
              <w:widowControl/>
              <w:rPr>
                <w:rFonts w:eastAsia="Calibri"/>
                <w:kern w:val="0"/>
                <w:szCs w:val="22"/>
              </w:rPr>
            </w:pPr>
            <w:r w:rsidRPr="006A562C">
              <w:rPr>
                <w:rFonts w:eastAsia="Calibri"/>
                <w:kern w:val="0"/>
                <w:szCs w:val="22"/>
              </w:rPr>
              <w:t>Tier I (1</w:t>
            </w:r>
            <w:r w:rsidRPr="006A562C">
              <w:rPr>
                <w:rFonts w:eastAsia="Calibri"/>
                <w:kern w:val="0"/>
                <w:szCs w:val="22"/>
                <w:vertAlign w:val="superscript"/>
              </w:rPr>
              <w:t>st</w:t>
            </w:r>
            <w:r w:rsidRPr="006A562C">
              <w:rPr>
                <w:rFonts w:eastAsia="Calibri"/>
                <w:kern w:val="0"/>
                <w:szCs w:val="22"/>
              </w:rPr>
              <w:t xml:space="preserve"> 500,000 monthly minutes) for VRS providers with 500,000 or fewer minutes in a month</w:t>
            </w:r>
          </w:p>
          <w:p w:rsidR="00134604" w:rsidRPr="006A562C" w:rsidRDefault="00134604" w:rsidP="001B42F7">
            <w:pPr>
              <w:widowControl/>
              <w:rPr>
                <w:rFonts w:eastAsia="Calibri"/>
                <w:kern w:val="0"/>
                <w:szCs w:val="22"/>
              </w:rPr>
            </w:pPr>
          </w:p>
        </w:tc>
        <w:tc>
          <w:tcPr>
            <w:tcW w:w="821" w:type="dxa"/>
            <w:shd w:val="clear" w:color="auto" w:fill="auto"/>
          </w:tcPr>
          <w:p w:rsidR="00134604" w:rsidRDefault="00134604" w:rsidP="001B42F7">
            <w:pPr>
              <w:widowControl/>
              <w:spacing w:after="120"/>
              <w:rPr>
                <w:rFonts w:eastAsia="Calibri"/>
                <w:kern w:val="0"/>
                <w:szCs w:val="22"/>
              </w:rPr>
            </w:pPr>
          </w:p>
          <w:p w:rsidR="00134604" w:rsidRPr="006A562C" w:rsidRDefault="00134604" w:rsidP="001B42F7">
            <w:pPr>
              <w:widowControl/>
              <w:spacing w:after="120"/>
              <w:rPr>
                <w:rFonts w:eastAsia="Calibri"/>
                <w:kern w:val="0"/>
                <w:szCs w:val="22"/>
              </w:rPr>
            </w:pPr>
            <w:r w:rsidRPr="006A562C">
              <w:rPr>
                <w:rFonts w:eastAsia="Calibri"/>
                <w:kern w:val="0"/>
                <w:szCs w:val="22"/>
              </w:rPr>
              <w:t>$5.29</w:t>
            </w:r>
          </w:p>
        </w:tc>
        <w:tc>
          <w:tcPr>
            <w:tcW w:w="810" w:type="dxa"/>
            <w:shd w:val="clear" w:color="auto" w:fill="auto"/>
          </w:tcPr>
          <w:p w:rsidR="00134604" w:rsidRDefault="00134604" w:rsidP="001B42F7">
            <w:pPr>
              <w:widowControl/>
              <w:spacing w:after="120"/>
              <w:rPr>
                <w:rFonts w:eastAsia="Calibri"/>
                <w:kern w:val="0"/>
                <w:szCs w:val="22"/>
              </w:rPr>
            </w:pPr>
          </w:p>
          <w:p w:rsidR="00134604" w:rsidRPr="006A562C" w:rsidRDefault="00134604" w:rsidP="001B42F7">
            <w:pPr>
              <w:widowControl/>
              <w:spacing w:after="120"/>
              <w:rPr>
                <w:rFonts w:eastAsia="Calibri"/>
                <w:kern w:val="0"/>
                <w:szCs w:val="22"/>
              </w:rPr>
            </w:pPr>
            <w:r w:rsidRPr="006A562C">
              <w:rPr>
                <w:rFonts w:eastAsia="Calibri"/>
                <w:kern w:val="0"/>
                <w:szCs w:val="22"/>
              </w:rPr>
              <w:t>$5.29</w:t>
            </w:r>
          </w:p>
        </w:tc>
        <w:tc>
          <w:tcPr>
            <w:tcW w:w="810" w:type="dxa"/>
            <w:tcBorders>
              <w:right w:val="single" w:sz="4" w:space="0" w:color="auto"/>
            </w:tcBorders>
            <w:shd w:val="clear" w:color="auto" w:fill="auto"/>
          </w:tcPr>
          <w:p w:rsidR="00134604" w:rsidRDefault="00134604" w:rsidP="001B42F7">
            <w:pPr>
              <w:widowControl/>
              <w:spacing w:after="120"/>
              <w:rPr>
                <w:rFonts w:eastAsia="Calibri"/>
                <w:kern w:val="0"/>
                <w:szCs w:val="22"/>
              </w:rPr>
            </w:pPr>
          </w:p>
          <w:p w:rsidR="00134604" w:rsidRPr="006A562C" w:rsidRDefault="00134604" w:rsidP="001B42F7">
            <w:pPr>
              <w:widowControl/>
              <w:spacing w:after="120"/>
              <w:rPr>
                <w:rFonts w:eastAsia="Calibri"/>
                <w:kern w:val="0"/>
                <w:szCs w:val="22"/>
              </w:rPr>
            </w:pPr>
            <w:r w:rsidRPr="006A562C">
              <w:rPr>
                <w:rFonts w:eastAsia="Calibri"/>
                <w:kern w:val="0"/>
                <w:szCs w:val="22"/>
              </w:rPr>
              <w:t>$5.29</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34604" w:rsidRDefault="00134604" w:rsidP="001B42F7">
            <w:pPr>
              <w:widowControl/>
              <w:spacing w:after="120"/>
              <w:rPr>
                <w:rFonts w:eastAsia="Calibri"/>
                <w:snapToGrid/>
                <w:kern w:val="0"/>
                <w:szCs w:val="22"/>
              </w:rPr>
            </w:pPr>
          </w:p>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$5.29</w:t>
            </w:r>
          </w:p>
        </w:tc>
        <w:tc>
          <w:tcPr>
            <w:tcW w:w="810" w:type="dxa"/>
            <w:tcBorders>
              <w:top w:val="single" w:sz="4" w:space="0" w:color="auto"/>
              <w:left w:val="single" w:sz="4" w:space="0" w:color="auto"/>
              <w:bottom w:val="single" w:sz="4" w:space="0" w:color="auto"/>
              <w:right w:val="single" w:sz="4" w:space="0" w:color="auto"/>
            </w:tcBorders>
          </w:tcPr>
          <w:p w:rsidR="00134604" w:rsidRDefault="00134604" w:rsidP="001B42F7">
            <w:pPr>
              <w:widowControl/>
              <w:spacing w:after="120"/>
              <w:rPr>
                <w:rFonts w:eastAsia="Calibri"/>
                <w:snapToGrid/>
                <w:kern w:val="0"/>
                <w:szCs w:val="22"/>
              </w:rPr>
            </w:pPr>
          </w:p>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$5.06</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34604" w:rsidRDefault="00134604" w:rsidP="001B42F7">
            <w:pPr>
              <w:widowControl/>
              <w:spacing w:after="120"/>
              <w:rPr>
                <w:rFonts w:eastAsia="Calibri"/>
                <w:snapToGrid/>
                <w:kern w:val="0"/>
                <w:szCs w:val="22"/>
              </w:rPr>
            </w:pPr>
          </w:p>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$5.06</w:t>
            </w:r>
          </w:p>
        </w:tc>
        <w:tc>
          <w:tcPr>
            <w:tcW w:w="900" w:type="dxa"/>
            <w:tcBorders>
              <w:top w:val="single" w:sz="4" w:space="0" w:color="auto"/>
              <w:left w:val="single" w:sz="4" w:space="0" w:color="auto"/>
              <w:bottom w:val="single" w:sz="4" w:space="0" w:color="auto"/>
              <w:right w:val="single" w:sz="4" w:space="0" w:color="auto"/>
            </w:tcBorders>
          </w:tcPr>
          <w:p w:rsidR="00134604" w:rsidRDefault="00134604" w:rsidP="001B42F7">
            <w:pPr>
              <w:widowControl/>
              <w:spacing w:after="120"/>
              <w:rPr>
                <w:rFonts w:eastAsia="Calibri"/>
                <w:snapToGrid/>
                <w:kern w:val="0"/>
                <w:szCs w:val="22"/>
              </w:rPr>
            </w:pPr>
          </w:p>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$4.82</w:t>
            </w:r>
          </w:p>
        </w:tc>
      </w:tr>
      <w:tr w:rsidR="00134604" w:rsidRPr="006A562C" w:rsidTr="001B42F7">
        <w:tc>
          <w:tcPr>
            <w:tcW w:w="2576" w:type="dxa"/>
            <w:shd w:val="clear" w:color="auto" w:fill="auto"/>
          </w:tcPr>
          <w:p w:rsidR="00134604" w:rsidRPr="006A562C" w:rsidRDefault="00134604" w:rsidP="001B42F7">
            <w:pPr>
              <w:widowControl/>
              <w:rPr>
                <w:rFonts w:eastAsia="Calibri"/>
                <w:kern w:val="0"/>
                <w:szCs w:val="22"/>
              </w:rPr>
            </w:pPr>
            <w:r w:rsidRPr="006A562C">
              <w:rPr>
                <w:rFonts w:eastAsia="Calibri"/>
                <w:kern w:val="0"/>
                <w:szCs w:val="22"/>
              </w:rPr>
              <w:t>Tier I (1</w:t>
            </w:r>
            <w:r w:rsidRPr="006A562C">
              <w:rPr>
                <w:rFonts w:eastAsia="Calibri"/>
                <w:kern w:val="0"/>
                <w:szCs w:val="22"/>
                <w:vertAlign w:val="superscript"/>
              </w:rPr>
              <w:t>st</w:t>
            </w:r>
            <w:r w:rsidRPr="006A562C">
              <w:rPr>
                <w:rFonts w:eastAsia="Calibri"/>
                <w:kern w:val="0"/>
                <w:szCs w:val="22"/>
              </w:rPr>
              <w:t xml:space="preserve"> 500,000 monthly minutes) for VRS providers with more than 500,000 minutes in a month</w:t>
            </w:r>
          </w:p>
          <w:p w:rsidR="00134604" w:rsidRPr="006A562C" w:rsidRDefault="00134604" w:rsidP="001B42F7">
            <w:pPr>
              <w:widowControl/>
              <w:rPr>
                <w:rFonts w:eastAsia="Calibri"/>
                <w:kern w:val="0"/>
                <w:szCs w:val="22"/>
              </w:rPr>
            </w:pPr>
          </w:p>
        </w:tc>
        <w:tc>
          <w:tcPr>
            <w:tcW w:w="821" w:type="dxa"/>
            <w:shd w:val="clear" w:color="auto" w:fill="auto"/>
          </w:tcPr>
          <w:p w:rsidR="00134604" w:rsidRDefault="00134604" w:rsidP="001B42F7">
            <w:pPr>
              <w:widowControl/>
              <w:spacing w:after="120"/>
              <w:rPr>
                <w:rFonts w:eastAsia="Calibri"/>
                <w:kern w:val="0"/>
                <w:szCs w:val="22"/>
              </w:rPr>
            </w:pPr>
          </w:p>
          <w:p w:rsidR="00134604" w:rsidRPr="006A562C" w:rsidRDefault="00134604" w:rsidP="001B42F7">
            <w:pPr>
              <w:widowControl/>
              <w:spacing w:after="120"/>
              <w:rPr>
                <w:rFonts w:eastAsia="Calibri"/>
                <w:kern w:val="0"/>
                <w:szCs w:val="22"/>
              </w:rPr>
            </w:pPr>
            <w:r w:rsidRPr="006A562C">
              <w:rPr>
                <w:rFonts w:eastAsia="Calibri"/>
                <w:kern w:val="0"/>
                <w:szCs w:val="22"/>
              </w:rPr>
              <w:t>$5.29</w:t>
            </w:r>
          </w:p>
        </w:tc>
        <w:tc>
          <w:tcPr>
            <w:tcW w:w="810" w:type="dxa"/>
            <w:shd w:val="clear" w:color="auto" w:fill="auto"/>
          </w:tcPr>
          <w:p w:rsidR="00134604" w:rsidRDefault="00134604" w:rsidP="001B42F7">
            <w:pPr>
              <w:widowControl/>
              <w:spacing w:after="120"/>
              <w:rPr>
                <w:rFonts w:eastAsia="Calibri"/>
                <w:kern w:val="0"/>
                <w:szCs w:val="22"/>
              </w:rPr>
            </w:pPr>
          </w:p>
          <w:p w:rsidR="00134604" w:rsidRPr="006A562C" w:rsidRDefault="00134604" w:rsidP="001B42F7">
            <w:pPr>
              <w:widowControl/>
              <w:spacing w:after="120"/>
              <w:rPr>
                <w:rFonts w:eastAsia="Calibri"/>
                <w:kern w:val="0"/>
                <w:szCs w:val="22"/>
              </w:rPr>
            </w:pPr>
            <w:r w:rsidRPr="006A562C">
              <w:rPr>
                <w:rFonts w:eastAsia="Calibri"/>
                <w:kern w:val="0"/>
                <w:szCs w:val="22"/>
              </w:rPr>
              <w:t>$5.06</w:t>
            </w:r>
          </w:p>
        </w:tc>
        <w:tc>
          <w:tcPr>
            <w:tcW w:w="810" w:type="dxa"/>
            <w:tcBorders>
              <w:right w:val="single" w:sz="4" w:space="0" w:color="auto"/>
            </w:tcBorders>
            <w:shd w:val="clear" w:color="auto" w:fill="auto"/>
          </w:tcPr>
          <w:p w:rsidR="00134604" w:rsidRDefault="00134604" w:rsidP="001B42F7">
            <w:pPr>
              <w:widowControl/>
              <w:spacing w:after="120"/>
              <w:rPr>
                <w:rFonts w:eastAsia="Calibri"/>
                <w:kern w:val="0"/>
                <w:szCs w:val="22"/>
              </w:rPr>
            </w:pPr>
          </w:p>
          <w:p w:rsidR="00134604" w:rsidRPr="006A562C" w:rsidRDefault="00134604" w:rsidP="001B42F7">
            <w:pPr>
              <w:widowControl/>
              <w:spacing w:after="120"/>
              <w:rPr>
                <w:rFonts w:eastAsia="Calibri"/>
                <w:kern w:val="0"/>
                <w:szCs w:val="22"/>
              </w:rPr>
            </w:pPr>
            <w:r w:rsidRPr="006A562C">
              <w:rPr>
                <w:rFonts w:eastAsia="Calibri"/>
                <w:kern w:val="0"/>
                <w:szCs w:val="22"/>
              </w:rPr>
              <w:t>$4.82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34604" w:rsidRDefault="00134604" w:rsidP="001B42F7">
            <w:pPr>
              <w:widowControl/>
              <w:spacing w:after="120"/>
              <w:rPr>
                <w:rFonts w:eastAsia="Calibri"/>
                <w:snapToGrid/>
                <w:kern w:val="0"/>
                <w:szCs w:val="22"/>
              </w:rPr>
            </w:pPr>
          </w:p>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$4.44</w:t>
            </w:r>
          </w:p>
          <w:p w:rsidR="00134604" w:rsidRPr="006A562C" w:rsidRDefault="00134604" w:rsidP="001B42F7">
            <w:pPr>
              <w:widowControl/>
              <w:spacing w:after="120"/>
              <w:rPr>
                <w:rFonts w:eastAsia="Calibri"/>
                <w:kern w:val="0"/>
                <w:szCs w:val="22"/>
              </w:rPr>
            </w:pPr>
          </w:p>
        </w:tc>
        <w:tc>
          <w:tcPr>
            <w:tcW w:w="810" w:type="dxa"/>
            <w:tcBorders>
              <w:top w:val="single" w:sz="4" w:space="0" w:color="auto"/>
              <w:left w:val="single" w:sz="4" w:space="0" w:color="auto"/>
              <w:bottom w:val="single" w:sz="4" w:space="0" w:color="auto"/>
              <w:right w:val="single" w:sz="4" w:space="0" w:color="auto"/>
            </w:tcBorders>
          </w:tcPr>
          <w:p w:rsidR="00134604" w:rsidRDefault="00134604" w:rsidP="001B42F7">
            <w:pPr>
              <w:widowControl/>
              <w:spacing w:after="120"/>
              <w:rPr>
                <w:rFonts w:eastAsia="Calibri"/>
                <w:snapToGrid/>
                <w:kern w:val="0"/>
                <w:szCs w:val="22"/>
              </w:rPr>
            </w:pPr>
          </w:p>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$4.44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34604" w:rsidRDefault="00134604" w:rsidP="001B42F7">
            <w:pPr>
              <w:widowControl/>
              <w:spacing w:after="120"/>
              <w:rPr>
                <w:rFonts w:eastAsia="Calibri"/>
                <w:snapToGrid/>
                <w:kern w:val="0"/>
                <w:szCs w:val="22"/>
              </w:rPr>
            </w:pPr>
          </w:p>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$4.06</w:t>
            </w:r>
          </w:p>
          <w:p w:rsidR="00134604" w:rsidRPr="006A562C" w:rsidRDefault="00134604" w:rsidP="001B42F7">
            <w:pPr>
              <w:widowControl/>
              <w:spacing w:after="120"/>
              <w:rPr>
                <w:rFonts w:eastAsia="Calibri"/>
                <w:kern w:val="0"/>
                <w:szCs w:val="22"/>
              </w:rPr>
            </w:pPr>
          </w:p>
        </w:tc>
        <w:tc>
          <w:tcPr>
            <w:tcW w:w="900" w:type="dxa"/>
            <w:tcBorders>
              <w:top w:val="single" w:sz="4" w:space="0" w:color="auto"/>
              <w:left w:val="single" w:sz="4" w:space="0" w:color="auto"/>
              <w:bottom w:val="single" w:sz="4" w:space="0" w:color="auto"/>
              <w:right w:val="single" w:sz="4" w:space="0" w:color="auto"/>
            </w:tcBorders>
          </w:tcPr>
          <w:p w:rsidR="00134604" w:rsidRDefault="00134604" w:rsidP="001B42F7">
            <w:pPr>
              <w:widowControl/>
              <w:spacing w:after="120"/>
              <w:rPr>
                <w:rFonts w:eastAsia="Calibri"/>
                <w:snapToGrid/>
                <w:kern w:val="0"/>
                <w:szCs w:val="22"/>
              </w:rPr>
            </w:pPr>
          </w:p>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$4.06</w:t>
            </w:r>
          </w:p>
        </w:tc>
      </w:tr>
      <w:tr w:rsidR="00134604" w:rsidRPr="006A562C" w:rsidTr="001B42F7">
        <w:tc>
          <w:tcPr>
            <w:tcW w:w="2576" w:type="dxa"/>
            <w:shd w:val="clear" w:color="auto" w:fill="auto"/>
          </w:tcPr>
          <w:p w:rsidR="00134604" w:rsidRPr="006A562C" w:rsidRDefault="00134604" w:rsidP="001B42F7">
            <w:pPr>
              <w:widowControl/>
              <w:rPr>
                <w:rFonts w:eastAsia="Calibri"/>
                <w:kern w:val="0"/>
                <w:szCs w:val="22"/>
              </w:rPr>
            </w:pPr>
            <w:r w:rsidRPr="006A562C">
              <w:rPr>
                <w:rFonts w:eastAsia="Calibri"/>
                <w:kern w:val="0"/>
                <w:szCs w:val="22"/>
              </w:rPr>
              <w:t>Tier II (2</w:t>
            </w:r>
            <w:r w:rsidRPr="006A562C">
              <w:rPr>
                <w:rFonts w:eastAsia="Calibri"/>
                <w:kern w:val="0"/>
                <w:szCs w:val="22"/>
                <w:vertAlign w:val="superscript"/>
              </w:rPr>
              <w:t>nd</w:t>
            </w:r>
            <w:r w:rsidRPr="006A562C">
              <w:rPr>
                <w:rFonts w:eastAsia="Calibri"/>
                <w:kern w:val="0"/>
                <w:szCs w:val="22"/>
              </w:rPr>
              <w:t xml:space="preserve"> 500,000 monthly minutes)</w:t>
            </w:r>
          </w:p>
          <w:p w:rsidR="00134604" w:rsidRPr="006A562C" w:rsidRDefault="00134604" w:rsidP="001B42F7">
            <w:pPr>
              <w:widowControl/>
              <w:rPr>
                <w:rFonts w:eastAsia="Calibri"/>
                <w:kern w:val="0"/>
                <w:szCs w:val="22"/>
              </w:rPr>
            </w:pPr>
          </w:p>
        </w:tc>
        <w:tc>
          <w:tcPr>
            <w:tcW w:w="821" w:type="dxa"/>
            <w:shd w:val="clear" w:color="auto" w:fill="auto"/>
          </w:tcPr>
          <w:p w:rsidR="00134604" w:rsidRPr="006A562C" w:rsidRDefault="00134604" w:rsidP="001B42F7">
            <w:pPr>
              <w:widowControl/>
              <w:spacing w:after="120"/>
              <w:rPr>
                <w:rFonts w:eastAsia="Calibri"/>
                <w:kern w:val="0"/>
                <w:szCs w:val="22"/>
              </w:rPr>
            </w:pPr>
            <w:r w:rsidRPr="006A562C">
              <w:rPr>
                <w:rFonts w:eastAsia="Calibri"/>
                <w:kern w:val="0"/>
                <w:szCs w:val="22"/>
              </w:rPr>
              <w:t>$4.82</w:t>
            </w:r>
          </w:p>
        </w:tc>
        <w:tc>
          <w:tcPr>
            <w:tcW w:w="810" w:type="dxa"/>
            <w:shd w:val="clear" w:color="auto" w:fill="auto"/>
          </w:tcPr>
          <w:p w:rsidR="00134604" w:rsidRPr="006A562C" w:rsidRDefault="00134604" w:rsidP="001B42F7">
            <w:pPr>
              <w:widowControl/>
              <w:spacing w:after="120"/>
              <w:rPr>
                <w:rFonts w:eastAsia="Calibri"/>
                <w:kern w:val="0"/>
                <w:szCs w:val="22"/>
              </w:rPr>
            </w:pPr>
            <w:r w:rsidRPr="006A562C">
              <w:rPr>
                <w:rFonts w:eastAsia="Calibri"/>
                <w:kern w:val="0"/>
                <w:szCs w:val="22"/>
              </w:rPr>
              <w:t>$4.82</w:t>
            </w:r>
          </w:p>
        </w:tc>
        <w:tc>
          <w:tcPr>
            <w:tcW w:w="810" w:type="dxa"/>
            <w:tcBorders>
              <w:right w:val="single" w:sz="4" w:space="0" w:color="auto"/>
            </w:tcBorders>
            <w:shd w:val="clear" w:color="auto" w:fill="auto"/>
          </w:tcPr>
          <w:p w:rsidR="00134604" w:rsidRPr="006A562C" w:rsidRDefault="00134604" w:rsidP="001B42F7">
            <w:pPr>
              <w:widowControl/>
              <w:spacing w:after="120"/>
              <w:rPr>
                <w:rFonts w:eastAsia="Calibri"/>
                <w:kern w:val="0"/>
                <w:szCs w:val="22"/>
              </w:rPr>
            </w:pPr>
            <w:r w:rsidRPr="006A562C">
              <w:rPr>
                <w:rFonts w:eastAsia="Calibri"/>
                <w:kern w:val="0"/>
                <w:szCs w:val="22"/>
              </w:rPr>
              <w:t>$4.82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$4.44</w:t>
            </w:r>
          </w:p>
          <w:p w:rsidR="00134604" w:rsidRPr="006A562C" w:rsidRDefault="00134604" w:rsidP="001B42F7">
            <w:pPr>
              <w:widowControl/>
              <w:spacing w:after="120"/>
              <w:rPr>
                <w:rFonts w:eastAsia="Calibri"/>
                <w:kern w:val="0"/>
                <w:szCs w:val="22"/>
              </w:rPr>
            </w:pPr>
          </w:p>
        </w:tc>
        <w:tc>
          <w:tcPr>
            <w:tcW w:w="810" w:type="dxa"/>
            <w:tcBorders>
              <w:top w:val="single" w:sz="4" w:space="0" w:color="auto"/>
              <w:left w:val="single" w:sz="4" w:space="0" w:color="auto"/>
              <w:bottom w:val="single" w:sz="4" w:space="0" w:color="auto"/>
              <w:right w:val="single" w:sz="4" w:space="0" w:color="auto"/>
            </w:tcBorders>
          </w:tcPr>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$4.44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$4.06</w:t>
            </w:r>
          </w:p>
          <w:p w:rsidR="00134604" w:rsidRPr="006A562C" w:rsidRDefault="00134604" w:rsidP="001B42F7">
            <w:pPr>
              <w:widowControl/>
              <w:spacing w:after="120"/>
              <w:rPr>
                <w:rFonts w:eastAsia="Calibri"/>
                <w:kern w:val="0"/>
                <w:szCs w:val="22"/>
              </w:rPr>
            </w:pPr>
          </w:p>
        </w:tc>
        <w:tc>
          <w:tcPr>
            <w:tcW w:w="900" w:type="dxa"/>
            <w:tcBorders>
              <w:top w:val="single" w:sz="4" w:space="0" w:color="auto"/>
              <w:left w:val="single" w:sz="4" w:space="0" w:color="auto"/>
              <w:bottom w:val="single" w:sz="4" w:space="0" w:color="auto"/>
              <w:right w:val="single" w:sz="4" w:space="0" w:color="auto"/>
            </w:tcBorders>
          </w:tcPr>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$4.06</w:t>
            </w:r>
          </w:p>
        </w:tc>
      </w:tr>
      <w:tr w:rsidR="00134604" w:rsidRPr="006A562C" w:rsidTr="001B42F7">
        <w:trPr>
          <w:trHeight w:val="710"/>
        </w:trPr>
        <w:tc>
          <w:tcPr>
            <w:tcW w:w="2576" w:type="dxa"/>
            <w:shd w:val="clear" w:color="auto" w:fill="auto"/>
          </w:tcPr>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Tier III (monthly minutes exceeding 1 million)</w:t>
            </w:r>
          </w:p>
        </w:tc>
        <w:tc>
          <w:tcPr>
            <w:tcW w:w="821" w:type="dxa"/>
            <w:shd w:val="clear" w:color="auto" w:fill="auto"/>
          </w:tcPr>
          <w:p w:rsidR="00134604" w:rsidRPr="006A562C" w:rsidRDefault="00134604" w:rsidP="001B42F7">
            <w:pPr>
              <w:widowControl/>
              <w:spacing w:after="120"/>
              <w:rPr>
                <w:rFonts w:eastAsia="Calibri"/>
                <w:kern w:val="0"/>
                <w:szCs w:val="22"/>
              </w:rPr>
            </w:pPr>
            <w:r w:rsidRPr="006A562C">
              <w:rPr>
                <w:rFonts w:eastAsia="Calibri"/>
                <w:kern w:val="0"/>
                <w:szCs w:val="22"/>
              </w:rPr>
              <w:t>$4.25</w:t>
            </w:r>
          </w:p>
        </w:tc>
        <w:tc>
          <w:tcPr>
            <w:tcW w:w="810" w:type="dxa"/>
            <w:shd w:val="clear" w:color="auto" w:fill="auto"/>
          </w:tcPr>
          <w:p w:rsidR="00134604" w:rsidRPr="006A562C" w:rsidRDefault="00134604" w:rsidP="001B42F7">
            <w:pPr>
              <w:widowControl/>
              <w:spacing w:after="120"/>
              <w:rPr>
                <w:rFonts w:eastAsia="Calibri"/>
                <w:kern w:val="0"/>
                <w:szCs w:val="22"/>
              </w:rPr>
            </w:pPr>
            <w:r w:rsidRPr="006A562C">
              <w:rPr>
                <w:rFonts w:eastAsia="Calibri"/>
                <w:kern w:val="0"/>
                <w:szCs w:val="22"/>
              </w:rPr>
              <w:t>$4.06</w:t>
            </w:r>
          </w:p>
        </w:tc>
        <w:tc>
          <w:tcPr>
            <w:tcW w:w="810" w:type="dxa"/>
            <w:tcBorders>
              <w:right w:val="single" w:sz="4" w:space="0" w:color="auto"/>
            </w:tcBorders>
            <w:shd w:val="clear" w:color="auto" w:fill="auto"/>
          </w:tcPr>
          <w:p w:rsidR="00134604" w:rsidRPr="006A562C" w:rsidRDefault="00134604" w:rsidP="001B42F7">
            <w:pPr>
              <w:widowControl/>
              <w:spacing w:after="120"/>
              <w:rPr>
                <w:rFonts w:eastAsia="Calibri"/>
                <w:kern w:val="0"/>
                <w:szCs w:val="22"/>
              </w:rPr>
            </w:pPr>
            <w:r w:rsidRPr="006A562C">
              <w:rPr>
                <w:rFonts w:eastAsia="Calibri"/>
                <w:kern w:val="0"/>
                <w:szCs w:val="22"/>
              </w:rPr>
              <w:t>$3.87</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$3.68</w:t>
            </w:r>
          </w:p>
          <w:p w:rsidR="00134604" w:rsidRPr="006A562C" w:rsidRDefault="00134604" w:rsidP="001B42F7">
            <w:pPr>
              <w:widowControl/>
              <w:spacing w:after="120"/>
              <w:rPr>
                <w:rFonts w:eastAsia="Calibri"/>
                <w:kern w:val="0"/>
                <w:szCs w:val="22"/>
              </w:rPr>
            </w:pPr>
          </w:p>
        </w:tc>
        <w:tc>
          <w:tcPr>
            <w:tcW w:w="810" w:type="dxa"/>
            <w:tcBorders>
              <w:top w:val="single" w:sz="4" w:space="0" w:color="auto"/>
              <w:left w:val="single" w:sz="4" w:space="0" w:color="auto"/>
              <w:bottom w:val="single" w:sz="4" w:space="0" w:color="auto"/>
              <w:right w:val="single" w:sz="4" w:space="0" w:color="auto"/>
            </w:tcBorders>
          </w:tcPr>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$3.68</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$3.49</w:t>
            </w:r>
          </w:p>
          <w:p w:rsidR="00134604" w:rsidRPr="006A562C" w:rsidRDefault="00134604" w:rsidP="001B42F7">
            <w:pPr>
              <w:widowControl/>
              <w:spacing w:after="120"/>
              <w:rPr>
                <w:rFonts w:eastAsia="Calibri"/>
                <w:kern w:val="0"/>
                <w:szCs w:val="22"/>
              </w:rPr>
            </w:pPr>
          </w:p>
        </w:tc>
        <w:tc>
          <w:tcPr>
            <w:tcW w:w="900" w:type="dxa"/>
            <w:tcBorders>
              <w:top w:val="single" w:sz="4" w:space="0" w:color="auto"/>
              <w:left w:val="single" w:sz="4" w:space="0" w:color="auto"/>
              <w:bottom w:val="single" w:sz="4" w:space="0" w:color="auto"/>
              <w:right w:val="single" w:sz="4" w:space="0" w:color="auto"/>
            </w:tcBorders>
          </w:tcPr>
          <w:p w:rsidR="00134604" w:rsidRPr="006A562C" w:rsidRDefault="00134604" w:rsidP="001B42F7">
            <w:pPr>
              <w:widowControl/>
              <w:spacing w:after="120"/>
              <w:rPr>
                <w:rFonts w:eastAsia="Calibri"/>
                <w:snapToGrid/>
                <w:kern w:val="0"/>
                <w:szCs w:val="22"/>
              </w:rPr>
            </w:pPr>
            <w:r w:rsidRPr="006A562C">
              <w:rPr>
                <w:rFonts w:eastAsia="Calibri"/>
                <w:snapToGrid/>
                <w:kern w:val="0"/>
                <w:szCs w:val="22"/>
              </w:rPr>
              <w:t>$3.49</w:t>
            </w:r>
          </w:p>
        </w:tc>
      </w:tr>
    </w:tbl>
    <w:p w:rsidR="00134604" w:rsidRDefault="00134604" w:rsidP="00134604"/>
    <w:p w:rsidR="00134604" w:rsidRDefault="00134604" w:rsidP="00134604">
      <w:pPr>
        <w:pStyle w:val="ParaNum"/>
        <w:widowControl/>
      </w:pPr>
      <w:r>
        <w:t>On December 20, 2016, Convo, Purple, and ZVRS submitted a joint VRS compensation proposal to the Commission,</w:t>
      </w:r>
      <w:r>
        <w:rPr>
          <w:rStyle w:val="FootnoteReference"/>
        </w:rPr>
        <w:footnoteReference w:id="212"/>
      </w:r>
      <w:r>
        <w:t xml:space="preserve"> and on January 31, 2017, Global joined those three providers in their submission of a revised version of the proposal.</w:t>
      </w:r>
      <w:r>
        <w:rPr>
          <w:rStyle w:val="FootnoteReference"/>
        </w:rPr>
        <w:footnoteReference w:id="213"/>
      </w:r>
      <w:r>
        <w:t xml:space="preserve">  These providers contend that, because VRS market shares are so unequally distributed among providers, it is inequitable to calculate compensation rates for all VRS providers based on a weighted average of all providers’ costs, especially as many of the structural reforms of the VRS market contemplated in the </w:t>
      </w:r>
      <w:r w:rsidRPr="005A5361">
        <w:rPr>
          <w:i/>
        </w:rPr>
        <w:t>2013 VRS Reform Order</w:t>
      </w:r>
      <w:r>
        <w:t xml:space="preserve"> have yet to be implemented or take effect.</w:t>
      </w:r>
      <w:r>
        <w:rPr>
          <w:rStyle w:val="FootnoteReference"/>
        </w:rPr>
        <w:footnoteReference w:id="214"/>
      </w:r>
      <w:r>
        <w:t xml:space="preserve">  In addition, the providers maintain that further reductions in VRS compensation rates, absent structural reform, would threaten their viability and impede their ability to grow, hindering the Commission’s goal of ensuring functional equivalence by means of competition, innovation, and high quality service.</w:t>
      </w:r>
      <w:r>
        <w:rPr>
          <w:rStyle w:val="FootnoteReference"/>
        </w:rPr>
        <w:footnoteReference w:id="215"/>
      </w:r>
      <w:r>
        <w:t xml:space="preserve">  To remedy this situation, the providers propose a four-year VRS rate plan with the following per-minute rates:  $5.29 for providers with 500,000 or fewer monthly minutes (“emergent rate”)</w:t>
      </w:r>
      <w:r w:rsidRPr="00065287">
        <w:t>;</w:t>
      </w:r>
      <w:r>
        <w:t xml:space="preserve"> $4.82 for other providers’ first 1,000,000 VRS minutes (Tier I); $4.35 for a provider’s monthly minutes between 1,000,001 and 2,500,000 (Tier II); and $2.83 for a provider’s monthly minutes in excess of 2,500,000 (Tier III).</w:t>
      </w:r>
      <w:r>
        <w:rPr>
          <w:rStyle w:val="FootnoteReference"/>
        </w:rPr>
        <w:footnoteReference w:id="216"/>
      </w:r>
      <w:r>
        <w:t xml:space="preserve">  </w:t>
      </w:r>
      <w:r w:rsidRPr="000353B5">
        <w:t xml:space="preserve">The </w:t>
      </w:r>
      <w:r>
        <w:t xml:space="preserve">proposed </w:t>
      </w:r>
      <w:r w:rsidRPr="000353B5">
        <w:t>rate</w:t>
      </w:r>
      <w:r>
        <w:t>s</w:t>
      </w:r>
      <w:r w:rsidRPr="000353B5">
        <w:t xml:space="preserve"> for providers with 500,000 or fewer monthly minutes and for Tier I minutes </w:t>
      </w:r>
      <w:r>
        <w:t>are</w:t>
      </w:r>
      <w:r w:rsidRPr="000353B5">
        <w:t xml:space="preserve"> the same </w:t>
      </w:r>
      <w:r>
        <w:t xml:space="preserve">rate </w:t>
      </w:r>
      <w:r w:rsidRPr="000353B5">
        <w:t xml:space="preserve">levels that were </w:t>
      </w:r>
      <w:r>
        <w:t>applicable to those rate categories</w:t>
      </w:r>
      <w:r w:rsidRPr="000353B5">
        <w:t xml:space="preserve"> in January-June 2016.</w:t>
      </w:r>
      <w:r>
        <w:rPr>
          <w:rStyle w:val="FootnoteReference"/>
        </w:rPr>
        <w:footnoteReference w:id="217"/>
      </w:r>
      <w:r>
        <w:t xml:space="preserve">  The proposed Tier III rate is equal to the industry weighted average cost for 2015 stated in Rolke Loube’s 2015 TRS Rate Filing.</w:t>
      </w:r>
      <w:r>
        <w:rPr>
          <w:rStyle w:val="FootnoteReference"/>
        </w:rPr>
        <w:footnoteReference w:id="218"/>
      </w:r>
      <w:r>
        <w:t xml:space="preserve">  As justification for their proposal to create a new Tier II for minutes between 1,000,001 and 2,500,000, the providers</w:t>
      </w:r>
      <w:r w:rsidRPr="004D159C">
        <w:t xml:space="preserve"> maintain that the economies of scale needed to operate at the Tier III </w:t>
      </w:r>
      <w:r>
        <w:t>compensation rate are not achieved until a provider reaches approximately 2,500,000 minutes per month.</w:t>
      </w:r>
      <w:r>
        <w:rPr>
          <w:rStyle w:val="FootnoteReference"/>
        </w:rPr>
        <w:footnoteReference w:id="219"/>
      </w:r>
      <w:r>
        <w:t xml:space="preserve">  The providers request that the effective date of their four-year rate proposal be set retroactively as January 1, 2017.</w:t>
      </w:r>
      <w:r>
        <w:rPr>
          <w:rStyle w:val="FootnoteReference"/>
        </w:rPr>
        <w:footnoteReference w:id="220"/>
      </w:r>
    </w:p>
    <w:p w:rsidR="00134604" w:rsidRDefault="00134604" w:rsidP="00134604">
      <w:pPr>
        <w:pStyle w:val="ParaNum"/>
        <w:widowControl/>
      </w:pPr>
      <w:r w:rsidRPr="009B6EE2">
        <w:rPr>
          <w:i/>
        </w:rPr>
        <w:t>Discussion</w:t>
      </w:r>
      <w:r>
        <w:t xml:space="preserve">.  The Commission’s prior VRS compensation rate decisions reflect a tension between two competing values: (1) providing a competitive spur for </w:t>
      </w:r>
      <w:r w:rsidRPr="00887B67">
        <w:t>improvements in the availability, efficiency, and functional equivalence of VRS</w:t>
      </w:r>
      <w:r w:rsidRPr="00D626E4">
        <w:t xml:space="preserve"> by enabling a diversity of providers,</w:t>
      </w:r>
      <w:r>
        <w:rPr>
          <w:rStyle w:val="FootnoteReference"/>
        </w:rPr>
        <w:footnoteReference w:id="221"/>
      </w:r>
      <w:r>
        <w:t xml:space="preserve"> and (2) conserving the TRS Fund by compensating only for the efficient provision of VRS.</w:t>
      </w:r>
      <w:r w:rsidRPr="00C939E2">
        <w:rPr>
          <w:rStyle w:val="FootnoteReference"/>
        </w:rPr>
        <w:footnoteReference w:id="222"/>
      </w:r>
      <w:r w:rsidRPr="00887B67">
        <w:t xml:space="preserve">  </w:t>
      </w:r>
      <w:r>
        <w:t>Upon review, our last four-year plan was successful in lowering the cost of VRS by $35.7 million in FY2013, $86.7 million in FY2014, $131.3 million in FY2016, and $90.4 million in the first half of FY2017.</w:t>
      </w:r>
      <w:r>
        <w:rPr>
          <w:rStyle w:val="FootnoteReference"/>
        </w:rPr>
        <w:footnoteReference w:id="223"/>
      </w:r>
      <w:r>
        <w:t xml:space="preserve">  What is more, the gradual reduction in rates has driven VRS providers to provision their services more efficiently.  The weighted average per-minute cost for providing service has declined from $3.09 in 2012 (before the rate plan became effective) to $2.63 today.</w:t>
      </w:r>
    </w:p>
    <w:p w:rsidR="00134604" w:rsidRDefault="00134604" w:rsidP="00134604">
      <w:pPr>
        <w:pStyle w:val="ParaNum"/>
        <w:widowControl/>
      </w:pPr>
      <w:r>
        <w:t>However, the VRS market structure has seen little change, in part because the structural reforms the Commission envisioned in 2013</w:t>
      </w:r>
      <w:r w:rsidRPr="00C939E2">
        <w:rPr>
          <w:rStyle w:val="FootnoteReference"/>
        </w:rPr>
        <w:footnoteReference w:id="224"/>
      </w:r>
      <w:r>
        <w:t xml:space="preserve"> have been slow to arrive.</w:t>
      </w:r>
      <w:r w:rsidRPr="00C939E2">
        <w:rPr>
          <w:rStyle w:val="FootnoteReference"/>
        </w:rPr>
        <w:footnoteReference w:id="225"/>
      </w:r>
      <w:r>
        <w:t xml:space="preserve">  Thus, we believe the Commission’s previous four-year plan was too optimistic </w:t>
      </w:r>
      <w:r w:rsidRPr="009F66D6">
        <w:t xml:space="preserve">in assuming </w:t>
      </w:r>
      <w:r>
        <w:t>that rates for all VRS providers could start to converge in FY2016, as indicated by the Commission’s decision to freeze small-provider compensation rates in 2016.  Indeed, Rolka Loube reports that four of the five providers continue to incur per-minute costs that are higher than the weighted average per-minute cost of providing VRS.</w:t>
      </w:r>
      <w:r>
        <w:rPr>
          <w:rStyle w:val="FootnoteReference"/>
        </w:rPr>
        <w:footnoteReference w:id="226"/>
      </w:r>
    </w:p>
    <w:p w:rsidR="00134604" w:rsidRDefault="00134604" w:rsidP="00134604">
      <w:pPr>
        <w:pStyle w:val="ParaNum"/>
        <w:widowControl/>
      </w:pPr>
      <w:r>
        <w:t xml:space="preserve">Given these circumstances, we believe that maintaining a tiered rate structure continues to be necessary to allow smaller providers a reasonable opportunity to continue providing service.  </w:t>
      </w:r>
      <w:r w:rsidRPr="00885A2A">
        <w:t xml:space="preserve">Having analyzed the cost data reported by Rolka, as well as recent data submissions from </w:t>
      </w:r>
      <w:r>
        <w:t xml:space="preserve">four </w:t>
      </w:r>
      <w:r w:rsidRPr="00885A2A">
        <w:t>of the providers</w:t>
      </w:r>
      <w:r w:rsidRPr="003D015F">
        <w:t>,</w:t>
      </w:r>
      <w:r w:rsidRPr="003D015F">
        <w:rPr>
          <w:rStyle w:val="FootnoteReference"/>
        </w:rPr>
        <w:footnoteReference w:id="227"/>
      </w:r>
      <w:r w:rsidRPr="003D015F">
        <w:t xml:space="preserve"> we</w:t>
      </w:r>
      <w:r>
        <w:t xml:space="preserve"> believe another four-year plan best balances the need to minimize the cost of service for ratepayers, maintain competition in the marketplace pending further structural reforms, reflect the differing costs of differing providers, and give VRS providers the long-term stability in rates to make investment decisions.  We propose that this four-year period run from July 1, 2017 to June 30, 2021, and set forth a proposed restructuring of rates and tiers for this period below.  Like the Joint VRS Providers, we believe three tiers plus a rate for “emergent” VRS providers are appropriate for this purpose.  </w:t>
      </w:r>
    </w:p>
    <w:p w:rsidR="00134604" w:rsidRDefault="00134604" w:rsidP="00134604">
      <w:pPr>
        <w:pStyle w:val="ParaNum"/>
        <w:widowControl/>
      </w:pPr>
      <w:r w:rsidRPr="00AD4C5C">
        <w:t xml:space="preserve">We seek comment on this </w:t>
      </w:r>
      <w:r>
        <w:t xml:space="preserve">overall </w:t>
      </w:r>
      <w:r w:rsidRPr="00AD4C5C">
        <w:t>approach</w:t>
      </w:r>
      <w:r>
        <w:t xml:space="preserve">.  To what extent are </w:t>
      </w:r>
      <w:r w:rsidRPr="00877E95">
        <w:t>the goals of functional equivalence and efficiency served by maintaining a tiered rate approach during an additional four-year transitional rate period</w:t>
      </w:r>
      <w:r>
        <w:t>?</w:t>
      </w:r>
      <w:r w:rsidRPr="00877E95">
        <w:t xml:space="preserve">  For instance, is the VRS industry characterized by sufficient economies of scale to warrant tiered rates?  </w:t>
      </w:r>
      <w:r>
        <w:t>Which</w:t>
      </w:r>
      <w:r w:rsidRPr="00AD4C5C">
        <w:t xml:space="preserve"> components of a VRS provider’s costs are </w:t>
      </w:r>
      <w:r>
        <w:t xml:space="preserve">and are not </w:t>
      </w:r>
      <w:r w:rsidRPr="00AD4C5C">
        <w:t>subject t</w:t>
      </w:r>
      <w:r>
        <w:t xml:space="preserve">o significant economies of scale </w:t>
      </w:r>
      <w:r w:rsidRPr="00AD4C5C">
        <w:t xml:space="preserve">and </w:t>
      </w:r>
      <w:r>
        <w:t>how</w:t>
      </w:r>
      <w:r w:rsidRPr="00AD4C5C">
        <w:t xml:space="preserve"> </w:t>
      </w:r>
      <w:r>
        <w:t xml:space="preserve">do </w:t>
      </w:r>
      <w:r w:rsidRPr="00AD4C5C">
        <w:t xml:space="preserve">such scale economies </w:t>
      </w:r>
      <w:r>
        <w:t xml:space="preserve">affect provider costs at various levels of demand?  </w:t>
      </w:r>
      <w:r w:rsidRPr="00877E95">
        <w:t>Do considerations other than scale economies</w:t>
      </w:r>
      <w:r>
        <w:t>, such as the benefits of allowing consumer choice among a diversity of providers,</w:t>
      </w:r>
      <w:r w:rsidRPr="00877E95">
        <w:t xml:space="preserve"> justify tiered rates?</w:t>
      </w:r>
      <w:r w:rsidRPr="00AD4C5C">
        <w:t xml:space="preserve"> </w:t>
      </w:r>
      <w:r>
        <w:t xml:space="preserve"> W</w:t>
      </w:r>
      <w:r w:rsidRPr="00AD4C5C">
        <w:t>hat marketplace distortions</w:t>
      </w:r>
      <w:r>
        <w:t>, if any,</w:t>
      </w:r>
      <w:r w:rsidRPr="00AD4C5C">
        <w:t xml:space="preserve"> may be created if tier boundaries are not closely correlated to scale economies</w:t>
      </w:r>
      <w:r>
        <w:t>, and how should such distortions, as well as the inefficiencies that may result from a tiered structure, be weighed against the benefits of enabling competition by multiple providers</w:t>
      </w:r>
      <w:r w:rsidRPr="00AD4C5C">
        <w:t xml:space="preserve">? </w:t>
      </w:r>
      <w:r>
        <w:t xml:space="preserve"> What marketplace distortions, if any, could result from moving to a single unitary compensation rate?  Is there an alternative tiered structure to that proposed below that would strike a more appropriate balance between efficiency and competition?</w:t>
      </w:r>
    </w:p>
    <w:p w:rsidR="00134604" w:rsidRDefault="00134604" w:rsidP="00134604">
      <w:pPr>
        <w:pStyle w:val="ParaNum"/>
        <w:widowControl/>
      </w:pPr>
      <w:r w:rsidRPr="00B95757">
        <w:t xml:space="preserve">We also seek comment on the </w:t>
      </w:r>
      <w:r>
        <w:t xml:space="preserve">following </w:t>
      </w:r>
      <w:r w:rsidRPr="00B95757">
        <w:t xml:space="preserve">specific proposals.  </w:t>
      </w:r>
      <w:r w:rsidRPr="00E768E5">
        <w:rPr>
          <w:i/>
        </w:rPr>
        <w:t>First</w:t>
      </w:r>
      <w:r>
        <w:t xml:space="preserve">, given that the Commission’s current rate plan sets the same rate for the first 500,000 minutes of larger providers and the next 500,000 minutes, we propose adopting the </w:t>
      </w:r>
      <w:r w:rsidRPr="001E7BD4">
        <w:t>Joint VRS Providers</w:t>
      </w:r>
      <w:r>
        <w:t xml:space="preserve"> proposal to collapse the existing tiers into a single tier</w:t>
      </w:r>
      <w:r w:rsidRPr="001E7BD4">
        <w:t xml:space="preserve"> applicable to a provider’s first 1 million minutes.  </w:t>
      </w:r>
      <w:r>
        <w:t xml:space="preserve">We agree </w:t>
      </w:r>
      <w:r w:rsidRPr="001E7BD4">
        <w:t xml:space="preserve">that it does not appear necessary to continue differentiating between the rates for </w:t>
      </w:r>
      <w:r>
        <w:t>the first 500,000 minutes and the next 500,000 minutes.  Accordingly, we propose to redefine Tier I to include the first 1,000,000 minutes as suggested by the Joint VRS Providers.</w:t>
      </w:r>
      <w:r w:rsidRPr="001E7BD4">
        <w:t xml:space="preserve"> </w:t>
      </w:r>
    </w:p>
    <w:p w:rsidR="00134604" w:rsidRDefault="00134604" w:rsidP="00134604">
      <w:pPr>
        <w:pStyle w:val="ParaNum"/>
        <w:widowControl/>
      </w:pPr>
      <w:r>
        <w:rPr>
          <w:i/>
        </w:rPr>
        <w:t>Second</w:t>
      </w:r>
      <w:r>
        <w:t>, we agree with the Joint VRS Providers that economies of scale continue to increase significantly for VRS providers with more than 1,000,000 monthly minutes.</w:t>
      </w:r>
      <w:r>
        <w:rPr>
          <w:rStyle w:val="FootnoteReference"/>
        </w:rPr>
        <w:footnoteReference w:id="228"/>
      </w:r>
      <w:r>
        <w:t xml:space="preserve">  In line with the suggestion of the Joint VRS Providers, we propose to draw the line between Tiers II and III at 2,500,000 monthly minutes.  Two providers, Sorenson and Purple, have previously suggested lower boundaries between the highest and next highest rate tiers, at 250,000 minutes and at 2,000,000 minutes respectively.</w:t>
      </w:r>
      <w:r w:rsidRPr="00C939E2">
        <w:rPr>
          <w:rStyle w:val="FootnoteReference"/>
        </w:rPr>
        <w:footnoteReference w:id="229"/>
      </w:r>
      <w:r w:rsidRPr="00712A4C">
        <w:t xml:space="preserve">  </w:t>
      </w:r>
      <w:r>
        <w:t>In a recent</w:t>
      </w:r>
      <w:r w:rsidRPr="003D015F">
        <w:t xml:space="preserve"> </w:t>
      </w:r>
      <w:r w:rsidRPr="00FD775F">
        <w:rPr>
          <w:i/>
        </w:rPr>
        <w:t>ex parte</w:t>
      </w:r>
      <w:r>
        <w:t xml:space="preserve"> submission</w:t>
      </w:r>
      <w:r w:rsidRPr="003D015F">
        <w:t xml:space="preserve"> modeling the economies of scale </w:t>
      </w:r>
      <w:r>
        <w:t>for</w:t>
      </w:r>
      <w:r w:rsidRPr="003D015F">
        <w:t xml:space="preserve"> VRS</w:t>
      </w:r>
      <w:r>
        <w:t>, Purple’s estimates</w:t>
      </w:r>
      <w:r w:rsidRPr="003D015F">
        <w:t xml:space="preserve"> show a break in how quickly costs decrease once a provider provides more than 2,500,000 minutes each month.</w:t>
      </w:r>
      <w:r w:rsidRPr="003D015F">
        <w:rPr>
          <w:rStyle w:val="FootnoteReference"/>
        </w:rPr>
        <w:footnoteReference w:id="230"/>
      </w:r>
      <w:r>
        <w:t xml:space="preserve">  Furthermore, in the </w:t>
      </w:r>
      <w:r w:rsidRPr="006E4B18">
        <w:rPr>
          <w:i/>
        </w:rPr>
        <w:t>2013 VRS Reform Order</w:t>
      </w:r>
      <w:r>
        <w:t xml:space="preserve">, the Commission </w:t>
      </w:r>
      <w:r w:rsidRPr="004D204E">
        <w:t>conclude</w:t>
      </w:r>
      <w:r>
        <w:t>d</w:t>
      </w:r>
      <w:r w:rsidRPr="004D204E">
        <w:t xml:space="preserve"> that </w:t>
      </w:r>
      <w:r>
        <w:t>it</w:t>
      </w:r>
      <w:r w:rsidRPr="004D204E">
        <w:t xml:space="preserve"> should err on the side of setting the boundary too high</w:t>
      </w:r>
      <w:r>
        <w:t xml:space="preserve"> given the risk that a too-low level could inhibit competition in the marketplace</w:t>
      </w:r>
      <w:r w:rsidRPr="004D204E">
        <w:t>.</w:t>
      </w:r>
      <w:r>
        <w:rPr>
          <w:rStyle w:val="FootnoteReference"/>
        </w:rPr>
        <w:footnoteReference w:id="231"/>
      </w:r>
      <w:r>
        <w:t xml:space="preserve">  We believe this calculus remains valid, and may have even greater force given the reduction in the number of VRS competitors since 2013.</w:t>
      </w:r>
      <w:r w:rsidRPr="00AD4C5C">
        <w:rPr>
          <w:snapToGrid/>
          <w:color w:val="000000"/>
          <w:kern w:val="0"/>
          <w:sz w:val="24"/>
          <w:szCs w:val="24"/>
        </w:rPr>
        <w:t xml:space="preserve"> </w:t>
      </w:r>
      <w:r>
        <w:t xml:space="preserve">  </w:t>
      </w:r>
    </w:p>
    <w:p w:rsidR="00134604" w:rsidRDefault="00134604" w:rsidP="00134604">
      <w:pPr>
        <w:pStyle w:val="ParaNum"/>
        <w:widowControl/>
      </w:pPr>
      <w:r>
        <w:rPr>
          <w:i/>
        </w:rPr>
        <w:t>Third</w:t>
      </w:r>
      <w:r>
        <w:t>, we agree with the Joint VRS Providers that an emergent rate for the smaller, new entrants is appropriate given the slow onset of structural reforms to encourage competition and interoperability.</w:t>
      </w:r>
      <w:r>
        <w:rPr>
          <w:rStyle w:val="FootnoteReference"/>
        </w:rPr>
        <w:footnoteReference w:id="232"/>
      </w:r>
      <w:r>
        <w:t xml:space="preserve">  An emergent rate also reflects the Commission’s previous decision to freeze the rates for this class of providers on a temporary basis, and generally the higher cost of service for new entrants in the market.  We propose to apply this emergent rate to VRS providers with no more than 500,000 monthly minutes as of January 1, 2017, and to maintain this rate for the first 500,000 monthly minutes of such providers through the end of this four-year rate plan.  Structuring the emergent rate in this way should encourage new entry into the program and give small providers appropriate incentives to grow without risking a sudden reduction in rates if they grow above the 500,000 monthly minutes threshold.</w:t>
      </w:r>
    </w:p>
    <w:p w:rsidR="00134604" w:rsidRDefault="00134604" w:rsidP="00134604">
      <w:pPr>
        <w:pStyle w:val="ParaNum"/>
        <w:widowControl/>
      </w:pPr>
      <w:r>
        <w:t xml:space="preserve">We propose to adjust the rates for each of these tiers through several steps, at six-month intervals as in the current rate plan.  </w:t>
      </w:r>
      <w:r>
        <w:rPr>
          <w:i/>
        </w:rPr>
        <w:t>First</w:t>
      </w:r>
      <w:r>
        <w:t>, we seek comment on rates for the initial period of the four-year rate plan.  For emergent providers, we seek comment on whether to increase the rate to $5.29 as proposed by the Joint VRS Providers or to maintain the $4.82 rate that is set to be in effect in June.</w:t>
      </w:r>
      <w:r>
        <w:rPr>
          <w:rStyle w:val="FootnoteReference"/>
        </w:rPr>
        <w:footnoteReference w:id="233"/>
      </w:r>
      <w:r>
        <w:t xml:space="preserve">  </w:t>
      </w:r>
      <w:r w:rsidRPr="0059725E">
        <w:t xml:space="preserve">We note from a preliminary review of cost data, </w:t>
      </w:r>
      <w:r w:rsidRPr="00AA15C8">
        <w:t>all VRS providers that would qualify as emergent report per-minute costs for 2016 that exceed the $4.82 rate now applicable</w:t>
      </w:r>
      <w:r w:rsidRPr="0059725E">
        <w:t>.</w:t>
      </w:r>
      <w:r>
        <w:rPr>
          <w:rStyle w:val="FootnoteReference"/>
        </w:rPr>
        <w:footnoteReference w:id="234"/>
      </w:r>
      <w:r>
        <w:t xml:space="preserve">  For Tier I, we seek comment on whether to increase the rate to $4.82, as proposed by the Joint VRS Providers, or to maintain the current $4.06 rate.  For Tier II, we seek comment on whether to increase the rate to $4.35 as proposed by the Joint VRS Providers or to maintain the current $3.49 rate.  For Tier III, we seek comment on whether to maintain the current $3.49 rate or decrease it to the $2.83 rate proposed by the Joint VRS Providers.  We also invite parties to submit other suggested rate levels for each tier, with justification and supporting data.</w:t>
      </w:r>
    </w:p>
    <w:p w:rsidR="00134604" w:rsidRDefault="00134604" w:rsidP="00134604">
      <w:pPr>
        <w:pStyle w:val="ParaNum"/>
        <w:widowControl/>
      </w:pPr>
      <w:r>
        <w:rPr>
          <w:i/>
        </w:rPr>
        <w:t>Next</w:t>
      </w:r>
      <w:r>
        <w:t xml:space="preserve">, we seek comment on rates for the final period in the four-year rate plan.  For emergent providers, we seek comment on whether to set a $5.29 rate as proposed by the Joint VRS Providers, a $4.82 rate reflecting the rate that is set to be in effect in June, or a $4.06 rate based on the current Tier I rate.  For Tier I, we seek comment on </w:t>
      </w:r>
      <w:r w:rsidRPr="0059725E">
        <w:t xml:space="preserve">whether to set </w:t>
      </w:r>
      <w:r>
        <w:t xml:space="preserve">a $4.82 rate as proposed by the Joint VRS Providers, a $4.06 rate based on the current Tier I rate, or a rate of </w:t>
      </w:r>
      <w:r w:rsidRPr="00E01734">
        <w:t>$3.74</w:t>
      </w:r>
      <w:r>
        <w:t xml:space="preserve"> based on the historical costs of providers achieving only some economies of scale plus an operating margin,</w:t>
      </w:r>
      <w:r>
        <w:rPr>
          <w:rStyle w:val="FootnoteReference"/>
        </w:rPr>
        <w:footnoteReference w:id="235"/>
      </w:r>
      <w:r>
        <w:t xml:space="preserve"> or a rate of $3.49 based on the current Tier II rate.  For Tier II, we seek comment on whether to set a $4.35 rate as proposed by the Joint VRS Providers, a rate of $3.49 based on the current Tier III rate, or a rate of </w:t>
      </w:r>
      <w:r w:rsidRPr="00E01734">
        <w:t>$3.08</w:t>
      </w:r>
      <w:r>
        <w:t xml:space="preserve"> based on the historical costs of providers achieving significant economies of scale plus an operating margin.</w:t>
      </w:r>
      <w:r>
        <w:rPr>
          <w:rStyle w:val="FootnoteReference"/>
        </w:rPr>
        <w:footnoteReference w:id="236"/>
      </w:r>
      <w:r>
        <w:t xml:space="preserve">  For Tier III, we seek comment on a $3.49 rate based on the current Tier III rate, a $2.83 rate as proposed by the Joint VRS Providers, and a </w:t>
      </w:r>
      <w:r w:rsidRPr="00E01734">
        <w:t>$2.63</w:t>
      </w:r>
      <w:r>
        <w:t xml:space="preserve"> rate based on average historical expenses for all providers.</w:t>
      </w:r>
      <w:r>
        <w:rPr>
          <w:rStyle w:val="FootnoteReference"/>
        </w:rPr>
        <w:footnoteReference w:id="237"/>
      </w:r>
      <w:r w:rsidRPr="0059725E">
        <w:t xml:space="preserve"> </w:t>
      </w:r>
      <w:r>
        <w:t xml:space="preserve"> </w:t>
      </w:r>
      <w:r w:rsidRPr="0059725E">
        <w:t>We also invite parties to submit other suggested rate levels for each tier, with justification and supporting data.</w:t>
      </w:r>
    </w:p>
    <w:p w:rsidR="00134604" w:rsidRDefault="00134604" w:rsidP="00134604">
      <w:pPr>
        <w:pStyle w:val="ParaNum"/>
        <w:widowControl/>
      </w:pPr>
      <w:r>
        <w:rPr>
          <w:i/>
        </w:rPr>
        <w:t>Then</w:t>
      </w:r>
      <w:r>
        <w:t>, for each six-month period between the initial and final periods, we propose to apply transitional rates that gradually transition the rates we propose for the initial period to the final rates that will apply in the first half of 2021.  By definition, the larger the difference between initial and final rates, the greater the transitional step taken every six months.</w:t>
      </w:r>
    </w:p>
    <w:p w:rsidR="00134604" w:rsidRDefault="00134604" w:rsidP="00134604">
      <w:pPr>
        <w:pStyle w:val="ParaNum"/>
        <w:widowControl/>
      </w:pPr>
      <w:r>
        <w:t>We note that providers have</w:t>
      </w:r>
      <w:r w:rsidRPr="00A4200B">
        <w:t xml:space="preserve"> </w:t>
      </w:r>
      <w:r>
        <w:t xml:space="preserve">long argued that, because substantial plant investment is not necessary to provide VRS, a </w:t>
      </w:r>
      <w:r w:rsidRPr="00A4200B">
        <w:t>rate-of-return allowance</w:t>
      </w:r>
      <w:r>
        <w:t xml:space="preserve"> based on the telephone industry model is inadequate to generate sufficient profits to attract significant long-term investment in VRS companies.</w:t>
      </w:r>
      <w:r>
        <w:rPr>
          <w:rStyle w:val="FootnoteReference"/>
        </w:rPr>
        <w:footnoteReference w:id="238"/>
      </w:r>
      <w:r>
        <w:t xml:space="preserve"> </w:t>
      </w:r>
      <w:r w:rsidRPr="00A4200B">
        <w:t xml:space="preserve"> </w:t>
      </w:r>
      <w:r>
        <w:t xml:space="preserve">As such, providers have argued that an 11.25% rate-of-return on net capital investment is insufficiently compensatory.  We also note that the Commission has recently reconsidered whether an 11.25% rate-of-return is reasonable given the current financial and economic environment and, in its 2016 </w:t>
      </w:r>
      <w:r>
        <w:rPr>
          <w:i/>
        </w:rPr>
        <w:t>Rate-of-Return Reform Order</w:t>
      </w:r>
      <w:r>
        <w:t>, determined that a lower range of 7.12–9.75% is instead reasonable.</w:t>
      </w:r>
      <w:r w:rsidRPr="0000147D">
        <w:rPr>
          <w:rStyle w:val="FootnoteReference"/>
        </w:rPr>
        <w:footnoteReference w:id="239"/>
      </w:r>
      <w:r>
        <w:t xml:space="preserve">  We seek comment on whether to adopt that lower range of rates-of-return if we maintain a rate-of-return approach to cost calculations.</w:t>
      </w:r>
    </w:p>
    <w:p w:rsidR="00134604" w:rsidRDefault="00134604" w:rsidP="00134604">
      <w:pPr>
        <w:pStyle w:val="ParaNum"/>
        <w:widowControl/>
      </w:pPr>
      <w:r>
        <w:t xml:space="preserve">To respond to the VRS providers’ concern, however, we also seek comment on eschewing the traditional rate-of-return calculation and instead employing an operating margin approach with that same range of </w:t>
      </w:r>
      <w:r w:rsidRPr="009B5D11">
        <w:t>7.12–9.75%</w:t>
      </w:r>
      <w:r>
        <w:t xml:space="preserve">.  We note that in all cases, the operating margin approach used here would be more compensatory to VRS providers than the traditional rate-of-return approach because the amount of net investment reported by providers is consistently very small in relation to their reported annual operating expenses.  We further note that the average weighted per-minute cost for the industry is </w:t>
      </w:r>
      <w:r w:rsidRPr="009B5D11">
        <w:t>$2.63 in 2015, or $2.82–2.89</w:t>
      </w:r>
      <w:r>
        <w:t xml:space="preserve"> if we include an operating margin.</w:t>
      </w:r>
      <w:r>
        <w:rPr>
          <w:rStyle w:val="FootnoteReference"/>
        </w:rPr>
        <w:footnoteReference w:id="240"/>
      </w:r>
      <w:r>
        <w:t xml:space="preserve">  Excluding any VRS provider with significantly more than 1,000,000 monthly minutes, average weighted per-minute costs in 2015 were more than $1.00 higher.</w:t>
      </w:r>
      <w:r>
        <w:rPr>
          <w:rStyle w:val="FootnoteReference"/>
        </w:rPr>
        <w:footnoteReference w:id="241"/>
      </w:r>
      <w:r>
        <w:t xml:space="preserve">  We further note that for the VRS industry as a whole, total compensation for calendar year 2015 was $563,069,736, while the total cost of service plus an operating margin was only $360,197,998 to $369,041,545.</w:t>
      </w:r>
      <w:r>
        <w:rPr>
          <w:rStyle w:val="FootnoteReference"/>
        </w:rPr>
        <w:footnoteReference w:id="242"/>
      </w:r>
      <w:r>
        <w:t xml:space="preserve">  Given the large gap between total compensation for VRS providers and the total cost of service plus an operating margin, we tentatively conclude that any new rate schedule we adopt should result in a smaller gap than freezing rates in June 2017 for a four-year period.  We seek comments on this analysis and this tentative conclusion, and their implications for setting rates during the four-year term.</w:t>
      </w:r>
      <w:r>
        <w:rPr>
          <w:rStyle w:val="FootnoteReference"/>
        </w:rPr>
        <w:footnoteReference w:id="243"/>
      </w:r>
    </w:p>
    <w:p w:rsidR="00134604" w:rsidRDefault="00134604" w:rsidP="00134604">
      <w:pPr>
        <w:pStyle w:val="ParaNum"/>
        <w:widowControl/>
      </w:pPr>
      <w:r>
        <w:t>In setting rates, we note that the Commission is not required to guarantee all providers that they will recover their allowable costs—the purpose of the tiered rate structure has been to set rates for providers in discrete size classes based on general differentials between large, medium-sized, and small providers, not to guarantee all providers recovery of their individual costs.</w:t>
      </w:r>
      <w:r>
        <w:rPr>
          <w:rStyle w:val="FootnoteReference"/>
        </w:rPr>
        <w:footnoteReference w:id="244"/>
      </w:r>
      <w:r>
        <w:t xml:space="preserve">  Although we seek to preserve a diversity of suppliers in the market, the Commission is not required to ensure the viability of every VRS competitor, no matter how inefficient. </w:t>
      </w:r>
    </w:p>
    <w:p w:rsidR="00134604" w:rsidRDefault="00134604" w:rsidP="00134604">
      <w:pPr>
        <w:pStyle w:val="ParaNum"/>
        <w:widowControl/>
      </w:pPr>
      <w:r>
        <w:t>In this regard, we note that in an industry such as VRS, in the absence of price signals, firms often resort to marketing tactics with little or no social welfare value.  For example, VRS providers have long complained about one another’s practices of giving away free items to customers in order to entice them away from their current default provider or to prevent a competitor from capturing existing customers.  Despite the past four years of significant reductions in compensation rates, VRS providers apparently continue to give out iPads, video monitors, and state-of-the-art videophones to customers in order to secure their default VRS traffic.</w:t>
      </w:r>
      <w:r>
        <w:rPr>
          <w:rStyle w:val="FootnoteReference"/>
        </w:rPr>
        <w:footnoteReference w:id="245"/>
      </w:r>
      <w:r>
        <w:t xml:space="preserve">  To the extent that a VRS provider engages in such behavior, it would appear to confirm that the marginal compensation rate for that provider (i.e., the applicable rate for the tier representing that provider’s monthly minutes) continues to be well above the provider’s marginal cost of serving additional customers, and remains above the marginal cost even including the per-minute cost of the giveaways offered to gain those customers’ traffic.  The continuation of such wasteful and disruptive marketing tactics seems to confirm the importance of bringing the rate for each tier as close as possible to the marginal per-minute cost of the affected firms.  We seek comment on what proposed rates would be a step in that direction.   </w:t>
      </w:r>
    </w:p>
    <w:p w:rsidR="00134604" w:rsidRPr="002E29D7" w:rsidRDefault="00134604" w:rsidP="00134604">
      <w:pPr>
        <w:pStyle w:val="ParaNum"/>
        <w:widowControl/>
        <w:rPr>
          <w:snapToGrid/>
        </w:rPr>
      </w:pPr>
      <w:r w:rsidRPr="00112562">
        <w:rPr>
          <w:snapToGrid/>
        </w:rPr>
        <w:t xml:space="preserve">We seek comment on these proposed service tiers, the </w:t>
      </w:r>
      <w:r>
        <w:rPr>
          <w:snapToGrid/>
        </w:rPr>
        <w:t xml:space="preserve">suggested alternatives for </w:t>
      </w:r>
      <w:r w:rsidRPr="00112562">
        <w:rPr>
          <w:snapToGrid/>
        </w:rPr>
        <w:t xml:space="preserve">initial and final compensation rates, and the proposed schedule of rate reductions.  Should we collapse the tiers to reduce the possible overpayment of some providers or expand them further to reflect the differing costs of service as VRS providers scale up?  </w:t>
      </w:r>
      <w:r w:rsidRPr="002E29D7">
        <w:rPr>
          <w:snapToGrid/>
        </w:rPr>
        <w:t>What are the most appropriate initial rates to begin the further transition to cost-based levels?  What are the most appropriate final rates to ensure that providers are neither over- nor under-compensated?</w:t>
      </w:r>
      <w:r>
        <w:rPr>
          <w:snapToGrid/>
        </w:rPr>
        <w:t xml:space="preserve">  </w:t>
      </w:r>
      <w:r w:rsidRPr="00112562">
        <w:rPr>
          <w:snapToGrid/>
        </w:rPr>
        <w:t xml:space="preserve">Is the proposed transition schedule too fast or too </w:t>
      </w:r>
      <w:r w:rsidRPr="002E29D7">
        <w:t>slow</w:t>
      </w:r>
      <w:r w:rsidRPr="002D0DFB">
        <w:rPr>
          <w:snapToGrid/>
        </w:rPr>
        <w:t xml:space="preserve">?  What is the likely impact of various alternative rate levels on </w:t>
      </w:r>
      <w:r w:rsidRPr="002E29D7">
        <w:rPr>
          <w:snapToGrid/>
        </w:rPr>
        <w:t xml:space="preserve">the competitiveness of the VRS market?  What is the likely impact on the quality of service to consumers?  </w:t>
      </w:r>
    </w:p>
    <w:p w:rsidR="00134604" w:rsidRPr="0031257E" w:rsidRDefault="00134604" w:rsidP="00134604">
      <w:pPr>
        <w:pStyle w:val="ParaNum"/>
        <w:widowControl/>
        <w:rPr>
          <w:snapToGrid/>
        </w:rPr>
      </w:pPr>
      <w:r w:rsidRPr="00112562">
        <w:rPr>
          <w:snapToGrid/>
        </w:rPr>
        <w:t xml:space="preserve">We also seek comment on any other factors we should consider in setting </w:t>
      </w:r>
      <w:r>
        <w:rPr>
          <w:snapToGrid/>
        </w:rPr>
        <w:t xml:space="preserve">compensation </w:t>
      </w:r>
      <w:r w:rsidRPr="00112562">
        <w:rPr>
          <w:snapToGrid/>
        </w:rPr>
        <w:t xml:space="preserve">rates </w:t>
      </w:r>
      <w:r>
        <w:rPr>
          <w:snapToGrid/>
        </w:rPr>
        <w:t xml:space="preserve">for </w:t>
      </w:r>
      <w:r w:rsidRPr="00112562">
        <w:rPr>
          <w:snapToGrid/>
        </w:rPr>
        <w:t xml:space="preserve">this four-year period.  For example, </w:t>
      </w:r>
      <w:r>
        <w:t>what</w:t>
      </w:r>
      <w:r w:rsidRPr="00EF4712">
        <w:t>, if any</w:t>
      </w:r>
      <w:r>
        <w:t>,</w:t>
      </w:r>
      <w:r w:rsidRPr="00EF4712">
        <w:t xml:space="preserve"> categories of costs should providers be able to recover as exogenous costs</w:t>
      </w:r>
      <w:r>
        <w:t xml:space="preserve"> (including consideration of improved services discussed elsewhere in this proceeding)</w:t>
      </w:r>
      <w:r w:rsidRPr="00EF4712">
        <w:t xml:space="preserve">, and </w:t>
      </w:r>
      <w:r>
        <w:t>how should the Commission ensure that such costs are adequately documented and that providers do not incur such costs imprudently?</w:t>
      </w:r>
      <w:r>
        <w:rPr>
          <w:rStyle w:val="FootnoteReference"/>
        </w:rPr>
        <w:footnoteReference w:id="246"/>
      </w:r>
      <w:r>
        <w:t xml:space="preserve">  Are there marketplace benchmarks, such as rates paid for video remote interpreting (VRI), that could serve as a benchmark against which we could determine the reasonableness of proposed VRS compensation rates?  If so, what are such benchmarks and how should we factor them into VRS rates?  Further, should we impose an auditing requirement on any companies that seek to qualify for the emergent provider rate?  We note that some very small providers have reported costs well above compensable rates for multiyear periods, yet have continued to offer VRS—a circumstance that appears inconsistent with the behavior of a rational firm.  Conditioning the emergent provider rate on an audit to determine whether improper cost allocation is occurring may be one means of ensuring that the cost data reported actually reflects the incremental costs of a business to offer VRS alongside its other marketplace offerings.</w:t>
      </w:r>
    </w:p>
    <w:p w:rsidR="00134604" w:rsidRDefault="00134604" w:rsidP="00134604">
      <w:pPr>
        <w:pStyle w:val="ParaNum"/>
        <w:widowControl/>
        <w:rPr>
          <w:snapToGrid/>
        </w:rPr>
      </w:pPr>
      <w:r>
        <w:rPr>
          <w:snapToGrid/>
        </w:rPr>
        <w:t xml:space="preserve">Further, </w:t>
      </w:r>
      <w:r w:rsidRPr="00112562">
        <w:rPr>
          <w:snapToGrid/>
        </w:rPr>
        <w:t xml:space="preserve">should we make any of the proposed initial rates that are higher than current rates retroactive to January 1, 2017, as proposed by the </w:t>
      </w:r>
      <w:r>
        <w:rPr>
          <w:snapToGrid/>
        </w:rPr>
        <w:t>Joint VRS Providers?</w:t>
      </w:r>
      <w:r>
        <w:rPr>
          <w:rStyle w:val="FootnoteReference"/>
          <w:snapToGrid/>
        </w:rPr>
        <w:footnoteReference w:id="247"/>
      </w:r>
      <w:r>
        <w:rPr>
          <w:snapToGrid/>
        </w:rPr>
        <w:t xml:space="preserve">  </w:t>
      </w:r>
      <w:r w:rsidRPr="00AC7F8C">
        <w:rPr>
          <w:snapToGrid/>
        </w:rPr>
        <w:t xml:space="preserve">On a number of prior occasions, </w:t>
      </w:r>
      <w:r>
        <w:rPr>
          <w:snapToGrid/>
        </w:rPr>
        <w:t xml:space="preserve">including in the </w:t>
      </w:r>
      <w:r w:rsidRPr="00AC7F8C">
        <w:rPr>
          <w:i/>
        </w:rPr>
        <w:t>VRS Partial Rate Freeze Order</w:t>
      </w:r>
      <w:r>
        <w:t>,</w:t>
      </w:r>
      <w:r w:rsidRPr="00AC7F8C">
        <w:rPr>
          <w:snapToGrid/>
        </w:rPr>
        <w:t xml:space="preserve"> the Commission </w:t>
      </w:r>
      <w:r>
        <w:rPr>
          <w:snapToGrid/>
        </w:rPr>
        <w:t>has</w:t>
      </w:r>
      <w:r w:rsidRPr="00AC7F8C">
        <w:rPr>
          <w:snapToGrid/>
        </w:rPr>
        <w:t xml:space="preserve"> applied adjustments, including changes in TRS compensation rates and contribution factors, retroactively to the beginning of a Fund Year.</w:t>
      </w:r>
      <w:r>
        <w:rPr>
          <w:rStyle w:val="FootnoteReference"/>
          <w:snapToGrid/>
        </w:rPr>
        <w:footnoteReference w:id="248"/>
      </w:r>
      <w:r w:rsidRPr="00AC7F8C">
        <w:rPr>
          <w:snapToGrid/>
        </w:rPr>
        <w:t xml:space="preserve">  </w:t>
      </w:r>
      <w:r>
        <w:rPr>
          <w:snapToGrid/>
        </w:rPr>
        <w:t>Are retroactive adjustments appropriate here?  If so, for which rates and based on what specific justification?  For example, in what way is such retroactive compensation relevant to providers’ ability to recover their costs and attract investment on a going-forward basis?</w:t>
      </w:r>
    </w:p>
    <w:p w:rsidR="00134604" w:rsidRPr="00723FDC" w:rsidRDefault="00134604" w:rsidP="00134604">
      <w:pPr>
        <w:pStyle w:val="ParaNum"/>
        <w:widowControl/>
        <w:rPr>
          <w:snapToGrid/>
        </w:rPr>
      </w:pPr>
      <w:r w:rsidRPr="00B024E4">
        <w:rPr>
          <w:i/>
        </w:rPr>
        <w:t>Alternative Approaches</w:t>
      </w:r>
      <w:r>
        <w:t>.  Sorenson urges the Commission to seek comment on a price cap approach.</w:t>
      </w:r>
      <w:r>
        <w:rPr>
          <w:rStyle w:val="FootnoteReference"/>
        </w:rPr>
        <w:footnoteReference w:id="249"/>
      </w:r>
      <w:r>
        <w:t xml:space="preserve">  Although the proposed approach contains elements of a price-cap regime—because rates are not directly tied to, and tend to lag, costs—we seek comment on a price-cap approach.  First, we seek comment on whether we should initialize rates for each carrier based on its own historical costs, as the Commission did when it created price-cap regulation over two decades ago.  Second, we seek comment on whether we should apply a productivity factor and an inflation factor to such price-caps over the course of the four-year term.  If we were to adopt this approach, would that cause greater striation in rates and costs among VRS providers?  Would a price-cap regime give carriers sufficient incentive to reduce costs?  Would such a regime reduce the compensation paid for the service closer to its costs?  Would such a regime unfairly penalize more efficient providers?  How should we set a productivity factor (would it be based on industry-wide efficiencies or company-by-company)?  How complicated would it be to establish and administer a price-cap regime?  If we decline to adopt such a regime, should we nonetheless apply productivity and inflation factors to rates we adopt under the proposed approach? </w:t>
      </w:r>
    </w:p>
    <w:p w:rsidR="00134604" w:rsidRPr="00723FDC" w:rsidRDefault="00134604" w:rsidP="00134604">
      <w:pPr>
        <w:pStyle w:val="ParaNum"/>
        <w:widowControl/>
        <w:rPr>
          <w:snapToGrid/>
        </w:rPr>
      </w:pPr>
      <w:r>
        <w:t>Sorenson also suggests that the Commission set</w:t>
      </w:r>
      <w:r w:rsidRPr="007E4F88">
        <w:t xml:space="preserve"> rates </w:t>
      </w:r>
      <w:r>
        <w:t xml:space="preserve">for individual components of VRS </w:t>
      </w:r>
      <w:r w:rsidRPr="007E4F88">
        <w:t>based on pricing benchmarks developed through competitive bidding.</w:t>
      </w:r>
      <w:r>
        <w:rPr>
          <w:rStyle w:val="FootnoteReference"/>
        </w:rPr>
        <w:footnoteReference w:id="250"/>
      </w:r>
      <w:r>
        <w:t xml:space="preserve">  We note that the proposal in the </w:t>
      </w:r>
      <w:r w:rsidRPr="00723FDC">
        <w:rPr>
          <w:i/>
        </w:rPr>
        <w:t xml:space="preserve">2013 </w:t>
      </w:r>
      <w:r w:rsidRPr="00723FDC">
        <w:rPr>
          <w:i/>
          <w:iCs/>
        </w:rPr>
        <w:t>VRS Reform FNPRM</w:t>
      </w:r>
      <w:r w:rsidRPr="00723FDC">
        <w:rPr>
          <w:iCs/>
        </w:rPr>
        <w:t xml:space="preserve"> was premised on</w:t>
      </w:r>
      <w:r>
        <w:t xml:space="preserve"> developing a neutral video communications service platform.  The Commission previously canceled that procurement.  </w:t>
      </w:r>
      <w:r w:rsidRPr="00723FDC">
        <w:t>In light of the general lack of industry interest in the neutral video communications services platform, we seek comment on whether it would be productive for the Commission to request new bids for such a platform.</w:t>
      </w:r>
      <w:r w:rsidRPr="00723FDC">
        <w:rPr>
          <w:vertAlign w:val="superscript"/>
        </w:rPr>
        <w:footnoteReference w:id="251"/>
      </w:r>
      <w:r w:rsidRPr="00723FDC">
        <w:t xml:space="preserve">  Absent a showing that we should request new bids, we propose to repeal the provisions of our rules relating to it.  Providers and other parties that believe the Commission should proceed with its original plan to develop this platform should explain why they believe its build-out is necessary to achieve the goals of functional equivalence and efficiency under section 225, as well as the extent to which VRS providers would commit to utilizing such a platform.  </w:t>
      </w:r>
      <w:r>
        <w:t xml:space="preserve">If the Commission does decide to pursue a neutral platform, we seek comment on </w:t>
      </w:r>
      <w:r w:rsidRPr="00932C37">
        <w:t xml:space="preserve">whether the use of competitive bidding to set rates for other </w:t>
      </w:r>
      <w:r w:rsidRPr="007622E8">
        <w:t xml:space="preserve">services would make </w:t>
      </w:r>
      <w:r w:rsidRPr="001B05F6">
        <w:t>sense</w:t>
      </w:r>
      <w:r w:rsidRPr="007622E8">
        <w:t>.  What</w:t>
      </w:r>
      <w:r>
        <w:t xml:space="preserve"> would be impact of moving toward a piece-part system of compensation on VRS providers?  Would there remain sufficient competitive bidding prospects to ensure an efficient auction given the rise of direct connections at federal agencies and other entities that have historically received a large number of VRS calls?   </w:t>
      </w:r>
    </w:p>
    <w:p w:rsidR="00134604" w:rsidRDefault="00134604" w:rsidP="00134604">
      <w:pPr>
        <w:pStyle w:val="ParaNum"/>
        <w:widowControl/>
      </w:pPr>
      <w:r>
        <w:t xml:space="preserve">Alternatively, Sorenson asks that we seek comment on employing a reverse auction approach to set rates based on a modified version of the electricity supply auctions authorized by the Federal Energy Regulatory Commission (FERC).  Under this suggested approach, </w:t>
      </w:r>
      <w:r w:rsidRPr="003A2179">
        <w:t xml:space="preserve">the </w:t>
      </w:r>
      <w:r>
        <w:t xml:space="preserve">Commission </w:t>
      </w:r>
      <w:r w:rsidRPr="00B65553">
        <w:t>would determine how many VRS providers are needed to provide sufficient competitive choices for users</w:t>
      </w:r>
      <w:r>
        <w:t xml:space="preserve"> and then would seek bids from each potential </w:t>
      </w:r>
      <w:r w:rsidRPr="00B65553">
        <w:t xml:space="preserve">VRS provider </w:t>
      </w:r>
      <w:r>
        <w:t>on the per-minute rate of compensation each will accept for the provision of VRS</w:t>
      </w:r>
      <w:r w:rsidRPr="00B65553">
        <w:t xml:space="preserve">. </w:t>
      </w:r>
      <w:r>
        <w:t xml:space="preserve"> Compensation would be paid to all winning providers at the highest rate bid by the winners, i.e., the rate bid by the last bidder whose bid was accepted.</w:t>
      </w:r>
      <w:r>
        <w:rPr>
          <w:rStyle w:val="FootnoteReference"/>
        </w:rPr>
        <w:footnoteReference w:id="252"/>
      </w:r>
      <w:r>
        <w:t xml:space="preserve">  How many providers would be sufficient under this approach?  If less than the total number of VRS providers currently in the market, how would the reduction in choice and competition affect VRS users?  If equal to the total number of VRS providers currently in the market, would that be considered an auction at all?  How would such an approach address the apparent economies of scale and scope within the VRS market, ensuring that no VRS provider receives an unjust windfall?  Would such an approach increase—perhaps substantially—the cost of VRS service to ratepayers?  Would such an approach prohibit new entry into the VRS market during the rate period?  Would such an approach be less “regulatory,” as Sorenson suggests?</w:t>
      </w:r>
    </w:p>
    <w:p w:rsidR="00134604" w:rsidRPr="00B95757" w:rsidRDefault="00134604" w:rsidP="00134604">
      <w:pPr>
        <w:pStyle w:val="ParaNum"/>
        <w:widowControl/>
      </w:pPr>
      <w:r>
        <w:t xml:space="preserve">As another alternative, Sorenson suggests replacing the TRS Fund with a system under which telecommunications carriers would provide service themselves or by contracting with TRS providers, pursuant to the provision of section 225 that requires carriers to </w:t>
      </w:r>
      <w:r w:rsidRPr="00A45F0E">
        <w:t>provide service directly or “through designees, through a competitively selected vendor, or in concert with other carriers</w:t>
      </w:r>
      <w:r>
        <w:t>.”</w:t>
      </w:r>
      <w:r>
        <w:rPr>
          <w:rStyle w:val="FootnoteReference"/>
        </w:rPr>
        <w:footnoteReference w:id="253"/>
      </w:r>
      <w:r>
        <w:t xml:space="preserve">  This approach would thus entail revisiting the Commission’s earlier determination that VRS should not be a “mandatory” service for common carriers.</w:t>
      </w:r>
      <w:r>
        <w:rPr>
          <w:rStyle w:val="FootnoteReference"/>
        </w:rPr>
        <w:footnoteReference w:id="254"/>
      </w:r>
      <w:r>
        <w:t xml:space="preserve">  We seek comment on </w:t>
      </w:r>
      <w:r>
        <w:rPr>
          <w:sz w:val="23"/>
          <w:szCs w:val="23"/>
        </w:rPr>
        <w:t>the feasibility, costs, and benefits of migrating to a system in which VRS – as well as, perhaps, other forms of TRS – would be provided by carriers, through private contracts or self-provisioning, rather than through the FCC-administered TRS Fund.  How would such an approach be likely to affect the provision of</w:t>
      </w:r>
      <w:r w:rsidRPr="00B249CE">
        <w:rPr>
          <w:sz w:val="23"/>
          <w:szCs w:val="23"/>
        </w:rPr>
        <w:t xml:space="preserve"> functionally equivalent service</w:t>
      </w:r>
      <w:r>
        <w:rPr>
          <w:sz w:val="23"/>
          <w:szCs w:val="23"/>
        </w:rPr>
        <w:t xml:space="preserve"> in the most efficient manner and could it be done consistently with the requirements of section 225?   In addition, </w:t>
      </w:r>
      <w:r w:rsidRPr="004A094C">
        <w:t>are there any other relevant statutory provisions that would inform our consideration of Sorenson’s suggestion?</w:t>
      </w:r>
      <w:r>
        <w:rPr>
          <w:rStyle w:val="FootnoteReference"/>
        </w:rPr>
        <w:footnoteReference w:id="255"/>
      </w:r>
      <w:r w:rsidRPr="00B249CE">
        <w:rPr>
          <w:sz w:val="23"/>
          <w:szCs w:val="23"/>
        </w:rPr>
        <w:t xml:space="preserve">  </w:t>
      </w:r>
    </w:p>
    <w:p w:rsidR="00134604" w:rsidRPr="00B70E3C" w:rsidRDefault="00134604" w:rsidP="00134604">
      <w:pPr>
        <w:pStyle w:val="Heading2"/>
      </w:pPr>
      <w:bookmarkStart w:id="223" w:name="_Toc474858624"/>
      <w:bookmarkStart w:id="224" w:name="_Toc474859334"/>
      <w:bookmarkStart w:id="225" w:name="_Toc474860063"/>
      <w:bookmarkStart w:id="226" w:name="_Toc474860236"/>
      <w:bookmarkStart w:id="227" w:name="_Toc474860354"/>
      <w:bookmarkStart w:id="228" w:name="_Toc474860540"/>
      <w:bookmarkStart w:id="229" w:name="_Toc474860606"/>
      <w:bookmarkStart w:id="230" w:name="_Toc474860749"/>
      <w:bookmarkStart w:id="231" w:name="_Toc474946536"/>
      <w:bookmarkStart w:id="232" w:name="_Toc475724122"/>
      <w:bookmarkStart w:id="233" w:name="_Toc475724315"/>
      <w:bookmarkStart w:id="234" w:name="_Toc475724462"/>
      <w:bookmarkStart w:id="235" w:name="_Toc475724792"/>
      <w:bookmarkStart w:id="236" w:name="_Toc476077822"/>
      <w:bookmarkStart w:id="237" w:name="_Toc477963679"/>
      <w:bookmarkStart w:id="238" w:name="_Toc352766757"/>
      <w:r>
        <w:t>Server-Based Routing</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bookmarkEnd w:id="238"/>
    <w:p w:rsidR="00134604" w:rsidRPr="006309B1" w:rsidRDefault="00134604" w:rsidP="00134604">
      <w:pPr>
        <w:pStyle w:val="ParaNum"/>
        <w:widowControl/>
      </w:pPr>
      <w:r w:rsidRPr="00C939E2">
        <w:rPr>
          <w:i/>
          <w:iCs/>
          <w:kern w:val="0"/>
        </w:rPr>
        <w:t>Background</w:t>
      </w:r>
      <w:r>
        <w:t>.  W</w:t>
      </w:r>
      <w:r w:rsidRPr="006309B1">
        <w:t>hen the Commission amended the TRS rules to impr</w:t>
      </w:r>
      <w:r>
        <w:t>ove</w:t>
      </w:r>
      <w:r w:rsidRPr="006309B1">
        <w:t xml:space="preserve"> interoperability,</w:t>
      </w:r>
      <w:r w:rsidRPr="00C103F0">
        <w:rPr>
          <w:rStyle w:val="FootnoteReference"/>
        </w:rPr>
        <w:footnoteReference w:id="256"/>
      </w:r>
      <w:r w:rsidRPr="006309B1">
        <w:t xml:space="preserve"> it strongly encouraged the Session Initiation Protocol (SIP) Forum’s VRS Task Group to develop consensus technical standards to facilitate interoperability and directed Commission staff to support and participate in that process.</w:t>
      </w:r>
      <w:r w:rsidRPr="00C103F0">
        <w:rPr>
          <w:rStyle w:val="FootnoteReference"/>
        </w:rPr>
        <w:footnoteReference w:id="257"/>
      </w:r>
      <w:r w:rsidRPr="006309B1">
        <w:t xml:space="preserve">  The Commission delegated authority to CGB to adopt interoperability standards developed under the auspices of the SIP Forum if the Chief of CGB finds that such standards will advance the statutory functional equivalency mandate or improve the availability of TRS in the most efficient manner.</w:t>
      </w:r>
      <w:r w:rsidRPr="00C103F0">
        <w:rPr>
          <w:rStyle w:val="FootnoteReference"/>
        </w:rPr>
        <w:footnoteReference w:id="258"/>
      </w:r>
      <w:r w:rsidRPr="006309B1">
        <w:t xml:space="preserve">  </w:t>
      </w:r>
    </w:p>
    <w:p w:rsidR="00134604" w:rsidRPr="006309B1" w:rsidRDefault="00134604" w:rsidP="00134604">
      <w:pPr>
        <w:pStyle w:val="ParaNum"/>
        <w:widowControl/>
      </w:pPr>
      <w:r w:rsidRPr="006309B1">
        <w:t>In August 2015, the VRS Task Group of the SIP Forum completed a technical standard, the VRS Provider Interoperability Profile, which addresses interoperability between VRS providers, as well as the interface between a VRS provider and the TRS Numbering Directory.</w:t>
      </w:r>
      <w:r w:rsidRPr="00C103F0">
        <w:rPr>
          <w:rStyle w:val="FootnoteReference"/>
        </w:rPr>
        <w:footnoteReference w:id="259"/>
      </w:r>
      <w:r w:rsidRPr="006309B1">
        <w:t xml:space="preserve">  Subsequently, CGB incorporated the VRS Provider Interoperability Profile by reference into the Commission’s VRS interoperability rule.</w:t>
      </w:r>
      <w:r w:rsidRPr="00C103F0">
        <w:rPr>
          <w:rStyle w:val="FootnoteReference"/>
        </w:rPr>
        <w:footnoteReference w:id="260"/>
      </w:r>
      <w:r w:rsidRPr="006309B1">
        <w:t xml:space="preserve">  </w:t>
      </w:r>
    </w:p>
    <w:p w:rsidR="00134604" w:rsidRPr="00B70E3C" w:rsidRDefault="00134604" w:rsidP="00134604">
      <w:pPr>
        <w:pStyle w:val="ParaNum"/>
        <w:widowControl/>
      </w:pPr>
      <w:r w:rsidRPr="006309B1">
        <w:t>Under the TRS rules, calls that involve multiple VRS providers are routed based on the information provided in the TRS Numbering Directory.</w:t>
      </w:r>
      <w:r w:rsidRPr="00C939E2">
        <w:rPr>
          <w:rStyle w:val="FootnoteReference"/>
        </w:rPr>
        <w:footnoteReference w:id="261"/>
      </w:r>
      <w:r w:rsidRPr="006309B1">
        <w:t xml:space="preserve">  </w:t>
      </w:r>
      <w:r w:rsidRPr="006309B1">
        <w:rPr>
          <w:bCs/>
        </w:rPr>
        <w:t xml:space="preserve">The </w:t>
      </w:r>
      <w:r>
        <w:rPr>
          <w:bCs/>
        </w:rPr>
        <w:t xml:space="preserve">VRS </w:t>
      </w:r>
      <w:r w:rsidRPr="006309B1">
        <w:rPr>
          <w:bCs/>
        </w:rPr>
        <w:t>Provider Interoperability Profile</w:t>
      </w:r>
      <w:r w:rsidRPr="006309B1">
        <w:t xml:space="preserve"> provides for the routing of inter-provider VRS and point-to-point video calls to a server of the terminating VRS provider that serves multiple VRS users and devices, rather than directly to a specific device.  The technical standard thus specifies the use of call routing information that contains provider domain names, rather than user-specific IP addresses, as well as the call recipient’s telephone number.</w:t>
      </w:r>
      <w:r w:rsidRPr="00C939E2">
        <w:rPr>
          <w:rStyle w:val="FootnoteReference"/>
        </w:rPr>
        <w:footnoteReference w:id="262"/>
      </w:r>
      <w:r w:rsidRPr="006309B1">
        <w:t xml:space="preserve">  When the call reaches the terminating provider’s server or gateway, it is then directed by the terminating provider to the IP address of the user device associated with the user’s telephone number.  Section 64.613(a) of the Commission’s rules, however, currently requires that the </w:t>
      </w:r>
      <w:r>
        <w:t>Uniform Resource Identifier (</w:t>
      </w:r>
      <w:r w:rsidRPr="006309B1">
        <w:t>URI</w:t>
      </w:r>
      <w:r>
        <w:t>)</w:t>
      </w:r>
      <w:r w:rsidRPr="006309B1">
        <w:t xml:space="preserve"> for a VRS user’s telephone number “shall contain the IP address of the user’s device.”</w:t>
      </w:r>
      <w:r w:rsidRPr="00C939E2">
        <w:rPr>
          <w:rStyle w:val="FootnoteReference"/>
        </w:rPr>
        <w:footnoteReference w:id="263"/>
      </w:r>
      <w:r w:rsidRPr="006309B1">
        <w:t xml:space="preserve">  On a number of occasions, VRS providers have requested the Commission to clarify that the Commission’s rules permit providers to use SIP URIs that contain provider domain names, rather than user-specific IP addresses, for routing VRS and point-to-point video calls between providers.</w:t>
      </w:r>
      <w:r w:rsidRPr="00C939E2">
        <w:rPr>
          <w:rStyle w:val="FootnoteReference"/>
        </w:rPr>
        <w:footnoteReference w:id="264"/>
      </w:r>
      <w:r w:rsidRPr="006309B1">
        <w:t xml:space="preserve">  They have also requested permission to populate the TRS numbering directory with such URIs</w:t>
      </w:r>
      <w:r w:rsidRPr="00B70E3C">
        <w:t>.</w:t>
      </w:r>
      <w:r w:rsidRPr="00C939E2">
        <w:rPr>
          <w:rStyle w:val="FootnoteReference"/>
        </w:rPr>
        <w:footnoteReference w:id="265"/>
      </w:r>
    </w:p>
    <w:p w:rsidR="00134604" w:rsidRPr="00B70E3C" w:rsidRDefault="00134604" w:rsidP="00134604">
      <w:pPr>
        <w:pStyle w:val="ParaNum"/>
        <w:widowControl/>
      </w:pPr>
      <w:r w:rsidRPr="0053088F">
        <w:rPr>
          <w:i/>
        </w:rPr>
        <w:t>Discussion</w:t>
      </w:r>
      <w:r>
        <w:t xml:space="preserve">.  </w:t>
      </w:r>
      <w:r w:rsidRPr="00B70E3C">
        <w:t>To enable implementation of the new call routing protocol specified by the VRS Provider Interoperability Profile, we propose to amend section 64.613 of the rules to provide that the routing information provided to the TRS numbering directory may include URIs that contain provider domain names rather than user IP addresses.  All the current VRS providers, as well as consumer groups, support this approach.</w:t>
      </w:r>
      <w:r w:rsidRPr="00C939E2">
        <w:rPr>
          <w:rStyle w:val="FootnoteReference"/>
        </w:rPr>
        <w:footnoteReference w:id="266"/>
      </w:r>
      <w:r w:rsidRPr="00B70E3C">
        <w:t xml:space="preserve">  We believe that this proposed amendment will advance interoperability and will otherwise serve the public interest for the following reasons.</w:t>
      </w:r>
    </w:p>
    <w:p w:rsidR="00134604" w:rsidRPr="00B70E3C" w:rsidRDefault="00134604" w:rsidP="00134604">
      <w:pPr>
        <w:pStyle w:val="ParaNum"/>
        <w:widowControl/>
      </w:pPr>
      <w:r w:rsidRPr="0053088F">
        <w:rPr>
          <w:i/>
        </w:rPr>
        <w:t>First</w:t>
      </w:r>
      <w:r w:rsidRPr="00B70E3C">
        <w:t>, enabling the use of domain names to route VRS and point-to-point video calls will allow the implementation of a consensus interoperability standard and will thereby advance VRS interoperability, an objective long sought by the Commission and one that is integral to achieving functional equivalence.</w:t>
      </w:r>
      <w:r w:rsidRPr="00C939E2">
        <w:rPr>
          <w:rStyle w:val="FootnoteReference"/>
        </w:rPr>
        <w:footnoteReference w:id="267"/>
      </w:r>
      <w:r w:rsidRPr="00B70E3C">
        <w:t xml:space="preserve">  </w:t>
      </w:r>
    </w:p>
    <w:p w:rsidR="00134604" w:rsidRPr="00B70E3C" w:rsidRDefault="00134604" w:rsidP="00134604">
      <w:pPr>
        <w:pStyle w:val="ParaNum"/>
        <w:widowControl/>
      </w:pPr>
      <w:r w:rsidRPr="0053088F">
        <w:rPr>
          <w:i/>
        </w:rPr>
        <w:t>Second</w:t>
      </w:r>
      <w:r w:rsidRPr="00B70E3C">
        <w:t>, the record indicates that this rule amendment will improve the efficiency, reliability, and security of VRS and point-to-point video communications, thus advancing these important Commission objectives as well.  As explained by the providers, using domain names enables providers (1) to switch service centers for maintenance and incident mitigation by changing [domain name system (DNS)] entries, (2) to more easily identify the provider of a peer-to-peer call to work on interoperability problems, and (3) to implement DNS load balancing and advanced routing based on SRV records.</w:t>
      </w:r>
      <w:r w:rsidRPr="00C939E2">
        <w:rPr>
          <w:rStyle w:val="FootnoteReference"/>
        </w:rPr>
        <w:footnoteReference w:id="268"/>
      </w:r>
      <w:r w:rsidRPr="00B70E3C">
        <w:t xml:space="preserve">  </w:t>
      </w:r>
    </w:p>
    <w:p w:rsidR="00134604" w:rsidRPr="00B70E3C" w:rsidRDefault="00134604" w:rsidP="00134604">
      <w:pPr>
        <w:pStyle w:val="ParaNum"/>
        <w:widowControl/>
      </w:pPr>
      <w:r w:rsidRPr="009A21EC">
        <w:rPr>
          <w:i/>
        </w:rPr>
        <w:t>Third</w:t>
      </w:r>
      <w:r w:rsidRPr="00B70E3C">
        <w:t>, we believe that amending the rule to allow routing based on domain names, which providers describe as “an important part of modern communications technology,”</w:t>
      </w:r>
      <w:r w:rsidRPr="00C939E2">
        <w:rPr>
          <w:rStyle w:val="FootnoteReference"/>
        </w:rPr>
        <w:footnoteReference w:id="269"/>
      </w:r>
      <w:r w:rsidRPr="00B70E3C">
        <w:t xml:space="preserve"> will promote TRS regulation that “encourage[s] . . . the use of existing technology and do[es] not discourage or impair the development of improved technology,” as required by section 225(c)(2) of the Communications Act.</w:t>
      </w:r>
      <w:r w:rsidRPr="00C939E2">
        <w:rPr>
          <w:rStyle w:val="FootnoteReference"/>
        </w:rPr>
        <w:footnoteReference w:id="270"/>
      </w:r>
      <w:r w:rsidRPr="00B70E3C">
        <w:t xml:space="preserve">  </w:t>
      </w:r>
    </w:p>
    <w:p w:rsidR="00134604" w:rsidRPr="00B70E3C" w:rsidRDefault="00134604" w:rsidP="00134604">
      <w:pPr>
        <w:pStyle w:val="ParaNum"/>
        <w:widowControl/>
      </w:pPr>
      <w:r w:rsidRPr="009A21EC">
        <w:rPr>
          <w:i/>
        </w:rPr>
        <w:t>Finally</w:t>
      </w:r>
      <w:r w:rsidRPr="00B70E3C">
        <w:t xml:space="preserve">, the record indicates that the proposed amendment will not impair the Commission’s ability to prevent fraud, abuse, and waste in the VRS program.  Because it only allows VRS providers to use domain names in lieu of IP addresses for the </w:t>
      </w:r>
      <w:r w:rsidRPr="00B70E3C">
        <w:rPr>
          <w:i/>
        </w:rPr>
        <w:t>routing</w:t>
      </w:r>
      <w:r w:rsidRPr="00B70E3C">
        <w:t xml:space="preserve"> of VRS calls, the proposed amendment will not affect providers’ existing obligations to provide the VRS user’s IP address as part of the </w:t>
      </w:r>
      <w:r w:rsidRPr="00B70E3C">
        <w:rPr>
          <w:i/>
        </w:rPr>
        <w:t>call detail</w:t>
      </w:r>
      <w:r w:rsidRPr="00B70E3C">
        <w:t xml:space="preserve"> submitted for each VRS call for which compensation is requested from the TRS Fund, and to retain such information in their records for five years.</w:t>
      </w:r>
      <w:r w:rsidRPr="00C939E2">
        <w:rPr>
          <w:rStyle w:val="FootnoteReference"/>
        </w:rPr>
        <w:footnoteReference w:id="271"/>
      </w:r>
      <w:r w:rsidRPr="00B70E3C">
        <w:t xml:space="preserve">  Such information is needed, for example, to ensure that compensation is not paid for calls originating from international locations</w:t>
      </w:r>
      <w:r w:rsidRPr="00C939E2">
        <w:rPr>
          <w:rStyle w:val="FootnoteReference"/>
        </w:rPr>
        <w:footnoteReference w:id="272"/>
      </w:r>
      <w:r w:rsidRPr="00B70E3C">
        <w:t xml:space="preserve"> or other non-compensable calls.  The providers represent that using domain names for the routing of calls will not affect their ability to comply with the call detail rule.</w:t>
      </w:r>
      <w:r w:rsidRPr="00C939E2">
        <w:rPr>
          <w:rStyle w:val="FootnoteReference"/>
        </w:rPr>
        <w:footnoteReference w:id="273"/>
      </w:r>
      <w:r w:rsidRPr="00B70E3C">
        <w:t xml:space="preserve">  </w:t>
      </w:r>
    </w:p>
    <w:p w:rsidR="00134604" w:rsidRDefault="00134604" w:rsidP="00134604">
      <w:pPr>
        <w:pStyle w:val="ParaNum"/>
        <w:widowControl/>
      </w:pPr>
      <w:r w:rsidRPr="00B70E3C">
        <w:t>We seek comment on these conclusions, and any other factors we should consider regarding this proposed amendment.</w:t>
      </w:r>
      <w:r>
        <w:t xml:space="preserve">  We believe we have authority to amend the rules to allow server based routing under sections 225 and 251 of the Act, and</w:t>
      </w:r>
      <w:r w:rsidRPr="00487975">
        <w:t xml:space="preserve"> </w:t>
      </w:r>
      <w:r>
        <w:t>we seek comment on this assumption.</w:t>
      </w:r>
      <w:r>
        <w:rPr>
          <w:rStyle w:val="FootnoteReference"/>
        </w:rPr>
        <w:footnoteReference w:id="274"/>
      </w:r>
      <w:r>
        <w:t xml:space="preserve">  Section 225</w:t>
      </w:r>
      <w:r w:rsidRPr="007F7575">
        <w:t xml:space="preserve"> directs the Commission to ensure that </w:t>
      </w:r>
      <w:r>
        <w:t>functionally equivalent TRS</w:t>
      </w:r>
      <w:r w:rsidRPr="007F7575">
        <w:t xml:space="preserve"> are available to the extent possible and the most efficient manner and authorizes the Commission to prescribe regulations to implement section 225</w:t>
      </w:r>
      <w:r>
        <w:t>, including functional requirements, guidelines, operational procedures, and minimum standards</w:t>
      </w:r>
      <w:r w:rsidRPr="007F7575">
        <w:t>.</w:t>
      </w:r>
      <w:r>
        <w:rPr>
          <w:rStyle w:val="FootnoteReference"/>
        </w:rPr>
        <w:footnoteReference w:id="275"/>
      </w:r>
      <w:r w:rsidRPr="007F7575">
        <w:t xml:space="preserve"> </w:t>
      </w:r>
      <w:r>
        <w:t xml:space="preserve"> Section 251 assigns to the Commission exclusive jurisdiction over those portions of the North American Numbering Plan pertaining to the United States.  The Commission previously concluded that sections 225 and 251 authorize the Commission to establish a system for assigning telephone numbers to ensure that Internet-based TRS calls can be conveniently placed and efficiently routed, including the establishment of a TRS numbering directory that maintains information for the routing of calls to VRS telephone numbers.</w:t>
      </w:r>
      <w:r>
        <w:rPr>
          <w:rStyle w:val="FootnoteReference"/>
        </w:rPr>
        <w:footnoteReference w:id="276"/>
      </w:r>
      <w:r>
        <w:t xml:space="preserve">  </w:t>
      </w:r>
    </w:p>
    <w:p w:rsidR="00134604" w:rsidRDefault="00134604" w:rsidP="00134604">
      <w:pPr>
        <w:pStyle w:val="Heading2"/>
      </w:pPr>
      <w:bookmarkStart w:id="239" w:name="_Toc474858627"/>
      <w:bookmarkStart w:id="240" w:name="_Toc474859337"/>
      <w:bookmarkStart w:id="241" w:name="_Toc474860066"/>
      <w:bookmarkStart w:id="242" w:name="_Toc474860239"/>
      <w:bookmarkStart w:id="243" w:name="_Toc474860357"/>
      <w:bookmarkStart w:id="244" w:name="_Toc474860543"/>
      <w:bookmarkStart w:id="245" w:name="_Toc474860609"/>
      <w:bookmarkStart w:id="246" w:name="_Toc474860752"/>
      <w:bookmarkStart w:id="247" w:name="_Toc474946539"/>
      <w:bookmarkStart w:id="248" w:name="_Toc475724123"/>
      <w:bookmarkStart w:id="249" w:name="_Toc475724316"/>
      <w:bookmarkStart w:id="250" w:name="_Toc475724463"/>
      <w:bookmarkStart w:id="251" w:name="_Toc475724793"/>
      <w:bookmarkStart w:id="252" w:name="_Toc476077823"/>
      <w:bookmarkStart w:id="253" w:name="_Toc477963680"/>
      <w:r>
        <w:t>VRS Use of Enterprise and Public Videophones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t xml:space="preserve"> </w:t>
      </w:r>
    </w:p>
    <w:p w:rsidR="00134604" w:rsidRDefault="00134604" w:rsidP="00134604">
      <w:pPr>
        <w:pStyle w:val="ParaNum"/>
        <w:widowControl/>
      </w:pPr>
      <w:r w:rsidRPr="00834FEF">
        <w:rPr>
          <w:i/>
        </w:rPr>
        <w:t>Background</w:t>
      </w:r>
      <w:r>
        <w:t>.  In 2013, the Commission established a TRS user registration database (TRS-URD or database) and required VRS providers to submit information to the database identifying each registered VRS user.</w:t>
      </w:r>
      <w:r>
        <w:rPr>
          <w:rStyle w:val="FootnoteReference"/>
        </w:rPr>
        <w:footnoteReference w:id="277"/>
      </w:r>
      <w:r>
        <w:t xml:space="preserve">  After the TRS-URD is populated with data from registered users, VRS providers must use the database to verify the identity of at least one party to each VRS call and may not seek compensation for any calls that do not pass the per-call validation check conducted through the database.</w:t>
      </w:r>
      <w:r>
        <w:rPr>
          <w:rStyle w:val="FootnoteReference"/>
        </w:rPr>
        <w:footnoteReference w:id="278"/>
      </w:r>
      <w:r>
        <w:t xml:space="preserve">  The purpose of these rules is to reduce fraud and abuse to the TRS program by allowing the use of VRS only by individuals whose eligibility to use this service has been verified and whose registration is validated on a call-by-call basis.  Each registered user is assigned his or her own ten-digit telephone number, which identifies the user’s calls.</w:t>
      </w:r>
    </w:p>
    <w:p w:rsidR="00134604" w:rsidRPr="00E772C9" w:rsidRDefault="00134604" w:rsidP="00134604">
      <w:pPr>
        <w:pStyle w:val="ParaNum"/>
        <w:widowControl/>
      </w:pPr>
      <w:r>
        <w:t xml:space="preserve">Historically, VRS providers have handled and received compensation for VRS calls placed from both private videophones of VRS users, and from enterprise and public </w:t>
      </w:r>
      <w:r w:rsidRPr="00DD703D">
        <w:t xml:space="preserve">videophones.  </w:t>
      </w:r>
      <w:r w:rsidRPr="00834FEF">
        <w:t>For the limited purposes of this FNPRM, we use the term “enterprise</w:t>
      </w:r>
      <w:r>
        <w:t xml:space="preserve"> videophones” to refer to videophones provided by entities such as businesses, organizations and governmental agencies that are</w:t>
      </w:r>
      <w:r w:rsidRPr="00DD703D">
        <w:t xml:space="preserve"> designated for use by their employees who use ASL.  These phones can be situated </w:t>
      </w:r>
      <w:r>
        <w:t>in a variety of locations, including private or shared offices, conference rooms, or other common rooms.</w:t>
      </w:r>
      <w:r w:rsidRPr="00DD703D">
        <w:t xml:space="preserve"> </w:t>
      </w:r>
      <w:r>
        <w:t xml:space="preserve"> “</w:t>
      </w:r>
      <w:r w:rsidRPr="00DD703D">
        <w:t xml:space="preserve">Public videophones,” for purposes of this FNPRM, are those made available in public spaces, such as schools, hospitals, libraries, </w:t>
      </w:r>
      <w:r>
        <w:t xml:space="preserve">airports, </w:t>
      </w:r>
      <w:r w:rsidRPr="00DD703D">
        <w:t>and governmental agencies, for use by any individuals who communicate through ASL.</w:t>
      </w:r>
      <w:r>
        <w:rPr>
          <w:rStyle w:val="FootnoteReference"/>
        </w:rPr>
        <w:footnoteReference w:id="279"/>
      </w:r>
      <w:r w:rsidRPr="00DD703D">
        <w:t xml:space="preserve">  </w:t>
      </w:r>
    </w:p>
    <w:p w:rsidR="00134604" w:rsidRPr="004E2C55" w:rsidRDefault="00134604" w:rsidP="00134604">
      <w:pPr>
        <w:pStyle w:val="ParaNum"/>
        <w:widowControl/>
      </w:pPr>
      <w:r>
        <w:t xml:space="preserve">The TRS-URD and associated TRS Numbering Directory have been set up to enable validation of individual VRS users by transmitting either the originating or terminating iTRS number for each call.  For enterprise or public videophones, each of which permit use by more than one individual, however, the identity of all users of the videophone cannot be known in advance and thus is not retrievable from registration information associated with the videophone’s iTRS number.  For this reason, at present, there is no means of validating the eligibility of registered VRS users wishing to use these phones.  We </w:t>
      </w:r>
      <w:r w:rsidRPr="00140DE2">
        <w:t>propose procedures</w:t>
      </w:r>
      <w:r>
        <w:t xml:space="preserve"> to achieve this, along with </w:t>
      </w:r>
      <w:r w:rsidRPr="00DD703D">
        <w:t>s</w:t>
      </w:r>
      <w:r w:rsidRPr="00F871A9">
        <w:t>afeguards for the use of these phones to protect against fraud, waste and abuse.</w:t>
      </w:r>
      <w:r>
        <w:t xml:space="preserve">  </w:t>
      </w:r>
    </w:p>
    <w:p w:rsidR="00134604" w:rsidRDefault="00134604" w:rsidP="00134604">
      <w:pPr>
        <w:pStyle w:val="ParaNum"/>
        <w:widowControl/>
      </w:pPr>
      <w:r>
        <w:rPr>
          <w:i/>
        </w:rPr>
        <w:t>Limiting Use to Registered Users</w:t>
      </w:r>
      <w:r>
        <w:t xml:space="preserve">.  For all public videophones, and for enterprise videophones that are not located in private workspaces, we propose to require that VRS providers establish log-in procedures for VRS users.  For example, for VRS users who already have registered a personal videophone, the VRS provider can require the user to electronically enter the user’s iTRS number plus a personal identification number (PIN) before making or receiving a VRS or point-to-point call.  Individuals who are not registered for VRS would first be required to complete such registration with the provider in accordance with the requirements of section 64.611(a) of the rules and receive a personal identifier (ID) and PIN number from the provider in order to begin using the public or enterprise </w:t>
      </w:r>
      <w:r w:rsidRPr="00DD703D">
        <w:t>videophone with such log-in information</w:t>
      </w:r>
      <w:r w:rsidRPr="00834FEF">
        <w:t>.</w:t>
      </w:r>
      <w:r>
        <w:rPr>
          <w:rStyle w:val="FootnoteReference"/>
        </w:rPr>
        <w:footnoteReference w:id="280"/>
      </w:r>
      <w:r w:rsidRPr="00834FEF">
        <w:t xml:space="preserve">  </w:t>
      </w:r>
      <w:r>
        <w:t>We also propose that when VRS providers submit the CDRs for calls made from public and enterprise phones, in addition to the registered telephone number, the CDR should include the telephone or ID number of the person using the public or enterprise videophone</w:t>
      </w:r>
      <w:r w:rsidRPr="00834FEF">
        <w:t xml:space="preserve">.  We seek comment on this proposal or any other </w:t>
      </w:r>
      <w:r>
        <w:t>alternative suggestions to</w:t>
      </w:r>
      <w:r w:rsidRPr="00140DE2">
        <w:t xml:space="preserve"> ensure the eligibility </w:t>
      </w:r>
      <w:r>
        <w:t xml:space="preserve">and verification </w:t>
      </w:r>
      <w:r w:rsidRPr="00140DE2">
        <w:t>of users of enterprise and public phones</w:t>
      </w:r>
      <w:r w:rsidRPr="00DD703D">
        <w:t xml:space="preserve">.  </w:t>
      </w:r>
      <w:r w:rsidRPr="00834FEF">
        <w:t>We ask commenters whether these precautionary measures will further the Commission’s</w:t>
      </w:r>
      <w:r>
        <w:t xml:space="preserve"> efforts to</w:t>
      </w:r>
      <w:r w:rsidRPr="00C57ED6">
        <w:t xml:space="preserve"> reduce waste, fraud, and abuse and improve its ability to efficiently manage the VRS program.</w:t>
      </w:r>
      <w:r w:rsidRPr="00C57ED6">
        <w:rPr>
          <w:rStyle w:val="FootnoteReference"/>
        </w:rPr>
        <w:footnoteReference w:id="281"/>
      </w:r>
    </w:p>
    <w:p w:rsidR="00134604" w:rsidRPr="000D2FC3" w:rsidRDefault="00134604" w:rsidP="00134604">
      <w:pPr>
        <w:pStyle w:val="ParaNum"/>
        <w:widowControl/>
      </w:pPr>
      <w:r>
        <w:t>For enterprise videophones that are located in private workspaces, defined as workspaces where access is limited to one individual, we propose to permit the registered VRS user of the enterprise videophone to log in a single time, without having to again log in each time the phone is used.  We seek comment on this proposal.</w:t>
      </w:r>
    </w:p>
    <w:p w:rsidR="00134604" w:rsidRDefault="00134604" w:rsidP="00134604">
      <w:pPr>
        <w:pStyle w:val="ParaNum"/>
        <w:widowControl/>
      </w:pPr>
      <w:r>
        <w:t>In addition, we propose that VRS providers be required to submit the registration information specified below to the TRS-URD administrator for each new public or enterprise videophone prior to initiating service, and for each such videophone already in service, within 60 days of notice from the Commission that the TRS-URD is ready to accept such information.</w:t>
      </w:r>
      <w:r>
        <w:rPr>
          <w:rStyle w:val="FootnoteReference"/>
        </w:rPr>
        <w:footnoteReference w:id="282"/>
      </w:r>
    </w:p>
    <w:p w:rsidR="00134604" w:rsidRPr="00AB087E" w:rsidRDefault="00134604" w:rsidP="00134604">
      <w:pPr>
        <w:pStyle w:val="ParaNum"/>
        <w:widowControl/>
      </w:pPr>
      <w:r w:rsidRPr="00AB087E">
        <w:t>For enterprise videophones, we propose to require the following information:</w:t>
      </w:r>
    </w:p>
    <w:p w:rsidR="00134604" w:rsidRPr="006F1D7B" w:rsidRDefault="00134604" w:rsidP="00134604">
      <w:pPr>
        <w:pStyle w:val="ParaNum"/>
        <w:widowControl/>
        <w:numPr>
          <w:ilvl w:val="0"/>
          <w:numId w:val="10"/>
        </w:numPr>
      </w:pPr>
      <w:r>
        <w:t>N</w:t>
      </w:r>
      <w:r w:rsidRPr="00AB087E">
        <w:t xml:space="preserve">ame and business address of the enterprise; </w:t>
      </w:r>
    </w:p>
    <w:p w:rsidR="00134604" w:rsidRPr="006F1D7B" w:rsidRDefault="00134604" w:rsidP="00134604">
      <w:pPr>
        <w:pStyle w:val="ParaNum"/>
        <w:widowControl/>
        <w:numPr>
          <w:ilvl w:val="0"/>
          <w:numId w:val="10"/>
        </w:numPr>
      </w:pPr>
      <w:r>
        <w:t>N</w:t>
      </w:r>
      <w:r w:rsidRPr="003448BB">
        <w:t xml:space="preserve">ame of the </w:t>
      </w:r>
      <w:r>
        <w:t>responsible p</w:t>
      </w:r>
      <w:r w:rsidRPr="003448BB">
        <w:t>erson for the videophone</w:t>
      </w:r>
      <w:r>
        <w:t xml:space="preserve">, as well as </w:t>
      </w:r>
      <w:r w:rsidRPr="003448BB">
        <w:t>a digital copy of a self-certification</w:t>
      </w:r>
      <w:r>
        <w:t xml:space="preserve"> (as described below)</w:t>
      </w:r>
      <w:r w:rsidRPr="003448BB">
        <w:t xml:space="preserve"> from th</w:t>
      </w:r>
      <w:r>
        <w:t>at</w:t>
      </w:r>
      <w:r w:rsidRPr="003448BB">
        <w:t xml:space="preserve"> person and the date </w:t>
      </w:r>
      <w:r>
        <w:t xml:space="preserve">this certification was </w:t>
      </w:r>
      <w:r w:rsidRPr="003448BB">
        <w:t>obtained by the provider</w:t>
      </w:r>
      <w:r>
        <w:t>;</w:t>
      </w:r>
      <w:r>
        <w:rPr>
          <w:rStyle w:val="FootnoteReference"/>
        </w:rPr>
        <w:footnoteReference w:id="283"/>
      </w:r>
    </w:p>
    <w:p w:rsidR="00134604" w:rsidRPr="006F1D7B" w:rsidRDefault="00134604" w:rsidP="00134604">
      <w:pPr>
        <w:pStyle w:val="ParaNum"/>
        <w:widowControl/>
        <w:numPr>
          <w:ilvl w:val="0"/>
          <w:numId w:val="10"/>
        </w:numPr>
      </w:pPr>
      <w:r>
        <w:t>T</w:t>
      </w:r>
      <w:r w:rsidRPr="003448BB">
        <w:t>ax identification number of the enterprise (for non-governmental enterprises)</w:t>
      </w:r>
      <w:r>
        <w:t>;</w:t>
      </w:r>
      <w:r w:rsidRPr="003448BB">
        <w:t xml:space="preserve"> </w:t>
      </w:r>
    </w:p>
    <w:p w:rsidR="00134604" w:rsidRPr="006F1D7B" w:rsidRDefault="00134604" w:rsidP="00134604">
      <w:pPr>
        <w:pStyle w:val="ParaNum"/>
        <w:widowControl/>
        <w:numPr>
          <w:ilvl w:val="0"/>
          <w:numId w:val="10"/>
        </w:numPr>
      </w:pPr>
      <w:r w:rsidRPr="003448BB">
        <w:t>Registered Location of the phone</w:t>
      </w:r>
      <w:r>
        <w:t>;</w:t>
      </w:r>
      <w:r w:rsidRPr="003448BB">
        <w:t xml:space="preserve"> </w:t>
      </w:r>
    </w:p>
    <w:p w:rsidR="00134604" w:rsidRPr="006F1D7B" w:rsidRDefault="00134604" w:rsidP="00134604">
      <w:pPr>
        <w:pStyle w:val="ParaNum"/>
        <w:widowControl/>
        <w:numPr>
          <w:ilvl w:val="0"/>
          <w:numId w:val="10"/>
        </w:numPr>
      </w:pPr>
      <w:r w:rsidRPr="003448BB">
        <w:t>VRS provider</w:t>
      </w:r>
      <w:r>
        <w:t>’s</w:t>
      </w:r>
      <w:r w:rsidRPr="003448BB">
        <w:t xml:space="preserve"> name</w:t>
      </w:r>
      <w:r>
        <w:t>;</w:t>
      </w:r>
      <w:r w:rsidRPr="003448BB">
        <w:t xml:space="preserve"> </w:t>
      </w:r>
    </w:p>
    <w:p w:rsidR="00134604" w:rsidRPr="006F1D7B" w:rsidRDefault="00134604" w:rsidP="00134604">
      <w:pPr>
        <w:pStyle w:val="ParaNum"/>
        <w:widowControl/>
        <w:numPr>
          <w:ilvl w:val="0"/>
          <w:numId w:val="10"/>
        </w:numPr>
      </w:pPr>
      <w:r>
        <w:t>D</w:t>
      </w:r>
      <w:r w:rsidRPr="003448BB">
        <w:t>ate of</w:t>
      </w:r>
      <w:r>
        <w:t xml:space="preserve"> the videophone’s</w:t>
      </w:r>
      <w:r w:rsidRPr="003448BB">
        <w:t xml:space="preserve"> service initiation</w:t>
      </w:r>
      <w:r>
        <w:t xml:space="preserve">; and </w:t>
      </w:r>
    </w:p>
    <w:p w:rsidR="00134604" w:rsidRPr="006F1D7B" w:rsidRDefault="00134604" w:rsidP="00134604">
      <w:pPr>
        <w:pStyle w:val="ParaNum"/>
        <w:widowControl/>
        <w:numPr>
          <w:ilvl w:val="0"/>
          <w:numId w:val="10"/>
        </w:numPr>
      </w:pPr>
      <w:r>
        <w:t xml:space="preserve">For existing enterprise videophones, the date on which the videophone was last used to place a point-to-point or TRS call.  </w:t>
      </w:r>
    </w:p>
    <w:p w:rsidR="00134604" w:rsidRPr="008A3527" w:rsidRDefault="00134604" w:rsidP="00134604">
      <w:pPr>
        <w:pStyle w:val="ParaNum"/>
        <w:numPr>
          <w:ilvl w:val="0"/>
          <w:numId w:val="0"/>
        </w:numPr>
      </w:pPr>
      <w:r>
        <w:t xml:space="preserve">In addition, we propose that each VRS provider be required to obtain from the individual responsible for each enterprise videophone a certification that such responsible person (1) has authority to port the phone to a different VRS provider, (2) will, to the best of that person’s ability, permit only eligible VRS users with hearing or speech disabilities to use the phone, and (3) understands that the cost of VRS calls is financed by the federally regulated Interstate TRS Fund.  We seek comment on the collection of the information listed, as well any exception to the above-proposed information collection requirements that should be made for governmental entities that are restricted in their ability to provide certain information due to national security concerns.  </w:t>
      </w:r>
      <w:r w:rsidRPr="004D6E06">
        <w:t>We also seek comment on whether enterprises consider any of the proposed information collection requirements described above</w:t>
      </w:r>
      <w:r w:rsidRPr="002D1CAC">
        <w:t xml:space="preserve"> to contain commercially sensitive information, and if so, whether it is necessary for the Commission to impose data security requirements on VRS providers in order to protect such information</w:t>
      </w:r>
    </w:p>
    <w:p w:rsidR="00134604" w:rsidRDefault="00134604" w:rsidP="00134604">
      <w:pPr>
        <w:pStyle w:val="ParaNum"/>
        <w:widowControl/>
      </w:pPr>
      <w:r w:rsidRPr="00AB087E">
        <w:t xml:space="preserve">For </w:t>
      </w:r>
      <w:r>
        <w:t xml:space="preserve">public </w:t>
      </w:r>
      <w:r w:rsidRPr="00AB087E">
        <w:t>videophones we propose to require the following information</w:t>
      </w:r>
      <w:r>
        <w:t xml:space="preserve"> and seek comment on such collection:</w:t>
      </w:r>
    </w:p>
    <w:p w:rsidR="00134604" w:rsidRPr="006F1D7B" w:rsidRDefault="00134604" w:rsidP="00134604">
      <w:pPr>
        <w:pStyle w:val="ParaNum"/>
        <w:widowControl/>
        <w:numPr>
          <w:ilvl w:val="0"/>
          <w:numId w:val="10"/>
        </w:numPr>
      </w:pPr>
      <w:r>
        <w:t xml:space="preserve">Name and physical address of the organization, business or agency where the public videophone is </w:t>
      </w:r>
      <w:r w:rsidRPr="00C02225">
        <w:t>located</w:t>
      </w:r>
      <w:r>
        <w:t xml:space="preserve"> (which will be used as the Registered Location of the videophone);</w:t>
      </w:r>
    </w:p>
    <w:p w:rsidR="00134604" w:rsidRPr="006F1D7B" w:rsidRDefault="00134604" w:rsidP="00134604">
      <w:pPr>
        <w:pStyle w:val="ParaNum"/>
        <w:widowControl/>
        <w:numPr>
          <w:ilvl w:val="0"/>
          <w:numId w:val="10"/>
        </w:numPr>
      </w:pPr>
      <w:r>
        <w:t xml:space="preserve">VRS </w:t>
      </w:r>
      <w:r w:rsidRPr="00C02225">
        <w:t>provider’s</w:t>
      </w:r>
      <w:r>
        <w:t xml:space="preserve"> name;</w:t>
      </w:r>
    </w:p>
    <w:p w:rsidR="00134604" w:rsidRPr="006F1D7B" w:rsidRDefault="00134604" w:rsidP="00134604">
      <w:pPr>
        <w:pStyle w:val="ParaNum"/>
        <w:widowControl/>
        <w:numPr>
          <w:ilvl w:val="0"/>
          <w:numId w:val="10"/>
        </w:numPr>
      </w:pPr>
      <w:r>
        <w:t xml:space="preserve">Date on which </w:t>
      </w:r>
      <w:r w:rsidRPr="00C02225">
        <w:t>the</w:t>
      </w:r>
      <w:r>
        <w:t xml:space="preserve"> videophone was placed in that location; and</w:t>
      </w:r>
    </w:p>
    <w:p w:rsidR="00134604" w:rsidRPr="006F1D7B" w:rsidRDefault="00134604" w:rsidP="00134604">
      <w:pPr>
        <w:pStyle w:val="ParaNum"/>
        <w:widowControl/>
        <w:numPr>
          <w:ilvl w:val="0"/>
          <w:numId w:val="10"/>
        </w:numPr>
      </w:pPr>
      <w:r>
        <w:t xml:space="preserve">Date on which the videophone was last used to place a point-to-point or TRS call.  </w:t>
      </w:r>
    </w:p>
    <w:p w:rsidR="00134604" w:rsidRDefault="00134604" w:rsidP="00134604">
      <w:pPr>
        <w:pStyle w:val="ParaNum"/>
        <w:widowControl/>
      </w:pPr>
      <w:r>
        <w:t>For both enterprise and public videophones, in the event that a registered videophone is removed from service or permanently disconnected from VRS, we propose that the VRS provider be required to notify the TRS Fund Administrator of such termination of use within 24 hours of such termination.  In addition, for each type of phone, w</w:t>
      </w:r>
      <w:r w:rsidRPr="00140DE2">
        <w:t xml:space="preserve">e </w:t>
      </w:r>
      <w:r>
        <w:t xml:space="preserve">propose to </w:t>
      </w:r>
      <w:r w:rsidRPr="00140DE2">
        <w:t>require each VRS provider to monitor usage and report any unusual activity to the TRS Fund administrator</w:t>
      </w:r>
      <w:r w:rsidRPr="00DD703D">
        <w:t xml:space="preserve">.  </w:t>
      </w:r>
      <w:r>
        <w:t xml:space="preserve">Because each of these </w:t>
      </w:r>
      <w:r w:rsidRPr="00C57ED6">
        <w:t xml:space="preserve">videophones are available for use by </w:t>
      </w:r>
      <w:r>
        <w:t xml:space="preserve">multiple individuals, </w:t>
      </w:r>
      <w:r w:rsidRPr="00C57ED6">
        <w:t xml:space="preserve">we believe that the collection of this information is necessary to ensure the legitimacy of calls made on these phones.  </w:t>
      </w:r>
      <w:r>
        <w:t xml:space="preserve">We seek comment on our assumptions and on these proposals and ask commenters to describe the types of unusual activity that should trigger a report to the Commission.  </w:t>
      </w:r>
    </w:p>
    <w:p w:rsidR="00134604" w:rsidRDefault="00134604" w:rsidP="00134604">
      <w:pPr>
        <w:pStyle w:val="Heading2"/>
      </w:pPr>
      <w:bookmarkStart w:id="254" w:name="_Toc474946540"/>
      <w:bookmarkStart w:id="255" w:name="_Toc475724124"/>
      <w:bookmarkStart w:id="256" w:name="_Toc475724317"/>
      <w:bookmarkStart w:id="257" w:name="_Toc475724464"/>
      <w:bookmarkStart w:id="258" w:name="_Toc475724794"/>
      <w:bookmarkStart w:id="259" w:name="_Toc476077824"/>
      <w:bookmarkStart w:id="260" w:name="_Toc477963681"/>
      <w:r>
        <w:t>Direct Video Calling Customer Support Services</w:t>
      </w:r>
      <w:bookmarkEnd w:id="254"/>
      <w:bookmarkEnd w:id="255"/>
      <w:bookmarkEnd w:id="256"/>
      <w:bookmarkEnd w:id="257"/>
      <w:bookmarkEnd w:id="258"/>
      <w:bookmarkEnd w:id="259"/>
      <w:bookmarkEnd w:id="260"/>
    </w:p>
    <w:p w:rsidR="00134604" w:rsidRDefault="00134604" w:rsidP="00134604">
      <w:pPr>
        <w:pStyle w:val="ParaNum"/>
        <w:widowControl/>
      </w:pPr>
      <w:r w:rsidRPr="00665A7D">
        <w:t xml:space="preserve">A </w:t>
      </w:r>
      <w:r>
        <w:t>direct video calling (DVC)</w:t>
      </w:r>
      <w:r w:rsidRPr="00665A7D">
        <w:t xml:space="preserve"> customer support service is a telephon</w:t>
      </w:r>
      <w:r>
        <w:t>e</w:t>
      </w:r>
      <w:r w:rsidRPr="00665A7D">
        <w:t xml:space="preserve"> customer assistance service provided by an organization that permits individuals who are deaf, hard of hearing, deaf-blind, or have a speech disability, using telephone numbers that are registered in the TRS numbering directory, to engage in real-time video communication in </w:t>
      </w:r>
      <w:r>
        <w:t>ASL</w:t>
      </w:r>
      <w:r w:rsidRPr="00665A7D">
        <w:t xml:space="preserve"> with</w:t>
      </w:r>
      <w:r>
        <w:t>out</w:t>
      </w:r>
      <w:r w:rsidRPr="00665A7D">
        <w:t xml:space="preserve"> </w:t>
      </w:r>
      <w:r>
        <w:t>using VRS</w:t>
      </w:r>
      <w:r w:rsidRPr="00665A7D">
        <w:t>.  The purpose of DVC is to provide direct telephone service to such individuals that is functionally equivalent to voice communications service provided to hearing individuals who do not have speech disabilities.</w:t>
      </w:r>
      <w:r>
        <w:t xml:space="preserve">  </w:t>
      </w:r>
      <w:r w:rsidRPr="004D6E06">
        <w:t>Because it is a direct service, no CA is involved and there is no compensation f</w:t>
      </w:r>
      <w:r>
        <w:t>r</w:t>
      </w:r>
      <w:r w:rsidRPr="004D6E06">
        <w:t>om the TRS Fund.</w:t>
      </w:r>
      <w:r w:rsidRPr="002D1CAC">
        <w:t xml:space="preserve"> </w:t>
      </w:r>
      <w:r>
        <w:t xml:space="preserve"> In January 2017, CGB and the Wireline Competition Bureau (WCB) granted VTCSecure, LLC (VTCSecure), a DVC customer support service provider, a waiver of the Commission’s rules to allow it to access the TRS Numbering Directory.</w:t>
      </w:r>
      <w:r>
        <w:rPr>
          <w:rStyle w:val="FootnoteReference"/>
        </w:rPr>
        <w:footnoteReference w:id="284"/>
      </w:r>
      <w:r>
        <w:t xml:space="preserve">  While expressing its general support for DVC, in February 2017, Sorenson sought partial reconsideration of this waiver order, to require that DVC customer support services numbers used for direct ASL communication be separate and distinct from general customer service numbers used by hearing consumers.</w:t>
      </w:r>
      <w:r>
        <w:rPr>
          <w:rStyle w:val="FootnoteReference"/>
        </w:rPr>
        <w:footnoteReference w:id="285"/>
      </w:r>
      <w:r>
        <w:t xml:space="preserve">  Sorenson suggests that if general customer services numbers used for DVC are placed into the TRS Numbering Directory, providers would have to route all calls to those numbers via point-to-point calls, which would limit the ability of VRS users to choose between making a VRS call or a point-to-point call to reach such customer service representatives, taking away the ability of TRS customers to have access to all VRS provider services.</w:t>
      </w:r>
      <w:r>
        <w:rPr>
          <w:rStyle w:val="FootnoteReference"/>
        </w:rPr>
        <w:footnoteReference w:id="286"/>
      </w:r>
      <w:r>
        <w:t xml:space="preserve">  </w:t>
      </w:r>
    </w:p>
    <w:p w:rsidR="00134604" w:rsidRDefault="00134604" w:rsidP="00134604">
      <w:pPr>
        <w:pStyle w:val="ParaNum"/>
        <w:widowControl/>
      </w:pPr>
      <w:r>
        <w:t>We seek comment on whether to amend section 64.613 of the Commission’s rules to allow all providers of DVC customer support services to access the TRS Numbering Directory.  We believe amending our rules to allow</w:t>
      </w:r>
      <w:r w:rsidRPr="0068123D">
        <w:t xml:space="preserve"> </w:t>
      </w:r>
      <w:r>
        <w:t xml:space="preserve">DVC </w:t>
      </w:r>
      <w:r w:rsidRPr="0068123D">
        <w:t>customer support service</w:t>
      </w:r>
      <w:r>
        <w:t xml:space="preserve"> providers</w:t>
      </w:r>
      <w:r w:rsidRPr="0068123D">
        <w:t xml:space="preserve"> access to the TRS Numbering Directory will enhance the functional equivalence of the TRS program by </w:t>
      </w:r>
      <w:r>
        <w:t xml:space="preserve">allowing </w:t>
      </w:r>
      <w:r w:rsidRPr="0068123D">
        <w:t xml:space="preserve">VRS users </w:t>
      </w:r>
      <w:r>
        <w:t xml:space="preserve">to engage in </w:t>
      </w:r>
      <w:r w:rsidRPr="0068123D">
        <w:t xml:space="preserve">more direct, </w:t>
      </w:r>
      <w:r>
        <w:t>private</w:t>
      </w:r>
      <w:r w:rsidRPr="0068123D">
        <w:t xml:space="preserve">, </w:t>
      </w:r>
      <w:r>
        <w:t xml:space="preserve">and </w:t>
      </w:r>
      <w:r w:rsidRPr="0068123D">
        <w:t>reciprocal communication</w:t>
      </w:r>
      <w:r>
        <w:t xml:space="preserve"> with customer service agents</w:t>
      </w:r>
      <w:r w:rsidRPr="0068123D">
        <w:t>.</w:t>
      </w:r>
      <w:r>
        <w:t xml:space="preserve">  As t</w:t>
      </w:r>
      <w:r w:rsidRPr="0068123D">
        <w:t>he Commission has repeatedly recognized</w:t>
      </w:r>
      <w:r>
        <w:t>, compared to traditional TRS, “</w:t>
      </w:r>
      <w:r w:rsidRPr="0068123D">
        <w:t>point-to-point services even more directly support the [purposes of section 225]</w:t>
      </w:r>
      <w:r>
        <w:t xml:space="preserve">” because </w:t>
      </w:r>
      <w:r w:rsidRPr="0068123D">
        <w:t xml:space="preserve">they </w:t>
      </w:r>
      <w:r>
        <w:t>“</w:t>
      </w:r>
      <w:r w:rsidRPr="0068123D">
        <w:t>increase the utility of the Nation’s telephone system</w:t>
      </w:r>
      <w:r>
        <w:t xml:space="preserve">” for persons with hearing and speech disabilities by “provid[ing] </w:t>
      </w:r>
      <w:r w:rsidRPr="0068123D">
        <w:t>direct communication</w:t>
      </w:r>
      <w:r>
        <w:t>—</w:t>
      </w:r>
      <w:r w:rsidRPr="0068123D">
        <w:t>including all visual cues that are so important to persons with hearing and speech disabilities.</w:t>
      </w:r>
      <w:r>
        <w:t>”</w:t>
      </w:r>
      <w:r w:rsidRPr="00A65CF4">
        <w:rPr>
          <w:rStyle w:val="FootnoteReference"/>
        </w:rPr>
        <w:footnoteReference w:id="287"/>
      </w:r>
      <w:r w:rsidRPr="0068123D">
        <w:t xml:space="preserve">  </w:t>
      </w:r>
      <w:r>
        <w:t xml:space="preserve">We also believe allowing DVC customer support service </w:t>
      </w:r>
      <w:r w:rsidRPr="0068123D">
        <w:t>access</w:t>
      </w:r>
      <w:r>
        <w:t xml:space="preserve"> </w:t>
      </w:r>
      <w:r w:rsidRPr="0068123D">
        <w:t xml:space="preserve">to the TRS Numbering Directory will </w:t>
      </w:r>
      <w:r>
        <w:t xml:space="preserve">likely </w:t>
      </w:r>
      <w:r w:rsidRPr="0068123D">
        <w:t xml:space="preserve">reduce </w:t>
      </w:r>
      <w:r>
        <w:t xml:space="preserve">the TRS </w:t>
      </w:r>
      <w:r w:rsidRPr="0068123D">
        <w:t xml:space="preserve">costs </w:t>
      </w:r>
      <w:r>
        <w:t>that would otherwise be borne by</w:t>
      </w:r>
      <w:r w:rsidRPr="0068123D">
        <w:t xml:space="preserve"> the TRS Fund</w:t>
      </w:r>
      <w:r>
        <w:t xml:space="preserve"> because using DVC “involve[s] direct, rather than interpreted, communication and </w:t>
      </w:r>
      <w:r w:rsidRPr="0068123D">
        <w:t>does not trigger the costs involved with interpretation or unnecessary routing</w:t>
      </w:r>
      <w:r>
        <w:t>.”</w:t>
      </w:r>
      <w:r>
        <w:rPr>
          <w:rStyle w:val="FootnoteReference"/>
        </w:rPr>
        <w:footnoteReference w:id="288"/>
      </w:r>
      <w:r>
        <w:t xml:space="preserve">   We seek comment on these tentative conclusions.  We further seek comment on the concerns raised by Sorenson, specifically whether any rule changes should require that ASL-capable DVC numbers be distinct from general service numbers used by hearing individuals to the same customer call center.  Finally, we seek comment on </w:t>
      </w:r>
      <w:r w:rsidRPr="00B70E3C">
        <w:t>any other factors</w:t>
      </w:r>
      <w:r>
        <w:t xml:space="preserve"> </w:t>
      </w:r>
      <w:r w:rsidRPr="00B70E3C">
        <w:t xml:space="preserve">we should consider regarding this proposed </w:t>
      </w:r>
      <w:r>
        <w:t xml:space="preserve">rule </w:t>
      </w:r>
      <w:r w:rsidRPr="00B70E3C">
        <w:t>amendment</w:t>
      </w:r>
      <w:r>
        <w:t>, including specific costs or additional benefits from allowing DVC customer support services providers to access the TRS Numbering Directory, as well as alternative proposals for ensuring direct access to DVC customer support services.</w:t>
      </w:r>
      <w:r>
        <w:rPr>
          <w:rStyle w:val="FootnoteReference"/>
        </w:rPr>
        <w:footnoteReference w:id="289"/>
      </w:r>
    </w:p>
    <w:p w:rsidR="00134604" w:rsidRDefault="00134604" w:rsidP="00134604">
      <w:pPr>
        <w:pStyle w:val="Heading2"/>
      </w:pPr>
      <w:bookmarkStart w:id="261" w:name="_Toc475724125"/>
      <w:bookmarkStart w:id="262" w:name="_Toc475724318"/>
      <w:bookmarkStart w:id="263" w:name="_Toc475724465"/>
      <w:bookmarkStart w:id="264" w:name="_Toc475724795"/>
      <w:bookmarkStart w:id="265" w:name="_Toc476077825"/>
      <w:bookmarkStart w:id="266" w:name="_Toc477963682"/>
      <w:r>
        <w:t>Per call validation procedures</w:t>
      </w:r>
      <w:bookmarkEnd w:id="261"/>
      <w:bookmarkEnd w:id="262"/>
      <w:bookmarkEnd w:id="263"/>
      <w:bookmarkEnd w:id="264"/>
      <w:bookmarkEnd w:id="265"/>
      <w:bookmarkEnd w:id="266"/>
    </w:p>
    <w:p w:rsidR="00134604" w:rsidRPr="009953D6" w:rsidRDefault="00134604" w:rsidP="00134604">
      <w:pPr>
        <w:pStyle w:val="ParaNum"/>
        <w:widowControl/>
      </w:pPr>
      <w:r>
        <w:t>Section 64.615(a)(1) of the Commission’s rules requires each VRS provider to validate the eligibility of the party on the video side of each VRS call (once the TRS-URD is up and running) by querying the TRS-URD on a per-call basis.</w:t>
      </w:r>
      <w:r>
        <w:rPr>
          <w:rStyle w:val="FootnoteReference"/>
        </w:rPr>
        <w:footnoteReference w:id="290"/>
      </w:r>
      <w:r>
        <w:t xml:space="preserve">  In the </w:t>
      </w:r>
      <w:r w:rsidRPr="00536DFF">
        <w:rPr>
          <w:i/>
        </w:rPr>
        <w:t>2013 VRS Reform Order</w:t>
      </w:r>
      <w:r w:rsidRPr="00DC7B5B">
        <w:t xml:space="preserve">, </w:t>
      </w:r>
      <w:r>
        <w:t>the Commission directed the Managing Director, in consultation with the CTO, the Chief of OET, and Chief of CGB, to select (or have the TRS Fund administrator select under objectives and factors determined by the Managing Director in consultation with the CTO, the Chief of OET, and Chief, CGB) a neutral party to build, operate, and maintain the TRS-URD under contract to the Commission (or the TRS Fund administrator), which would be compensated through the TRS Fund.</w:t>
      </w:r>
      <w:r>
        <w:rPr>
          <w:rStyle w:val="FootnoteReference"/>
        </w:rPr>
        <w:footnoteReference w:id="291"/>
      </w:r>
      <w:r>
        <w:t xml:space="preserve">  However, the Commission also directed the Managing Director to consider whether modifying or rebidding the TRS Numbering Directory contract to include features and functions of the TRS-URD is the most effective and efficient way to build, operate, and </w:t>
      </w:r>
      <w:r w:rsidRPr="009953D6">
        <w:t>maintain the TRS-URD, and to conduct its contracting process accordingly.</w:t>
      </w:r>
      <w:r w:rsidRPr="009953D6">
        <w:rPr>
          <w:rStyle w:val="FootnoteReference"/>
        </w:rPr>
        <w:footnoteReference w:id="292"/>
      </w:r>
    </w:p>
    <w:p w:rsidR="00134604" w:rsidRDefault="00134604" w:rsidP="00134604">
      <w:pPr>
        <w:pStyle w:val="ParaNum"/>
        <w:widowControl/>
      </w:pPr>
      <w:r w:rsidRPr="009953D6">
        <w:t>After making the consultations referenced above, the Managing Director has contracted with the TRS Numbering Directory administrator to validate the eligibility of the party on the video side of each VRS</w:t>
      </w:r>
      <w:r>
        <w:t xml:space="preserve"> call by utilizing the TRS Numbering Directory to respond to the per call query.</w:t>
      </w:r>
      <w:r>
        <w:rPr>
          <w:rStyle w:val="FootnoteReference"/>
        </w:rPr>
        <w:footnoteReference w:id="293"/>
      </w:r>
      <w:r>
        <w:t xml:space="preserve">  Because section 64.615(a)(1) requires that each VRS provider validate the eligibility of the party on the video side of each VRS call by querying the TRS-URD,</w:t>
      </w:r>
      <w:r>
        <w:rPr>
          <w:rStyle w:val="FootnoteReference"/>
        </w:rPr>
        <w:footnoteReference w:id="294"/>
      </w:r>
      <w:r>
        <w:t xml:space="preserve"> we propose to amend section 64.615(a)(1) to require that each VRS provider query either the TRS-URD or the TRS Numbering Directory, as directed by the Commission or the TRS Fund Administrator, and seek comment on this proposal.</w:t>
      </w:r>
      <w:r w:rsidRPr="003929E9">
        <w:rPr>
          <w:highlight w:val="yellow"/>
        </w:rPr>
        <w:t xml:space="preserve"> </w:t>
      </w:r>
    </w:p>
    <w:p w:rsidR="00134604" w:rsidRDefault="00134604" w:rsidP="00134604">
      <w:pPr>
        <w:pStyle w:val="Heading2"/>
      </w:pPr>
      <w:bookmarkStart w:id="267" w:name="_Toc477963683"/>
      <w:r>
        <w:t>Research and Development</w:t>
      </w:r>
      <w:bookmarkEnd w:id="267"/>
    </w:p>
    <w:p w:rsidR="00134604" w:rsidRPr="00E428DE" w:rsidRDefault="00134604" w:rsidP="00134604">
      <w:pPr>
        <w:pStyle w:val="ParaNum"/>
        <w:widowControl/>
      </w:pPr>
      <w:r w:rsidRPr="00E428DE">
        <w:t xml:space="preserve">In the 2014 </w:t>
      </w:r>
      <w:r w:rsidRPr="00F95851">
        <w:rPr>
          <w:i/>
        </w:rPr>
        <w:t xml:space="preserve">Technology Transitions </w:t>
      </w:r>
      <w:r w:rsidRPr="00F95851">
        <w:t>Order</w:t>
      </w:r>
      <w:r w:rsidRPr="00E428DE">
        <w:t>,</w:t>
      </w:r>
      <w:r>
        <w:rPr>
          <w:rStyle w:val="FootnoteReference"/>
        </w:rPr>
        <w:footnoteReference w:id="295"/>
      </w:r>
      <w:r w:rsidRPr="00E428DE">
        <w:t xml:space="preserve"> </w:t>
      </w:r>
      <w:r>
        <w:t>the Commission</w:t>
      </w:r>
      <w:r w:rsidRPr="00E428DE">
        <w:t xml:space="preserve"> set an initial budget for research and development projects to be supported by the TRS Fund.  This initial budget of $3 million represented approximately 40 percent of the expenditures reported by VRS providers for 2012 on compensable R&amp;D.</w:t>
      </w:r>
      <w:r w:rsidRPr="00C939E2">
        <w:rPr>
          <w:rStyle w:val="FootnoteReference"/>
        </w:rPr>
        <w:footnoteReference w:id="296"/>
      </w:r>
      <w:r w:rsidRPr="00E428DE">
        <w:t xml:space="preserve">  This amount, </w:t>
      </w:r>
      <w:r>
        <w:t>the Commission</w:t>
      </w:r>
      <w:r w:rsidRPr="00E428DE">
        <w:t xml:space="preserve"> explained, would allow </w:t>
      </w:r>
      <w:r>
        <w:t>it</w:t>
      </w:r>
      <w:r w:rsidRPr="00E428DE">
        <w:t xml:space="preserve"> and its federal research agency partners to conduct a number of important research projects necessary to further the Commission’s multiple goals of ensuring that TRS is functionally equivalent to voice telephone services and improving the efficiency and availability of TRS, as well as provide certainty regarding the initial level of R&amp;D to be funded directly from the TRS Fund.  </w:t>
      </w:r>
      <w:r>
        <w:t>The Commission</w:t>
      </w:r>
      <w:r w:rsidRPr="00E428DE">
        <w:t xml:space="preserve"> stated that </w:t>
      </w:r>
      <w:r>
        <w:t>it</w:t>
      </w:r>
      <w:r w:rsidRPr="00E428DE">
        <w:t xml:space="preserve"> would consider authorizing additional amounts for particular categories of research or specific research projects upon request of the Managing Director.</w:t>
      </w:r>
      <w:r w:rsidRPr="00E428DE">
        <w:rPr>
          <w:rStyle w:val="FootnoteReference"/>
        </w:rPr>
        <w:footnoteReference w:id="297"/>
      </w:r>
    </w:p>
    <w:p w:rsidR="00134604" w:rsidRDefault="00134604" w:rsidP="00134604">
      <w:pPr>
        <w:pStyle w:val="ParaNum"/>
        <w:widowControl/>
      </w:pPr>
      <w:r w:rsidRPr="00E428DE">
        <w:t>Congress, in recognizing the need for relay services for persons with hearing and speech disabilities, charged the FCC with ensuring that the services evolve with improvements in technology.</w:t>
      </w:r>
      <w:r w:rsidRPr="00E428DE">
        <w:rPr>
          <w:rStyle w:val="FootnoteReference"/>
        </w:rPr>
        <w:footnoteReference w:id="298"/>
      </w:r>
      <w:r w:rsidRPr="00E428DE">
        <w:t xml:space="preserve">  To this end, we </w:t>
      </w:r>
      <w:r>
        <w:t>seek comment on whether to</w:t>
      </w:r>
      <w:r w:rsidRPr="00E428DE">
        <w:t xml:space="preserve"> continue this important research.  </w:t>
      </w:r>
      <w:r>
        <w:t>Specifically</w:t>
      </w:r>
      <w:r w:rsidRPr="00E428DE">
        <w:t xml:space="preserve">, we </w:t>
      </w:r>
      <w:r>
        <w:t>seek comment on whether we should</w:t>
      </w:r>
      <w:r w:rsidRPr="00E428DE">
        <w:t xml:space="preserve"> take action to ensure continued funding from the TRS Fund beyond the initial project’s $3 million</w:t>
      </w:r>
      <w:r>
        <w:t xml:space="preserve"> budget</w:t>
      </w:r>
      <w:r w:rsidRPr="00E428DE">
        <w:t xml:space="preserve">, as that amount was only sufficient </w:t>
      </w:r>
      <w:r>
        <w:t>through</w:t>
      </w:r>
      <w:r w:rsidRPr="00E428DE">
        <w:t xml:space="preserve"> the 2016–2017 TRS Fund Year.  Therefore, to continue to meet our statutory obligations, we</w:t>
      </w:r>
      <w:r>
        <w:t xml:space="preserve"> seek comment on whether to</w:t>
      </w:r>
      <w:r w:rsidRPr="00E428DE">
        <w:t xml:space="preserve"> direct the TRS Administrator, for the 2017-2018 TRS Fund year, and as part of future annual ratemaking proceedings, to include in proposed administrative costs for our approval </w:t>
      </w:r>
      <w:r w:rsidRPr="00D152DF">
        <w:t>an appropriate</w:t>
      </w:r>
      <w:r w:rsidRPr="00E428DE">
        <w:t xml:space="preserve"> amount for research and development necessary to continue to meet our charge of furthering the goals of functional equivalence and efficient availability of TRS.</w:t>
      </w:r>
      <w:r>
        <w:t xml:space="preserve">  We ask commenters to address the specific purposes of such research and whether the benefits of such research outweigh the costs to the TRS Fund.</w:t>
      </w:r>
      <w:r w:rsidRPr="00E428DE">
        <w:t xml:space="preserve">  </w:t>
      </w:r>
    </w:p>
    <w:p w:rsidR="00134604" w:rsidRDefault="00134604" w:rsidP="00134604">
      <w:pPr>
        <w:pStyle w:val="Heading2"/>
      </w:pPr>
      <w:bookmarkStart w:id="268" w:name="_Toc477963684"/>
      <w:r>
        <w:t>Non-Service Related Inducements to Sign Up for VRS</w:t>
      </w:r>
      <w:bookmarkEnd w:id="268"/>
    </w:p>
    <w:p w:rsidR="00134604" w:rsidRDefault="00134604" w:rsidP="00134604">
      <w:pPr>
        <w:pStyle w:val="ParaNum"/>
        <w:widowControl/>
      </w:pPr>
      <w:r>
        <w:t>The Commission has longstanding prohibitions against TRS providers offering customers financial or other inducements to use TRS.</w:t>
      </w:r>
      <w:r>
        <w:rPr>
          <w:rStyle w:val="FootnoteReference"/>
        </w:rPr>
        <w:footnoteReference w:id="299"/>
      </w:r>
      <w:r>
        <w:t xml:space="preserve">  As noted above, however, VRS providers continue to</w:t>
      </w:r>
      <w:r w:rsidR="00EA5C9B">
        <w:t xml:space="preserve"> </w:t>
      </w:r>
      <w:r>
        <w:t>complain about one another’s practices of giving away free items to customers in order to entice them away from their current default provider or to prevent a competitor from capturing existing customers.</w:t>
      </w:r>
      <w:r>
        <w:rPr>
          <w:rStyle w:val="FootnoteReference"/>
        </w:rPr>
        <w:footnoteReference w:id="300"/>
      </w:r>
      <w:r>
        <w:t xml:space="preserve">  In 2013, based on a history of the uncontrolled financial and other inducements to attract prospective customers to use IP CTS, the Commission adopted a rule prohibiting providers from</w:t>
      </w:r>
      <w:r w:rsidRPr="00731435">
        <w:t xml:space="preserve"> offer</w:t>
      </w:r>
      <w:r>
        <w:t>ing</w:t>
      </w:r>
      <w:r w:rsidRPr="00731435">
        <w:t xml:space="preserve"> or provid</w:t>
      </w:r>
      <w:r>
        <w:t>ing</w:t>
      </w:r>
      <w:r w:rsidRPr="00731435">
        <w:t xml:space="preserve"> </w:t>
      </w:r>
      <w:r>
        <w:t>“</w:t>
      </w:r>
      <w:r w:rsidRPr="00731435">
        <w:t>to any person or entity that registers to use IP CTS any form of direct or indirect incentives, financial or otherwise, to register for or use IP CTS</w:t>
      </w:r>
      <w:r>
        <w:t>” and denying compensation to providers violating the rule.</w:t>
      </w:r>
      <w:r>
        <w:rPr>
          <w:rStyle w:val="FootnoteReference"/>
        </w:rPr>
        <w:footnoteReference w:id="301"/>
      </w:r>
      <w:r>
        <w:t xml:space="preserve">  Here, we seek comment on whether to adopt a similar prohibition for VRS.  Specifically, should the Commission prohibit VRS providers from offering or providing</w:t>
      </w:r>
      <w:r w:rsidRPr="006A5C2E">
        <w:t xml:space="preserve"> non-service related inducements (</w:t>
      </w:r>
      <w:r w:rsidRPr="006A5C2E">
        <w:rPr>
          <w:i/>
        </w:rPr>
        <w:t>e.g.</w:t>
      </w:r>
      <w:r w:rsidRPr="006A5C2E">
        <w:t xml:space="preserve">, </w:t>
      </w:r>
      <w:r>
        <w:t>video game systems</w:t>
      </w:r>
      <w:r w:rsidRPr="006A5C2E">
        <w:t xml:space="preserve">) to sign up for </w:t>
      </w:r>
      <w:r>
        <w:t xml:space="preserve">or to continue to use a VRS provider’s </w:t>
      </w:r>
      <w:r w:rsidRPr="006A5C2E">
        <w:t>service</w:t>
      </w:r>
      <w:r>
        <w:t>?  Are there any circumstances in which such inducements should be permitted?  Does it matter if the provider offers the same inducements to all users, regardless of call volume?  Further, how should the Commission define what is a non-service related inducement?</w:t>
      </w:r>
    </w:p>
    <w:p w:rsidR="00134604" w:rsidRDefault="00134604" w:rsidP="00134604">
      <w:pPr>
        <w:pStyle w:val="Heading2"/>
      </w:pPr>
      <w:bookmarkStart w:id="269" w:name="_Toc477963685"/>
      <w:r>
        <w:t>Non-Compete Provisions in VRS CA Employment Contracts</w:t>
      </w:r>
      <w:bookmarkEnd w:id="269"/>
    </w:p>
    <w:p w:rsidR="00134604" w:rsidRDefault="00134604" w:rsidP="00134604">
      <w:pPr>
        <w:pStyle w:val="ParaNum"/>
        <w:widowControl/>
      </w:pPr>
      <w:r w:rsidRPr="00FE1930">
        <w:t>In 2007, a coalition of five VRS providers petitioned the Commission for a declaratory ruling to prohibit VRS providers from using non-competition agreements in VRS CA employment contracts that limit the ability of VRS CAs to work for competing VRS providers after the VRS CAs terminate their employment with their current employer.</w:t>
      </w:r>
      <w:r w:rsidRPr="00FE1930">
        <w:rPr>
          <w:sz w:val="20"/>
          <w:vertAlign w:val="superscript"/>
        </w:rPr>
        <w:footnoteReference w:id="302"/>
      </w:r>
      <w:r w:rsidRPr="00FE1930">
        <w:t xml:space="preserve">  </w:t>
      </w:r>
      <w:r>
        <w:t xml:space="preserve">In response, </w:t>
      </w:r>
      <w:r w:rsidRPr="00FE1930">
        <w:t xml:space="preserve">several additional </w:t>
      </w:r>
      <w:r w:rsidRPr="00FE1930">
        <w:rPr>
          <w:i/>
        </w:rPr>
        <w:t>ex part</w:t>
      </w:r>
      <w:r w:rsidRPr="00133935">
        <w:rPr>
          <w:i/>
        </w:rPr>
        <w:t>e</w:t>
      </w:r>
      <w:r w:rsidRPr="00133935">
        <w:t xml:space="preserve"> communications on this issue were filed with the Commission.</w:t>
      </w:r>
      <w:r w:rsidRPr="00133935">
        <w:rPr>
          <w:vertAlign w:val="superscript"/>
        </w:rPr>
        <w:footnoteReference w:id="303"/>
      </w:r>
      <w:r w:rsidRPr="00133935">
        <w:t xml:space="preserve">  The Commission sought </w:t>
      </w:r>
      <w:r>
        <w:t xml:space="preserve">and received </w:t>
      </w:r>
      <w:r w:rsidRPr="00133935">
        <w:t>comment on</w:t>
      </w:r>
      <w:r>
        <w:t xml:space="preserve"> these agreements in the </w:t>
      </w:r>
      <w:r w:rsidRPr="00F605D6">
        <w:rPr>
          <w:i/>
        </w:rPr>
        <w:t>2013 VRS Reform FNPRM</w:t>
      </w:r>
      <w:r>
        <w:t>.</w:t>
      </w:r>
      <w:r>
        <w:rPr>
          <w:rStyle w:val="FootnoteReference"/>
        </w:rPr>
        <w:footnoteReference w:id="304"/>
      </w:r>
      <w:r w:rsidRPr="00133935">
        <w:t xml:space="preserve">  </w:t>
      </w:r>
    </w:p>
    <w:p w:rsidR="00134604" w:rsidRPr="00FE1930" w:rsidRDefault="00134604" w:rsidP="00134604">
      <w:pPr>
        <w:pStyle w:val="ParaNum"/>
        <w:widowControl/>
      </w:pPr>
      <w:r w:rsidRPr="00133935">
        <w:t>Purple maintains that such non-competition agreements are contrary to the p</w:t>
      </w:r>
      <w:r w:rsidRPr="00FE1930">
        <w:t>ublic interest because they artificially remove VRS CAs from the labor pool, resulting in higher interpreter costs and limiting the ability of VRS companies to compete in the market place, thereby depriving consumers of the full benefits of competition.</w:t>
      </w:r>
      <w:r w:rsidRPr="00FE1930">
        <w:rPr>
          <w:sz w:val="20"/>
          <w:vertAlign w:val="superscript"/>
        </w:rPr>
        <w:footnoteReference w:id="305"/>
      </w:r>
      <w:r w:rsidRPr="00FE1930">
        <w:t xml:space="preserve">  However, Sorenson, which makes use of such agreements, maintains that they increase the pool of available VRS CAs because they encourage Sorenson to invest in training new VRS CAs, knowing that competitors will not hire away Sorenson’s newly-trained CAs.</w:t>
      </w:r>
      <w:r w:rsidRPr="00FE1930">
        <w:rPr>
          <w:sz w:val="20"/>
          <w:vertAlign w:val="superscript"/>
        </w:rPr>
        <w:footnoteReference w:id="306"/>
      </w:r>
    </w:p>
    <w:p w:rsidR="00134604" w:rsidRPr="00FE1930" w:rsidRDefault="00134604" w:rsidP="00134604">
      <w:pPr>
        <w:pStyle w:val="ParaNum"/>
        <w:widowControl/>
      </w:pPr>
      <w:r w:rsidRPr="00FE1930">
        <w:t xml:space="preserve">We seek </w:t>
      </w:r>
      <w:r>
        <w:t xml:space="preserve">further </w:t>
      </w:r>
      <w:r w:rsidRPr="00FE1930">
        <w:t xml:space="preserve">comment on the </w:t>
      </w:r>
      <w:r>
        <w:t>impact of</w:t>
      </w:r>
      <w:r w:rsidRPr="00FE1930">
        <w:t xml:space="preserve"> these non-competition agreements on the provision of VRS.  What are the </w:t>
      </w:r>
      <w:r>
        <w:t xml:space="preserve">cost and </w:t>
      </w:r>
      <w:r w:rsidRPr="00FE1930">
        <w:t xml:space="preserve">benefits or </w:t>
      </w:r>
      <w:r>
        <w:t xml:space="preserve">advantages and </w:t>
      </w:r>
      <w:r w:rsidRPr="00FE1930">
        <w:t>disadvantages of allowing</w:t>
      </w:r>
      <w:r>
        <w:t>,</w:t>
      </w:r>
      <w:r w:rsidRPr="00FE1930">
        <w:t xml:space="preserve"> prohibiting </w:t>
      </w:r>
      <w:r>
        <w:t xml:space="preserve">or limiting the scope of </w:t>
      </w:r>
      <w:r w:rsidRPr="00FE1930">
        <w:t xml:space="preserve">these agreements?  Do non-competition agreements limit the pool of VRS CAs that are available to VRS providers?  If so, does any such limitation affect the ability of VRS providers to effectively compete in the marketplace?  To what extent do these agreements have an impact on the level of compensation paid to VRS CAs, and consequently, the cost of providing VRS?  Do the agreements affect speed of answer, accuracy or other quality of service metrics for VRS users?  Commenters should support their positions with data to the extent possible.  </w:t>
      </w:r>
    </w:p>
    <w:p w:rsidR="00134604" w:rsidRDefault="00134604" w:rsidP="00134604">
      <w:pPr>
        <w:pStyle w:val="ParaNum"/>
        <w:widowControl/>
      </w:pPr>
      <w:r w:rsidRPr="00FE1930">
        <w:t xml:space="preserve">We also ask commenters to address possible sources of authority for the Commission to regulate VRS Relay CA non-competition agreements.  For example, does section 225(d)(1)(A) of the Act, </w:t>
      </w:r>
      <w:r w:rsidRPr="00133935">
        <w:t>which directs the Commission to “establish functional requirements, guidelines, and operations procedures for telecommunications relay services”</w:t>
      </w:r>
      <w:r w:rsidRPr="00DC17F9">
        <w:rPr>
          <w:vertAlign w:val="superscript"/>
        </w:rPr>
        <w:footnoteReference w:id="307"/>
      </w:r>
      <w:r w:rsidRPr="00133935">
        <w:t xml:space="preserve"> afford the Commission sufficient authority to address these agreements?  Are there other provisions of section 225 that provide the Commission with such authority?  </w:t>
      </w:r>
      <w:r w:rsidRPr="00DC17F9">
        <w:t>We seek feedback on any other matter that might assist the Commission in determining whether and how to address th</w:t>
      </w:r>
      <w:r w:rsidRPr="00133935">
        <w:t>ese agreements.</w:t>
      </w:r>
      <w:r w:rsidRPr="00134604">
        <w:rPr>
          <w:rFonts w:eastAsia="Calibri"/>
          <w:kern w:val="0"/>
          <w:sz w:val="24"/>
          <w:szCs w:val="24"/>
        </w:rPr>
        <w:t xml:space="preserve"> </w:t>
      </w:r>
    </w:p>
    <w:p w:rsidR="00134604" w:rsidRPr="00B70E3C" w:rsidRDefault="00134604" w:rsidP="00134604">
      <w:pPr>
        <w:pStyle w:val="Heading1"/>
      </w:pPr>
      <w:bookmarkStart w:id="270" w:name="_Toc474858628"/>
      <w:bookmarkStart w:id="271" w:name="_Toc474859338"/>
      <w:bookmarkStart w:id="272" w:name="_Toc474860067"/>
      <w:bookmarkStart w:id="273" w:name="_Toc474860240"/>
      <w:bookmarkStart w:id="274" w:name="_Toc474860358"/>
      <w:bookmarkStart w:id="275" w:name="_Toc474860544"/>
      <w:bookmarkStart w:id="276" w:name="_Toc474860610"/>
      <w:bookmarkStart w:id="277" w:name="_Toc474860753"/>
      <w:bookmarkStart w:id="278" w:name="_Toc474946542"/>
      <w:bookmarkStart w:id="279" w:name="_Toc475724127"/>
      <w:bookmarkStart w:id="280" w:name="_Toc475724320"/>
      <w:bookmarkStart w:id="281" w:name="_Toc475724467"/>
      <w:bookmarkStart w:id="282" w:name="_Toc475724797"/>
      <w:bookmarkStart w:id="283" w:name="_Toc476077826"/>
      <w:bookmarkStart w:id="284" w:name="_Toc477963686"/>
      <w:r w:rsidRPr="00B70E3C">
        <w:t>ORDER</w:t>
      </w:r>
      <w:bookmarkEnd w:id="270"/>
      <w:bookmarkEnd w:id="271"/>
      <w:bookmarkEnd w:id="272"/>
      <w:bookmarkEnd w:id="273"/>
      <w:bookmarkEnd w:id="274"/>
      <w:bookmarkEnd w:id="275"/>
      <w:bookmarkEnd w:id="276"/>
      <w:bookmarkEnd w:id="277"/>
      <w:bookmarkEnd w:id="278"/>
      <w:r>
        <w:t xml:space="preserve"> on </w:t>
      </w:r>
      <w:bookmarkStart w:id="285" w:name="_Toc474858629"/>
      <w:bookmarkStart w:id="286" w:name="_Toc474859339"/>
      <w:bookmarkStart w:id="287" w:name="_Toc474860068"/>
      <w:bookmarkStart w:id="288" w:name="_Toc474860241"/>
      <w:bookmarkStart w:id="289" w:name="_Toc474860359"/>
      <w:bookmarkStart w:id="290" w:name="_Toc474860545"/>
      <w:bookmarkStart w:id="291" w:name="_Toc474860611"/>
      <w:bookmarkStart w:id="292" w:name="_Toc474860754"/>
      <w:bookmarkStart w:id="293" w:name="_Toc474946543"/>
      <w:r>
        <w:t>Server Based Routing</w:t>
      </w:r>
      <w:bookmarkEnd w:id="279"/>
      <w:bookmarkEnd w:id="280"/>
      <w:bookmarkEnd w:id="281"/>
      <w:bookmarkEnd w:id="282"/>
      <w:bookmarkEnd w:id="285"/>
      <w:bookmarkEnd w:id="286"/>
      <w:bookmarkEnd w:id="287"/>
      <w:bookmarkEnd w:id="288"/>
      <w:bookmarkEnd w:id="289"/>
      <w:bookmarkEnd w:id="290"/>
      <w:bookmarkEnd w:id="291"/>
      <w:bookmarkEnd w:id="292"/>
      <w:bookmarkEnd w:id="293"/>
      <w:r>
        <w:t xml:space="preserve"> </w:t>
      </w:r>
      <w:bookmarkEnd w:id="283"/>
      <w:bookmarkEnd w:id="284"/>
    </w:p>
    <w:p w:rsidR="00134604" w:rsidRDefault="00134604" w:rsidP="00134604">
      <w:pPr>
        <w:pStyle w:val="ParaNum"/>
        <w:widowControl/>
      </w:pPr>
      <w:r w:rsidRPr="00B70E3C">
        <w:t xml:space="preserve">In </w:t>
      </w:r>
      <w:r w:rsidRPr="00431962">
        <w:t xml:space="preserve">this Order, </w:t>
      </w:r>
      <w:r>
        <w:t>pursuant to section 1.117 of the Commission’s rules,</w:t>
      </w:r>
      <w:r>
        <w:rPr>
          <w:rStyle w:val="FootnoteReference"/>
        </w:rPr>
        <w:footnoteReference w:id="308"/>
      </w:r>
      <w:r>
        <w:t xml:space="preserve"> </w:t>
      </w:r>
      <w:r w:rsidRPr="00431962">
        <w:t xml:space="preserve">on the Commission’s own motion, </w:t>
      </w:r>
      <w:r>
        <w:t xml:space="preserve">and after our review, </w:t>
      </w:r>
      <w:r w:rsidRPr="00431962">
        <w:t xml:space="preserve">we </w:t>
      </w:r>
      <w:r>
        <w:t xml:space="preserve">set aside </w:t>
      </w:r>
      <w:r w:rsidRPr="00431962">
        <w:t>the effectiveness, in part, of the report and order issued by CGB in January 2017, in which CGB incorporated certain technical standards on VRS interoperability into the Commission’s TRS rules,</w:t>
      </w:r>
      <w:r w:rsidRPr="00C103F0">
        <w:rPr>
          <w:rStyle w:val="FootnoteReference"/>
        </w:rPr>
        <w:footnoteReference w:id="309"/>
      </w:r>
      <w:r w:rsidRPr="00431962">
        <w:t xml:space="preserve"> pending the Commission’s consideration of the accompanying FNPRM.   </w:t>
      </w:r>
    </w:p>
    <w:p w:rsidR="00134604" w:rsidRDefault="00134604" w:rsidP="00134604">
      <w:pPr>
        <w:pStyle w:val="ParaNum"/>
        <w:widowControl/>
      </w:pPr>
      <w:r w:rsidRPr="00431962">
        <w:t>One of those standards, the VRS Provider Interoperability Profile, which was developed by a voluntary consensus standards organization, with input from the Commission’s staff, provides for the routing of inter-provider VRS and point-to-point video calls to a server of the terminating VRS provider that serves multiple VRS users and devices, rather than directly to a specific device.  The technical standard thus specifies the inclusion of call routing information in the TRS Numbering Directory that contains, in addition to the call recipient’s telephone number, a VRS provider domain name, rather than a user-specific IP address.</w:t>
      </w:r>
      <w:r w:rsidRPr="00C103F0">
        <w:rPr>
          <w:rStyle w:val="FootnoteReference"/>
        </w:rPr>
        <w:footnoteReference w:id="310"/>
      </w:r>
      <w:r w:rsidRPr="00431962">
        <w:t xml:space="preserve">  However, section 64.613(a) of the Commission’s rules currently requires that the URI for a VRS user’s telephone number “shall contain the IP address of the user’s device.”</w:t>
      </w:r>
      <w:r w:rsidRPr="00C103F0">
        <w:rPr>
          <w:rStyle w:val="FootnoteReference"/>
        </w:rPr>
        <w:footnoteReference w:id="311"/>
      </w:r>
      <w:r w:rsidRPr="00431962">
        <w:t xml:space="preserve">  Thus, </w:t>
      </w:r>
      <w:r>
        <w:t xml:space="preserve">after our review of the </w:t>
      </w:r>
      <w:r w:rsidRPr="002833CD">
        <w:rPr>
          <w:i/>
          <w:iCs/>
          <w:kern w:val="0"/>
        </w:rPr>
        <w:t>CGB 2017 R&amp;O</w:t>
      </w:r>
      <w:r>
        <w:t xml:space="preserve">, we have determined that </w:t>
      </w:r>
      <w:r w:rsidRPr="00431962">
        <w:t>until the Commission acts on the accompanying FNPRM, which proposes to amend</w:t>
      </w:r>
      <w:r w:rsidRPr="00431962" w:rsidDel="003B049D">
        <w:t xml:space="preserve"> </w:t>
      </w:r>
      <w:r w:rsidRPr="00431962">
        <w:t>section 64.613 to allow such server-based routing, that provision of the rules does not authorize VRS providers to provide to and retrieve from the TRS Numbering Directory the routing information specified by the VRS Interoperability Profile.</w:t>
      </w:r>
    </w:p>
    <w:p w:rsidR="00134604" w:rsidRDefault="00134604" w:rsidP="00134604">
      <w:pPr>
        <w:pStyle w:val="ParaNum"/>
        <w:widowControl/>
      </w:pPr>
      <w:r w:rsidRPr="00431962">
        <w:t xml:space="preserve">The </w:t>
      </w:r>
      <w:r w:rsidRPr="00C939E2">
        <w:rPr>
          <w:i/>
          <w:iCs/>
          <w:kern w:val="0"/>
        </w:rPr>
        <w:t>CGB 2017 R&amp;O</w:t>
      </w:r>
      <w:r w:rsidRPr="00431962">
        <w:t xml:space="preserve"> sets a deadline for compliance with the VRS Interoperability Profile that is 120 days after publication of the </w:t>
      </w:r>
      <w:r w:rsidRPr="00C939E2">
        <w:rPr>
          <w:i/>
          <w:iCs/>
          <w:kern w:val="0"/>
        </w:rPr>
        <w:t>CGB 2017 R&amp;O</w:t>
      </w:r>
      <w:r w:rsidRPr="00431962">
        <w:t xml:space="preserve"> in the Federal Register.  </w:t>
      </w:r>
      <w:r>
        <w:t>T</w:t>
      </w:r>
      <w:r w:rsidRPr="00431962">
        <w:t>o avoid the possibility of subjecting VRS providers to conflicting obligations pending action on the accompanying FNPRM proposing to amend section 64.613(a), we s</w:t>
      </w:r>
      <w:r>
        <w:t>et aside</w:t>
      </w:r>
      <w:r w:rsidRPr="00431962">
        <w:t xml:space="preserve"> on our own motion the effectiveness of the </w:t>
      </w:r>
      <w:r w:rsidRPr="00C939E2">
        <w:rPr>
          <w:i/>
          <w:iCs/>
          <w:kern w:val="0"/>
        </w:rPr>
        <w:t xml:space="preserve">CGB 2017 R&amp;O </w:t>
      </w:r>
      <w:r w:rsidRPr="0005788A">
        <w:rPr>
          <w:iCs/>
        </w:rPr>
        <w:t>with respect to the deadline set for compliance with the VRS Interoperability Profile</w:t>
      </w:r>
      <w:r w:rsidRPr="00431962">
        <w:t>.</w:t>
      </w:r>
      <w:r w:rsidRPr="00C103F0">
        <w:rPr>
          <w:rStyle w:val="FootnoteReference"/>
        </w:rPr>
        <w:footnoteReference w:id="312"/>
      </w:r>
    </w:p>
    <w:p w:rsidR="00134604" w:rsidRPr="009777A9" w:rsidRDefault="00134604" w:rsidP="00134604">
      <w:pPr>
        <w:pStyle w:val="Heading1"/>
      </w:pPr>
      <w:bookmarkStart w:id="294" w:name="_Toc475724468"/>
      <w:bookmarkStart w:id="295" w:name="_Toc475724800"/>
      <w:bookmarkStart w:id="296" w:name="_Toc476077829"/>
      <w:bookmarkStart w:id="297" w:name="_Toc477963689"/>
      <w:r w:rsidRPr="00713EFA">
        <w:t>PROCEDURAL ISSUES</w:t>
      </w:r>
      <w:bookmarkEnd w:id="294"/>
      <w:bookmarkEnd w:id="295"/>
      <w:bookmarkEnd w:id="296"/>
      <w:bookmarkEnd w:id="297"/>
    </w:p>
    <w:p w:rsidR="00134604" w:rsidRPr="00713EFA" w:rsidRDefault="00134604" w:rsidP="00134604">
      <w:pPr>
        <w:pStyle w:val="Heading2"/>
      </w:pPr>
      <w:bookmarkStart w:id="298" w:name="_Toc337549329"/>
      <w:bookmarkStart w:id="299" w:name="_Toc337549370"/>
      <w:bookmarkStart w:id="300" w:name="_Toc339461406"/>
      <w:bookmarkStart w:id="301" w:name="_Toc343086649"/>
      <w:bookmarkStart w:id="302" w:name="_Toc354561810"/>
      <w:bookmarkStart w:id="303" w:name="_Toc354567518"/>
      <w:bookmarkStart w:id="304" w:name="_Toc358122679"/>
      <w:bookmarkStart w:id="305" w:name="_Toc358124814"/>
      <w:bookmarkStart w:id="306" w:name="_Toc358125378"/>
      <w:bookmarkStart w:id="307" w:name="_Toc358128668"/>
      <w:bookmarkStart w:id="308" w:name="_Toc358130603"/>
      <w:bookmarkStart w:id="309" w:name="_Toc358130708"/>
      <w:bookmarkStart w:id="310" w:name="_Toc358131391"/>
      <w:bookmarkStart w:id="311" w:name="_Toc475724469"/>
      <w:bookmarkStart w:id="312" w:name="_Toc475724801"/>
      <w:bookmarkStart w:id="313" w:name="_Toc476077830"/>
      <w:bookmarkStart w:id="314" w:name="_Toc477963690"/>
      <w:r w:rsidRPr="00713EFA">
        <w:t>Regulatory Flexibility Analysis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134604" w:rsidRPr="00713EFA" w:rsidRDefault="00134604" w:rsidP="00134604">
      <w:pPr>
        <w:pStyle w:val="ParaNum"/>
        <w:widowControl/>
      </w:pPr>
      <w:r w:rsidRPr="00713EFA">
        <w:rPr>
          <w:i/>
        </w:rPr>
        <w:t xml:space="preserve">Final Regulatory Flexibility Analysis. </w:t>
      </w:r>
      <w:r w:rsidRPr="00713EFA">
        <w:t xml:space="preserve"> As required by the Regulatory Flexibility Act of 1980, as amended (RFA),</w:t>
      </w:r>
      <w:r w:rsidRPr="00C939E2">
        <w:rPr>
          <w:rStyle w:val="FootnoteReference"/>
        </w:rPr>
        <w:footnoteReference w:id="313"/>
      </w:r>
      <w:r w:rsidRPr="00713EFA">
        <w:t xml:space="preserve"> the Commission has prepared a Final Regulatory Flexibility Analysis (FRFA) relating to this Report and Order.  The FRFA is set forth in Appendix </w:t>
      </w:r>
      <w:r w:rsidRPr="00CB7AF0">
        <w:t>D</w:t>
      </w:r>
      <w:r w:rsidRPr="00713EFA">
        <w:t>.</w:t>
      </w:r>
    </w:p>
    <w:p w:rsidR="00134604" w:rsidRDefault="00134604" w:rsidP="00134604">
      <w:pPr>
        <w:pStyle w:val="ParaNum"/>
        <w:widowControl/>
      </w:pPr>
      <w:r w:rsidRPr="00713EFA">
        <w:rPr>
          <w:i/>
        </w:rPr>
        <w:t>Initial Regulatory Flexibility Analysis.</w:t>
      </w:r>
      <w:r w:rsidRPr="00713EFA">
        <w:t xml:space="preserve">  As required by the RFA, the Commission has prepared an Initial Regulatory Flexibility Analysis (IRFA) of the possible significant economic impact on small entities of the policies and rules addressed in this document.</w:t>
      </w:r>
      <w:r w:rsidRPr="00C939E2">
        <w:rPr>
          <w:rStyle w:val="FootnoteReference"/>
        </w:rPr>
        <w:footnoteReference w:id="314"/>
      </w:r>
      <w:r w:rsidRPr="00713EFA">
        <w:t xml:space="preserve">  The IRFA is set forth in Appendix </w:t>
      </w:r>
      <w:r>
        <w:t>E</w:t>
      </w:r>
      <w:r w:rsidRPr="00713EFA">
        <w:t xml:space="preserve">.  Written public comments are requested on this IRFA.  Comments must be identified as responses to the IRFA and must be filed by the deadlines for comments on the </w:t>
      </w:r>
      <w:r>
        <w:t>FNPRM</w:t>
      </w:r>
      <w:r w:rsidRPr="00713EFA">
        <w:t xml:space="preserve">.  The Commission will send a copy of the </w:t>
      </w:r>
      <w:r>
        <w:t>FNPRM</w:t>
      </w:r>
      <w:r w:rsidRPr="00713EFA">
        <w:t>, including th</w:t>
      </w:r>
      <w:r>
        <w:t>e</w:t>
      </w:r>
      <w:r w:rsidRPr="00713EFA">
        <w:t xml:space="preserve"> IRFA, to the Chief Counsel for Advocacy of the Small Business Administration.</w:t>
      </w:r>
      <w:r w:rsidRPr="00C939E2">
        <w:rPr>
          <w:rStyle w:val="FootnoteReference"/>
        </w:rPr>
        <w:footnoteReference w:id="315"/>
      </w:r>
      <w:r w:rsidRPr="00713EFA">
        <w:t xml:space="preserve">  In addition, the FNPRM and IRFA (or summaries thereof) will be published in the </w:t>
      </w:r>
      <w:r w:rsidRPr="0042343A">
        <w:rPr>
          <w:i/>
        </w:rPr>
        <w:t>Federal Register</w:t>
      </w:r>
      <w:r w:rsidRPr="00713EFA">
        <w:t>.</w:t>
      </w:r>
      <w:r w:rsidRPr="00C939E2">
        <w:rPr>
          <w:rStyle w:val="FootnoteReference"/>
        </w:rPr>
        <w:footnoteReference w:id="316"/>
      </w:r>
      <w:r w:rsidRPr="00713EFA">
        <w:t xml:space="preserve">  </w:t>
      </w:r>
    </w:p>
    <w:p w:rsidR="00134604" w:rsidRPr="00713EFA" w:rsidRDefault="00134604" w:rsidP="00134604">
      <w:pPr>
        <w:pStyle w:val="Heading2"/>
      </w:pPr>
      <w:bookmarkStart w:id="315" w:name="_Toc475724470"/>
      <w:bookmarkStart w:id="316" w:name="_Toc475724802"/>
      <w:bookmarkStart w:id="317" w:name="_Toc476077831"/>
      <w:bookmarkStart w:id="318" w:name="_Toc477963691"/>
      <w:r w:rsidRPr="00713EFA">
        <w:t>Paperwork Reduction Act Analysis</w:t>
      </w:r>
      <w:bookmarkEnd w:id="315"/>
      <w:bookmarkEnd w:id="316"/>
      <w:bookmarkEnd w:id="317"/>
      <w:bookmarkEnd w:id="318"/>
    </w:p>
    <w:p w:rsidR="00134604" w:rsidRDefault="00134604" w:rsidP="00134604">
      <w:pPr>
        <w:pStyle w:val="ParaNum"/>
        <w:widowControl/>
      </w:pPr>
      <w:r>
        <w:t>The Report and Order adopts new information collection requirements subject to the Paperwork Reduction Act of 1995 (PRA).</w:t>
      </w:r>
      <w:r>
        <w:rPr>
          <w:rStyle w:val="FootnoteReference"/>
        </w:rPr>
        <w:footnoteReference w:id="317"/>
      </w:r>
      <w:r>
        <w:t xml:space="preserve"> The new information collection requirements will be submitted to the Office of Management and Budget (OMB) for review under section 3507(d) of the PRA.</w:t>
      </w:r>
      <w:r>
        <w:rPr>
          <w:rStyle w:val="FootnoteReference"/>
        </w:rPr>
        <w:footnoteReference w:id="318"/>
      </w:r>
      <w:r>
        <w:t xml:space="preserve">  OMB, the general public, and other Federal agencies are invited to comment on the new information collection requirements contained in this proceeding.  In addition, we note that, pursuant to the Small Business Paperwork Relief Act of 2002,</w:t>
      </w:r>
      <w:r>
        <w:rPr>
          <w:rStyle w:val="FootnoteReference"/>
        </w:rPr>
        <w:footnoteReference w:id="319"/>
      </w:r>
      <w:r>
        <w:t xml:space="preserve"> the Commission previously sought comment on how the Commission might further reduce the information collection burden for small business concerns with fewer than 25 employees.</w:t>
      </w:r>
      <w:r>
        <w:rPr>
          <w:rStyle w:val="FootnoteReference"/>
        </w:rPr>
        <w:footnoteReference w:id="320"/>
      </w:r>
    </w:p>
    <w:p w:rsidR="00134604" w:rsidRPr="00713EFA" w:rsidRDefault="00134604" w:rsidP="00134604">
      <w:pPr>
        <w:pStyle w:val="ParaNum"/>
        <w:widowControl/>
      </w:pPr>
      <w:r>
        <w:t xml:space="preserve">The </w:t>
      </w:r>
      <w:r>
        <w:rPr>
          <w:iCs/>
        </w:rPr>
        <w:t>FNPRM</w:t>
      </w:r>
      <w:r>
        <w:rPr>
          <w:i/>
          <w:iCs/>
        </w:rPr>
        <w:t xml:space="preserve"> </w:t>
      </w:r>
      <w:r>
        <w:t xml:space="preserve">seeks comment on proposed rule amendments that may result in new or modified information collection requirements.  If the Commission adopts any new or modified information collection requirements, the Commission will publish another notice in the </w:t>
      </w:r>
      <w:r>
        <w:rPr>
          <w:i/>
          <w:iCs/>
        </w:rPr>
        <w:t xml:space="preserve">Federal Register </w:t>
      </w:r>
      <w:r>
        <w:t>inviting the public to comment on the requirements, as required by the PRA.</w:t>
      </w:r>
      <w:r>
        <w:rPr>
          <w:rStyle w:val="FootnoteReference"/>
        </w:rPr>
        <w:footnoteReference w:id="321"/>
      </w:r>
      <w:r>
        <w:t xml:space="preserve">  In addition, pursuant to the Small Business Paperwork Relief Act of 2002,</w:t>
      </w:r>
      <w:r>
        <w:rPr>
          <w:rStyle w:val="FootnoteReference"/>
        </w:rPr>
        <w:footnoteReference w:id="322"/>
      </w:r>
      <w:r>
        <w:t xml:space="preserve"> we seek specific comment on how we might further reduce the information collection burden for small business concerns with fewer than 25 employees.</w:t>
      </w:r>
    </w:p>
    <w:p w:rsidR="00134604" w:rsidRPr="00713EFA" w:rsidRDefault="00134604" w:rsidP="00134604">
      <w:pPr>
        <w:pStyle w:val="Heading2"/>
      </w:pPr>
      <w:bookmarkStart w:id="319" w:name="_Toc475724471"/>
      <w:bookmarkStart w:id="320" w:name="_Toc475724803"/>
      <w:bookmarkStart w:id="321" w:name="_Toc476077832"/>
      <w:bookmarkStart w:id="322" w:name="_Toc477963692"/>
      <w:r w:rsidRPr="00713EFA">
        <w:t>Comments</w:t>
      </w:r>
      <w:bookmarkEnd w:id="319"/>
      <w:bookmarkEnd w:id="320"/>
      <w:bookmarkEnd w:id="321"/>
      <w:bookmarkEnd w:id="322"/>
    </w:p>
    <w:p w:rsidR="00134604" w:rsidRPr="00713EFA" w:rsidRDefault="00134604" w:rsidP="00134604">
      <w:pPr>
        <w:pStyle w:val="ParaNum"/>
        <w:widowControl/>
      </w:pPr>
      <w:r w:rsidRPr="00713EFA">
        <w:rPr>
          <w:i/>
          <w:iCs/>
        </w:rPr>
        <w:t>Comments.</w:t>
      </w:r>
      <w:r w:rsidRPr="00713EFA">
        <w:t xml:space="preserve">  Pursuant to sections 1.415 and 1.419 of the Commission’s rules, 47 CFR §§ 1.415, 1.419, interested parties may file comments on or before the dates indicated on the first page of this document.  Comments may be filed using the Commission’s Electronic Comment Filing System (ECFS).  </w:t>
      </w:r>
      <w:r w:rsidRPr="00713EFA">
        <w:rPr>
          <w:i/>
          <w:iCs/>
        </w:rPr>
        <w:t>See Electronic Filing of Documents in Rulemaking Proceedings</w:t>
      </w:r>
      <w:r w:rsidRPr="00713EFA">
        <w:t xml:space="preserve">, 63 FR 24121 (1998). </w:t>
      </w:r>
      <w:r>
        <w:t xml:space="preserve"> Section 1.415(b) of the Commission’s rules </w:t>
      </w:r>
      <w:r w:rsidRPr="002D18F6">
        <w:t xml:space="preserve">does not establish a minimum time period for the Commission to receive comments on proposed rules.  Rather, the rule </w:t>
      </w:r>
      <w:r>
        <w:t>states that a “reasonable time will be provided for submission of comments.”</w:t>
      </w:r>
      <w:r>
        <w:rPr>
          <w:rStyle w:val="FootnoteReference"/>
        </w:rPr>
        <w:footnoteReference w:id="323"/>
      </w:r>
      <w:r>
        <w:t xml:space="preserve">  In this proceeding, because the effectiveness of the current compensation rates for VRS providers expires on June 30, 2017,</w:t>
      </w:r>
      <w:r>
        <w:rPr>
          <w:rStyle w:val="FootnoteReference"/>
        </w:rPr>
        <w:footnoteReference w:id="324"/>
      </w:r>
      <w:r>
        <w:t xml:space="preserve">  we find that the public interest weighs in favor of avoiding confusion regarding applicable VRS compensation rates after June 30, 2017.  In order to enable the Commission to take action on this rate matter before the VRS rate expiration date, the Commission is setting April 24, 2017, as the deadline for filing comments, and May 4, 2017, as the deadline for filing reply comments.</w:t>
      </w:r>
      <w:r>
        <w:rPr>
          <w:rStyle w:val="FootnoteReference"/>
        </w:rPr>
        <w:footnoteReference w:id="325"/>
      </w:r>
      <w:r>
        <w:t xml:space="preserve">  In addition</w:t>
      </w:r>
      <w:r w:rsidRPr="005E0A7F">
        <w:t xml:space="preserve">, </w:t>
      </w:r>
      <w:r>
        <w:t>because the proposed rule amendment</w:t>
      </w:r>
      <w:r w:rsidRPr="005E0A7F">
        <w:t xml:space="preserve"> </w:t>
      </w:r>
      <w:r>
        <w:t>on</w:t>
      </w:r>
      <w:r w:rsidRPr="005E0A7F">
        <w:t xml:space="preserve"> server-based routing </w:t>
      </w:r>
      <w:r>
        <w:t xml:space="preserve">and the request for comment on including research and development in the TRS budget appear to be non-controversial, and because the former </w:t>
      </w:r>
      <w:r w:rsidRPr="005E0A7F">
        <w:t xml:space="preserve">is a prerequisite to </w:t>
      </w:r>
      <w:r>
        <w:t>implementing</w:t>
      </w:r>
      <w:r w:rsidRPr="005E0A7F">
        <w:t xml:space="preserve"> </w:t>
      </w:r>
      <w:r>
        <w:t xml:space="preserve">a recently adopted </w:t>
      </w:r>
      <w:r w:rsidRPr="005E0A7F">
        <w:t>interoperability standard</w:t>
      </w:r>
      <w:r>
        <w:t>, while the latter may affect the determination of the TRS Fund revenue requirement and contribution factor for the 2017-18 Fund Year, we apply the same comment deadlines to those matters</w:t>
      </w:r>
      <w:r w:rsidRPr="005E0A7F">
        <w:t>.</w:t>
      </w:r>
      <w:r w:rsidRPr="005E0A7F">
        <w:rPr>
          <w:vertAlign w:val="superscript"/>
        </w:rPr>
        <w:footnoteReference w:id="326"/>
      </w:r>
      <w:r w:rsidRPr="005E0A7F">
        <w:t xml:space="preserve">  </w:t>
      </w:r>
    </w:p>
    <w:p w:rsidR="00134604" w:rsidRPr="00713EFA" w:rsidRDefault="00134604" w:rsidP="00134604">
      <w:pPr>
        <w:numPr>
          <w:ilvl w:val="0"/>
          <w:numId w:val="14"/>
        </w:numPr>
        <w:ind w:left="1080"/>
        <w:contextualSpacing/>
        <w:rPr>
          <w:snapToGrid/>
        </w:rPr>
      </w:pPr>
      <w:r w:rsidRPr="00713EFA">
        <w:rPr>
          <w:snapToGrid/>
        </w:rPr>
        <w:t xml:space="preserve">Electronic Filers:  Comments may be filed electronically using the Internet by accessing the ECFS:  </w:t>
      </w:r>
      <w:hyperlink r:id="rId8" w:history="1">
        <w:r w:rsidRPr="00713EFA">
          <w:rPr>
            <w:snapToGrid/>
            <w:color w:val="0000FF"/>
            <w:u w:val="single"/>
          </w:rPr>
          <w:t>http://fjallfoss.fcc.gov/ecfs2/</w:t>
        </w:r>
      </w:hyperlink>
      <w:r w:rsidRPr="00713EFA">
        <w:rPr>
          <w:snapToGrid/>
        </w:rPr>
        <w:t xml:space="preserve">.  </w:t>
      </w:r>
    </w:p>
    <w:p w:rsidR="00134604" w:rsidRDefault="00134604" w:rsidP="00134604">
      <w:pPr>
        <w:numPr>
          <w:ilvl w:val="0"/>
          <w:numId w:val="14"/>
        </w:numPr>
        <w:ind w:left="1080"/>
        <w:contextualSpacing/>
        <w:rPr>
          <w:snapToGrid/>
        </w:rPr>
      </w:pPr>
      <w:r w:rsidRPr="00713EFA">
        <w:rPr>
          <w:snapToGrid/>
        </w:rP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134604" w:rsidRPr="00713EFA" w:rsidRDefault="00134604" w:rsidP="00134604">
      <w:pPr>
        <w:ind w:left="1080"/>
        <w:contextualSpacing/>
        <w:rPr>
          <w:snapToGrid/>
        </w:rPr>
      </w:pPr>
    </w:p>
    <w:p w:rsidR="00134604" w:rsidRDefault="00134604" w:rsidP="00134604">
      <w:pPr>
        <w:ind w:left="1080"/>
      </w:pPr>
      <w:r w:rsidRPr="00713EFA">
        <w:t>Filings can be sent by hand or messenger delivery, by commercial overnight courier, or by first-class or overnight U.S. Postal Service mail.  All filings must be addressed to the Commission’s Secretary, Office of the Secretary, Federal Communications Commission.</w:t>
      </w:r>
    </w:p>
    <w:p w:rsidR="00134604" w:rsidRPr="00713EFA" w:rsidRDefault="00134604" w:rsidP="00134604">
      <w:pPr>
        <w:ind w:left="1080"/>
      </w:pPr>
    </w:p>
    <w:p w:rsidR="00134604" w:rsidRPr="00713EFA" w:rsidRDefault="00134604" w:rsidP="00134604">
      <w:pPr>
        <w:numPr>
          <w:ilvl w:val="0"/>
          <w:numId w:val="8"/>
        </w:numPr>
      </w:pPr>
      <w:r w:rsidRPr="00713EFA">
        <w:t>All hand-delivered or messenger-delivered paper filings for the Commission’s Secretary must be delivered to FCC Headquarters at 445 12</w:t>
      </w:r>
      <w:r w:rsidRPr="00713EFA">
        <w:rPr>
          <w:vertAlign w:val="superscript"/>
        </w:rPr>
        <w:t>th</w:t>
      </w:r>
      <w:r w:rsidRPr="00713EFA">
        <w:t xml:space="preserve"> St., SW, Room TW-A325, Washington, DC 20554.  The filing hours are 8:00 a.m. to 7:00 p.m.  All hand deliveries must be held together with rubber bands or fasteners.  Any envelopes and boxes must be disposed of </w:t>
      </w:r>
      <w:r w:rsidRPr="00713EFA">
        <w:rPr>
          <w:u w:val="single"/>
        </w:rPr>
        <w:t>before</w:t>
      </w:r>
      <w:r w:rsidRPr="00713EFA">
        <w:t xml:space="preserve"> entering the building.  </w:t>
      </w:r>
    </w:p>
    <w:p w:rsidR="00134604" w:rsidRPr="00713EFA" w:rsidRDefault="00134604" w:rsidP="00134604">
      <w:pPr>
        <w:numPr>
          <w:ilvl w:val="0"/>
          <w:numId w:val="8"/>
        </w:numPr>
      </w:pPr>
      <w:r w:rsidRPr="00713EFA">
        <w:t>Commercial overnight mail (other than U.S. Postal Service Express Mail and Priority Mail) must be sent to 9300 East Hampton Drive, Capitol Heights, MD 20743.</w:t>
      </w:r>
    </w:p>
    <w:p w:rsidR="00134604" w:rsidRPr="00713EFA" w:rsidRDefault="00134604" w:rsidP="00134604">
      <w:pPr>
        <w:numPr>
          <w:ilvl w:val="0"/>
          <w:numId w:val="8"/>
        </w:numPr>
        <w:spacing w:after="120"/>
      </w:pPr>
      <w:r w:rsidRPr="00713EFA">
        <w:t>U.S. Postal Service first-class, Express, and Priority mail must be addressed to 445 12</w:t>
      </w:r>
      <w:r w:rsidRPr="00713EFA">
        <w:rPr>
          <w:vertAlign w:val="superscript"/>
        </w:rPr>
        <w:t>th</w:t>
      </w:r>
      <w:r w:rsidRPr="00713EFA">
        <w:t xml:space="preserve"> Street, SW, Washington</w:t>
      </w:r>
      <w:r>
        <w:t>,</w:t>
      </w:r>
      <w:r w:rsidRPr="00713EFA">
        <w:t xml:space="preserve"> DC 20554.</w:t>
      </w:r>
    </w:p>
    <w:p w:rsidR="00134604" w:rsidRPr="00713EFA" w:rsidRDefault="00134604" w:rsidP="00134604">
      <w:pPr>
        <w:pStyle w:val="ParaNum"/>
        <w:widowControl/>
      </w:pPr>
      <w:r w:rsidRPr="00713EFA">
        <w:rPr>
          <w:i/>
        </w:rPr>
        <w:t>People with Disabilities</w:t>
      </w:r>
      <w:r w:rsidRPr="00713EFA">
        <w:t>:  To request materials in accessible formats for people with disabilities (Braille, large print, electronic files, audio format), send an e-mail to fcc504@fcc.gov or call the Consumer &amp; Governmental Affairs Bureau at 202-418-0530 (voice), 202-418-0432 (tty).</w:t>
      </w:r>
    </w:p>
    <w:p w:rsidR="00134604" w:rsidRPr="00713EFA" w:rsidRDefault="00134604" w:rsidP="00134604">
      <w:pPr>
        <w:pStyle w:val="ParaNum"/>
        <w:widowControl/>
      </w:pPr>
      <w:r w:rsidRPr="00713EFA">
        <w:rPr>
          <w:i/>
          <w:iCs/>
        </w:rPr>
        <w:t>Ex Parte Rules.</w:t>
      </w:r>
      <w:r w:rsidRPr="00713EFA">
        <w:t xml:space="preserve">  The proceeding this FNPRM initiates shall be treated as a “permit-but-disclose” proceeding in accordance with the Commission’s </w:t>
      </w:r>
      <w:r w:rsidRPr="00713EFA">
        <w:rPr>
          <w:i/>
          <w:iCs/>
        </w:rPr>
        <w:t xml:space="preserve">ex parte </w:t>
      </w:r>
      <w:r w:rsidRPr="00713EFA">
        <w:t>rules.</w:t>
      </w:r>
      <w:r w:rsidRPr="00C939E2">
        <w:rPr>
          <w:rStyle w:val="FootnoteReference"/>
        </w:rPr>
        <w:footnoteReference w:id="327"/>
      </w:r>
      <w:r w:rsidRPr="00713EFA">
        <w:t xml:space="preserve">  Persons making </w:t>
      </w:r>
      <w:r w:rsidRPr="00713EFA">
        <w:rPr>
          <w:i/>
          <w:iCs/>
        </w:rPr>
        <w:t xml:space="preserve">ex parte </w:t>
      </w:r>
      <w:r w:rsidRPr="00713EFA">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713EFA">
        <w:rPr>
          <w:i/>
          <w:iCs/>
        </w:rPr>
        <w:t xml:space="preserve">ex parte </w:t>
      </w:r>
      <w:r w:rsidRPr="00713EFA">
        <w:t xml:space="preserve">presentations are reminded that memoranda summarizing the presentation must (1) list all persons attending or otherwise participating in the meeting at which the </w:t>
      </w:r>
      <w:r w:rsidRPr="00713EFA">
        <w:rPr>
          <w:i/>
          <w:iCs/>
        </w:rPr>
        <w:t xml:space="preserve">ex parte </w:t>
      </w:r>
      <w:r w:rsidRPr="00713EFA">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713EFA">
        <w:rPr>
          <w:i/>
          <w:iCs/>
        </w:rPr>
        <w:t xml:space="preserve">ex parte </w:t>
      </w:r>
      <w:r w:rsidRPr="00713EFA">
        <w:t xml:space="preserve">meetings are deemed to be written </w:t>
      </w:r>
      <w:r w:rsidRPr="00713EFA">
        <w:rPr>
          <w:i/>
          <w:iCs/>
        </w:rPr>
        <w:t>ex parte</w:t>
      </w:r>
      <w:r w:rsidRPr="00713EFA">
        <w:t xml:space="preserve"> presentations and must be filed consistent with rule 1.1206(b).  In proceedings governed by rule 1.49(f) or for which the Commission has made available a method of electronic filing, written </w:t>
      </w:r>
      <w:r w:rsidRPr="00713EFA">
        <w:rPr>
          <w:i/>
          <w:iCs/>
        </w:rPr>
        <w:t xml:space="preserve">ex parte </w:t>
      </w:r>
      <w:r w:rsidRPr="00713EFA">
        <w:t xml:space="preserve">presentations and memoranda summarizing oral </w:t>
      </w:r>
      <w:r w:rsidRPr="00713EFA">
        <w:rPr>
          <w:i/>
          <w:iCs/>
        </w:rPr>
        <w:t xml:space="preserve">ex parte </w:t>
      </w:r>
      <w:r w:rsidRPr="00713EFA">
        <w:t>presentations, and all attachments thereto, must be filed through the electronic comment filing system available for that proceeding, and must be filed in their native format (</w:t>
      </w:r>
      <w:r w:rsidRPr="00713EFA">
        <w:rPr>
          <w:i/>
          <w:iCs/>
        </w:rPr>
        <w:t>e.g.</w:t>
      </w:r>
      <w:r w:rsidRPr="00713EFA">
        <w:t xml:space="preserve">, .doc, .xml, .ppt, searchable .pdf).  Participants in this proceeding should familiarize themselves with the Commission’s </w:t>
      </w:r>
      <w:r w:rsidRPr="00713EFA">
        <w:rPr>
          <w:i/>
          <w:iCs/>
        </w:rPr>
        <w:t xml:space="preserve">ex parte </w:t>
      </w:r>
      <w:r w:rsidRPr="00713EFA">
        <w:t>rules.</w:t>
      </w:r>
    </w:p>
    <w:p w:rsidR="00134604" w:rsidRPr="00713EFA" w:rsidRDefault="00134604" w:rsidP="00134604">
      <w:pPr>
        <w:pStyle w:val="Heading1"/>
      </w:pPr>
      <w:bookmarkStart w:id="323" w:name="_Toc475724472"/>
      <w:bookmarkStart w:id="324" w:name="_Toc475724804"/>
      <w:bookmarkStart w:id="325" w:name="_Toc476077833"/>
      <w:bookmarkStart w:id="326" w:name="_Toc477963693"/>
      <w:bookmarkStart w:id="327" w:name="_Ref199744579"/>
      <w:r w:rsidRPr="00713EFA">
        <w:t>ORDERING CLAUSES</w:t>
      </w:r>
      <w:bookmarkEnd w:id="323"/>
      <w:bookmarkEnd w:id="324"/>
      <w:bookmarkEnd w:id="325"/>
      <w:bookmarkEnd w:id="326"/>
    </w:p>
    <w:bookmarkEnd w:id="327"/>
    <w:p w:rsidR="00134604" w:rsidRPr="00713EFA" w:rsidRDefault="00134604" w:rsidP="00134604">
      <w:pPr>
        <w:pStyle w:val="ParaNum"/>
        <w:widowControl/>
      </w:pPr>
      <w:r w:rsidRPr="00713EFA">
        <w:t>Accordingly, IT IS ORDERED that, pursuant to sections 1, 2, 225</w:t>
      </w:r>
      <w:r>
        <w:t>, and 251</w:t>
      </w:r>
      <w:r w:rsidRPr="00713EFA">
        <w:t xml:space="preserve"> of the Communications Act of 1934, as amended, 47 U.S.C. §§ 151, 152, 225, </w:t>
      </w:r>
      <w:r>
        <w:t xml:space="preserve">and 251, </w:t>
      </w:r>
      <w:r w:rsidRPr="00713EFA">
        <w:t>th</w:t>
      </w:r>
      <w:r>
        <w:t>e foregoing</w:t>
      </w:r>
      <w:r w:rsidRPr="00713EFA">
        <w:t xml:space="preserve"> Report and Order</w:t>
      </w:r>
      <w:r>
        <w:t>, Notice of Inquiry,</w:t>
      </w:r>
      <w:r w:rsidRPr="00713EFA">
        <w:t xml:space="preserve"> Further Notice of Proposed Rulemaking</w:t>
      </w:r>
      <w:r>
        <w:t>, Declaratory Ruling, and Order</w:t>
      </w:r>
      <w:r w:rsidRPr="00713EFA">
        <w:t xml:space="preserve"> </w:t>
      </w:r>
      <w:r>
        <w:t>ARE</w:t>
      </w:r>
      <w:r w:rsidRPr="00713EFA">
        <w:t xml:space="preserve"> ADOPTED,</w:t>
      </w:r>
      <w:r w:rsidRPr="008762E7">
        <w:t xml:space="preserve"> </w:t>
      </w:r>
      <w:r w:rsidRPr="00713EFA">
        <w:t xml:space="preserve">and the Commission’s rules are hereby AMENDED as set forth in Appendix B. </w:t>
      </w:r>
    </w:p>
    <w:p w:rsidR="00134604" w:rsidRPr="00134604" w:rsidRDefault="00134604" w:rsidP="00134604">
      <w:pPr>
        <w:pStyle w:val="ParaNum"/>
        <w:widowControl/>
        <w:rPr>
          <w:rFonts w:eastAsia="Calibri"/>
          <w:snapToGrid/>
        </w:rPr>
      </w:pPr>
      <w:r w:rsidRPr="00713EFA">
        <w:t>IT IS FURTHER ORDERED</w:t>
      </w:r>
      <w:r w:rsidRPr="00134604">
        <w:rPr>
          <w:rFonts w:eastAsia="Calibri"/>
          <w:snapToGrid/>
        </w:rPr>
        <w:t xml:space="preserve"> that this Report and Order SHALL BE EFFECTIVE 30 days after publication of a summary in the Federal Register, except as otherwise specified.</w:t>
      </w:r>
    </w:p>
    <w:p w:rsidR="00134604" w:rsidRPr="008762E7" w:rsidRDefault="00134604" w:rsidP="00134604">
      <w:pPr>
        <w:pStyle w:val="ParaNum"/>
        <w:widowControl/>
      </w:pPr>
      <w:r>
        <w:t xml:space="preserve">IT IS FURTHER ORDERED that any rule amendments that contain new or modified information collection requirements SHALL BE EFFECTIVE on the date specified in a notice published in the </w:t>
      </w:r>
      <w:r>
        <w:rPr>
          <w:i/>
        </w:rPr>
        <w:t>Federal Register</w:t>
      </w:r>
      <w:r>
        <w:t xml:space="preserve"> announcing Office of Management and Budget approval of the information collection requirements of such rules pursuant to the Paperwork Reduction Act.</w:t>
      </w:r>
    </w:p>
    <w:p w:rsidR="00C254BF" w:rsidRDefault="00134604" w:rsidP="00134604">
      <w:pPr>
        <w:pStyle w:val="ParaNum"/>
        <w:widowControl/>
      </w:pPr>
      <w:r w:rsidRPr="00713EFA">
        <w:t>IT IS FURTHER ORDERED that the Commission SHALL SEND a copy of th</w:t>
      </w:r>
      <w:r>
        <w:t>e</w:t>
      </w:r>
      <w:r w:rsidRPr="00713EFA">
        <w:t xml:space="preserve"> </w:t>
      </w:r>
      <w:r w:rsidRPr="008762E7">
        <w:t>Report and Order</w:t>
      </w:r>
      <w:r>
        <w:t xml:space="preserve"> and</w:t>
      </w:r>
      <w:r w:rsidRPr="008762E7">
        <w:t xml:space="preserve"> Further Notice of Proposed Rulemaking </w:t>
      </w:r>
      <w:r w:rsidRPr="00713EFA">
        <w:t>in a report to be sent to Congress and the Government Accountability Office pursuant to the Congressional Review Act, 5 U.S.C. § 801(a)(1)(A).</w:t>
      </w:r>
    </w:p>
    <w:p w:rsidR="00134604" w:rsidRPr="00713EFA" w:rsidRDefault="00C254BF" w:rsidP="00C254BF">
      <w:r>
        <w:br w:type="page"/>
      </w:r>
    </w:p>
    <w:p w:rsidR="00134604" w:rsidRDefault="00134604" w:rsidP="00134604">
      <w:pPr>
        <w:pStyle w:val="ParaNum"/>
        <w:widowControl/>
      </w:pPr>
      <w:r w:rsidRPr="00713EFA">
        <w:t>IT IS FURTHER ORDERED that the Commission’s Consumer and Governmental Affairs Bureau, Reference Information Center, SHALL SEND a copy of th</w:t>
      </w:r>
      <w:r>
        <w:t>e</w:t>
      </w:r>
      <w:r w:rsidRPr="00713EFA">
        <w:t xml:space="preserve"> Report and Order and </w:t>
      </w:r>
      <w:r>
        <w:t xml:space="preserve">Further </w:t>
      </w:r>
      <w:r w:rsidRPr="00713EFA">
        <w:t>Notice of Proposed Rulemaking, including the Final Regulatory Flexibility Analysis and the Initial Regulatory Flexibility Analysis, to the Chief Counsel for Advocacy of the Small Business Administration.</w:t>
      </w:r>
    </w:p>
    <w:p w:rsidR="00134604" w:rsidRPr="00713EFA" w:rsidRDefault="00134604" w:rsidP="00134604"/>
    <w:p w:rsidR="00134604" w:rsidRPr="003C7055" w:rsidRDefault="00134604" w:rsidP="00134604">
      <w:pPr>
        <w:ind w:left="4320"/>
      </w:pPr>
      <w:r w:rsidRPr="003C7055">
        <w:t>FEDERAL COMMUNICATIONS COMMISSION</w:t>
      </w:r>
    </w:p>
    <w:p w:rsidR="00134604" w:rsidRPr="003C7055" w:rsidRDefault="00134604" w:rsidP="00134604"/>
    <w:p w:rsidR="00134604" w:rsidRPr="003C7055" w:rsidRDefault="00134604" w:rsidP="00134604"/>
    <w:p w:rsidR="00134604" w:rsidRPr="003C7055" w:rsidRDefault="00134604" w:rsidP="00134604"/>
    <w:p w:rsidR="00134604" w:rsidRDefault="00134604" w:rsidP="00134604">
      <w:pPr>
        <w:ind w:left="4320"/>
      </w:pPr>
    </w:p>
    <w:p w:rsidR="00134604" w:rsidRDefault="00134604" w:rsidP="00134604">
      <w:pPr>
        <w:ind w:left="4320"/>
        <w:sectPr w:rsidR="00134604" w:rsidSect="008102E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720" w:left="1440" w:header="720" w:footer="720" w:gutter="0"/>
          <w:pgNumType w:start="1"/>
          <w:cols w:space="720"/>
          <w:noEndnote/>
          <w:titlePg/>
        </w:sectPr>
      </w:pPr>
      <w:r>
        <w:t>Marlene H. Dortch</w:t>
      </w:r>
      <w:r w:rsidRPr="003C7055">
        <w:br/>
      </w:r>
      <w:r>
        <w:t>Secretary</w:t>
      </w:r>
    </w:p>
    <w:p w:rsidR="00134604" w:rsidRPr="00C939E2" w:rsidRDefault="00134604" w:rsidP="00134604">
      <w:pPr>
        <w:spacing w:after="120"/>
        <w:jc w:val="center"/>
        <w:rPr>
          <w:b/>
          <w:bCs/>
          <w:kern w:val="0"/>
        </w:rPr>
      </w:pPr>
      <w:r w:rsidRPr="00C939E2">
        <w:rPr>
          <w:b/>
          <w:bCs/>
          <w:kern w:val="0"/>
        </w:rPr>
        <w:t>APPENDIX A</w:t>
      </w:r>
    </w:p>
    <w:p w:rsidR="00134604" w:rsidRPr="00197515" w:rsidRDefault="00134604" w:rsidP="00134604">
      <w:pPr>
        <w:spacing w:after="120"/>
        <w:jc w:val="center"/>
        <w:rPr>
          <w:b/>
          <w:bCs/>
          <w:kern w:val="0"/>
        </w:rPr>
      </w:pPr>
      <w:r w:rsidRPr="00197515">
        <w:rPr>
          <w:b/>
          <w:bCs/>
          <w:kern w:val="0"/>
        </w:rPr>
        <w:t>List of Commenting Parties</w:t>
      </w:r>
    </w:p>
    <w:p w:rsidR="00134604" w:rsidRPr="00197515" w:rsidRDefault="00134604" w:rsidP="00134604">
      <w:pPr>
        <w:spacing w:after="120"/>
        <w:jc w:val="center"/>
        <w:rPr>
          <w:b/>
          <w:bCs/>
          <w:kern w:val="0"/>
        </w:rPr>
      </w:pPr>
    </w:p>
    <w:p w:rsidR="00134604" w:rsidRPr="00197515" w:rsidRDefault="00134604" w:rsidP="00134604">
      <w:pPr>
        <w:spacing w:after="120"/>
        <w:rPr>
          <w:b/>
          <w:u w:val="single"/>
        </w:rPr>
      </w:pPr>
      <w:r w:rsidRPr="00197515">
        <w:rPr>
          <w:b/>
          <w:u w:val="single"/>
        </w:rPr>
        <w:t>Comments</w:t>
      </w:r>
    </w:p>
    <w:p w:rsidR="00134604" w:rsidRPr="00197515" w:rsidRDefault="00134604" w:rsidP="00134604">
      <w:pPr>
        <w:spacing w:after="120"/>
      </w:pPr>
      <w:r w:rsidRPr="00197515">
        <w:t>ASL Services Holdings, LLC (ASL Services)</w:t>
      </w:r>
    </w:p>
    <w:p w:rsidR="00134604" w:rsidRPr="00197515" w:rsidRDefault="00134604" w:rsidP="00134604">
      <w:pPr>
        <w:spacing w:after="120"/>
      </w:pPr>
      <w:r w:rsidRPr="00197515">
        <w:t>Convo Communications, LLC (Convo)</w:t>
      </w:r>
    </w:p>
    <w:p w:rsidR="00134604" w:rsidRPr="00197515" w:rsidRDefault="00134604" w:rsidP="00134604">
      <w:pPr>
        <w:spacing w:after="120"/>
      </w:pPr>
      <w:r w:rsidRPr="00197515">
        <w:t>CSDVRS, LLC d/b/a ZVRS (ZVRS)</w:t>
      </w:r>
    </w:p>
    <w:p w:rsidR="00134604" w:rsidRPr="00197515" w:rsidRDefault="00134604" w:rsidP="00134604">
      <w:pPr>
        <w:spacing w:after="120"/>
      </w:pPr>
      <w:r w:rsidRPr="00197515">
        <w:t>Hancock, Jahn, Lee, and Puckett, LLC, d/b/a Communication Axess Ability Groups and Star VRS and Star VRS for the DeafBlind (CAAG)</w:t>
      </w:r>
    </w:p>
    <w:p w:rsidR="00134604" w:rsidRPr="00197515" w:rsidRDefault="00134604" w:rsidP="00134604">
      <w:pPr>
        <w:spacing w:after="120"/>
      </w:pPr>
      <w:r w:rsidRPr="00197515">
        <w:t>Mid-American Regional Interpreter Education Center (MARIE Center)</w:t>
      </w:r>
    </w:p>
    <w:p w:rsidR="00134604" w:rsidRPr="00197515" w:rsidRDefault="00134604" w:rsidP="00134604">
      <w:pPr>
        <w:spacing w:after="120"/>
      </w:pPr>
      <w:r w:rsidRPr="00197515">
        <w:t>Purple Communications, Inc. (Purple)</w:t>
      </w:r>
    </w:p>
    <w:p w:rsidR="00134604" w:rsidRPr="00197515" w:rsidRDefault="00134604" w:rsidP="00134604">
      <w:pPr>
        <w:spacing w:after="120"/>
      </w:pPr>
      <w:r w:rsidRPr="00197515">
        <w:t>Registry of Interpreters for the Deaf, Inc. (RID)</w:t>
      </w:r>
    </w:p>
    <w:p w:rsidR="00134604" w:rsidRPr="00197515" w:rsidRDefault="00134604" w:rsidP="00134604">
      <w:pPr>
        <w:spacing w:after="120"/>
      </w:pPr>
      <w:r w:rsidRPr="00197515">
        <w:t>Sorenson Communications, Inc. (Sorenson)</w:t>
      </w:r>
    </w:p>
    <w:p w:rsidR="00134604" w:rsidRPr="00197515" w:rsidRDefault="00134604" w:rsidP="00134604">
      <w:pPr>
        <w:spacing w:after="120"/>
      </w:pPr>
      <w:r w:rsidRPr="00197515">
        <w:t>Sarah Spencer (Spencer)</w:t>
      </w:r>
    </w:p>
    <w:p w:rsidR="00134604" w:rsidRDefault="00134604" w:rsidP="00134604">
      <w:pPr>
        <w:spacing w:after="120"/>
      </w:pPr>
      <w:r w:rsidRPr="00197515">
        <w:t>Telecommunications for the Deaf and Hard of Hearing, Inc., National Association of the Deaf, Deaf and Hard of Hearing Consumer Advocacy Network, Association of Late Deafened Adults, Inc., Cerebral Palsy and Deaf Organization, Deaf Seniors of America, and California Coalition of Agencies Serving the Deaf and Hard of Hearing (Consumer Groups)</w:t>
      </w:r>
    </w:p>
    <w:p w:rsidR="00134604" w:rsidRDefault="00134604" w:rsidP="00134604">
      <w:pPr>
        <w:spacing w:after="120"/>
      </w:pPr>
      <w:r>
        <w:t>Warren Baim (Baim)</w:t>
      </w:r>
    </w:p>
    <w:p w:rsidR="00134604" w:rsidRPr="00197515" w:rsidRDefault="00134604" w:rsidP="00134604">
      <w:pPr>
        <w:spacing w:after="120"/>
      </w:pPr>
    </w:p>
    <w:p w:rsidR="00134604" w:rsidRPr="00197515" w:rsidRDefault="00134604" w:rsidP="00134604">
      <w:pPr>
        <w:spacing w:after="120"/>
        <w:rPr>
          <w:b/>
        </w:rPr>
      </w:pPr>
      <w:r w:rsidRPr="00197515">
        <w:rPr>
          <w:b/>
        </w:rPr>
        <w:t>Reply Comments</w:t>
      </w:r>
    </w:p>
    <w:p w:rsidR="00134604" w:rsidRPr="00197515" w:rsidRDefault="00134604" w:rsidP="00134604">
      <w:pPr>
        <w:spacing w:after="120"/>
      </w:pPr>
      <w:r w:rsidRPr="00197515">
        <w:t>Ken Alexander (Alexander)</w:t>
      </w:r>
    </w:p>
    <w:p w:rsidR="00134604" w:rsidRPr="00197515" w:rsidRDefault="00134604" w:rsidP="00134604">
      <w:pPr>
        <w:spacing w:after="120"/>
      </w:pPr>
      <w:r w:rsidRPr="00197515">
        <w:t>Lisa Fritz (Fritz)</w:t>
      </w:r>
    </w:p>
    <w:p w:rsidR="00134604" w:rsidRPr="00197515" w:rsidRDefault="00134604" w:rsidP="00134604">
      <w:pPr>
        <w:spacing w:after="120"/>
      </w:pPr>
      <w:r w:rsidRPr="00197515">
        <w:t>Convo</w:t>
      </w:r>
    </w:p>
    <w:p w:rsidR="00134604" w:rsidRPr="00197515" w:rsidRDefault="00134604" w:rsidP="00134604">
      <w:pPr>
        <w:spacing w:after="120"/>
      </w:pPr>
      <w:r w:rsidRPr="00197515">
        <w:t>Purple</w:t>
      </w:r>
    </w:p>
    <w:p w:rsidR="00134604" w:rsidRPr="00197515" w:rsidRDefault="00134604" w:rsidP="00134604">
      <w:pPr>
        <w:spacing w:after="120"/>
      </w:pPr>
      <w:r w:rsidRPr="00197515">
        <w:t>Sorenson</w:t>
      </w:r>
    </w:p>
    <w:p w:rsidR="00134604" w:rsidRPr="00197515" w:rsidRDefault="00134604" w:rsidP="00134604">
      <w:pPr>
        <w:spacing w:after="120"/>
      </w:pPr>
      <w:r w:rsidRPr="00197515">
        <w:t>Video Relay Services Consumer Association (VRSCA)</w:t>
      </w:r>
    </w:p>
    <w:p w:rsidR="00134604" w:rsidRPr="00197515" w:rsidRDefault="00134604" w:rsidP="00134604">
      <w:pPr>
        <w:spacing w:after="120"/>
      </w:pPr>
      <w:r w:rsidRPr="00197515">
        <w:t>ZVRS</w:t>
      </w:r>
    </w:p>
    <w:p w:rsidR="00134604" w:rsidRDefault="00134604" w:rsidP="00134604">
      <w:pPr>
        <w:ind w:left="4320"/>
      </w:pPr>
    </w:p>
    <w:p w:rsidR="00134604" w:rsidRPr="00D12DC0" w:rsidRDefault="00134604" w:rsidP="00134604"/>
    <w:p w:rsidR="00134604" w:rsidRPr="00D12DC0" w:rsidRDefault="00134604" w:rsidP="00134604"/>
    <w:p w:rsidR="00134604" w:rsidRPr="00D12DC0" w:rsidRDefault="00134604" w:rsidP="00134604"/>
    <w:p w:rsidR="00134604" w:rsidRPr="00D12DC0" w:rsidRDefault="00134604" w:rsidP="00134604"/>
    <w:p w:rsidR="00134604" w:rsidRDefault="00134604" w:rsidP="00134604"/>
    <w:p w:rsidR="00134604" w:rsidRPr="00D12DC0" w:rsidRDefault="00134604" w:rsidP="00134604">
      <w:pPr>
        <w:tabs>
          <w:tab w:val="center" w:pos="4680"/>
        </w:tabs>
        <w:sectPr w:rsidR="00134604" w:rsidRPr="00D12DC0" w:rsidSect="00D12DC0">
          <w:endnotePr>
            <w:numFmt w:val="decimal"/>
          </w:endnotePr>
          <w:pgSz w:w="12240" w:h="15840"/>
          <w:pgMar w:top="1440" w:right="1440" w:bottom="720" w:left="1440" w:header="720" w:footer="720" w:gutter="0"/>
          <w:cols w:space="720"/>
          <w:noEndnote/>
          <w:docGrid w:linePitch="299"/>
        </w:sectPr>
      </w:pPr>
      <w:r>
        <w:tab/>
      </w:r>
    </w:p>
    <w:p w:rsidR="00134604" w:rsidRPr="00EF7280" w:rsidRDefault="00134604" w:rsidP="00134604">
      <w:pPr>
        <w:widowControl/>
        <w:spacing w:after="120"/>
        <w:jc w:val="center"/>
        <w:rPr>
          <w:b/>
          <w:szCs w:val="22"/>
        </w:rPr>
      </w:pPr>
      <w:r w:rsidRPr="00EF7280">
        <w:rPr>
          <w:b/>
          <w:szCs w:val="22"/>
        </w:rPr>
        <w:t>APPENDIX B</w:t>
      </w:r>
    </w:p>
    <w:p w:rsidR="00134604" w:rsidRDefault="00134604" w:rsidP="00134604">
      <w:pPr>
        <w:widowControl/>
        <w:spacing w:after="120"/>
        <w:jc w:val="center"/>
        <w:rPr>
          <w:b/>
          <w:szCs w:val="22"/>
        </w:rPr>
      </w:pPr>
      <w:r w:rsidRPr="00EF7280">
        <w:rPr>
          <w:b/>
          <w:szCs w:val="22"/>
        </w:rPr>
        <w:t>Final Rules</w:t>
      </w:r>
    </w:p>
    <w:p w:rsidR="006125D9" w:rsidRPr="00EF7280" w:rsidRDefault="006125D9" w:rsidP="00134604">
      <w:pPr>
        <w:widowControl/>
        <w:spacing w:after="120"/>
        <w:jc w:val="center"/>
        <w:rPr>
          <w:b/>
          <w:szCs w:val="22"/>
        </w:rPr>
      </w:pPr>
    </w:p>
    <w:p w:rsidR="00134604" w:rsidRPr="00CE40F3" w:rsidRDefault="00134604" w:rsidP="00134604">
      <w:pPr>
        <w:widowControl/>
        <w:spacing w:after="120"/>
        <w:rPr>
          <w:b/>
          <w:szCs w:val="22"/>
        </w:rPr>
      </w:pPr>
      <w:r w:rsidRPr="00CE40F3">
        <w:rPr>
          <w:b/>
          <w:szCs w:val="22"/>
        </w:rPr>
        <w:t>Part 64 - MISCELLANEOUS RULES RELATING TO COMMON CARRIERS</w:t>
      </w:r>
    </w:p>
    <w:p w:rsidR="00134604" w:rsidRPr="00CE40F3" w:rsidRDefault="00134604" w:rsidP="00134604">
      <w:pPr>
        <w:widowControl/>
        <w:spacing w:after="120"/>
        <w:rPr>
          <w:szCs w:val="22"/>
        </w:rPr>
      </w:pPr>
      <w:r w:rsidRPr="00CE40F3">
        <w:rPr>
          <w:szCs w:val="22"/>
        </w:rPr>
        <w:t>1. The authority citation for part 64 continues to read as follows:</w:t>
      </w:r>
    </w:p>
    <w:p w:rsidR="00134604" w:rsidRPr="00CE40F3" w:rsidRDefault="00134604" w:rsidP="00134604">
      <w:pPr>
        <w:widowControl/>
        <w:spacing w:after="120"/>
        <w:rPr>
          <w:szCs w:val="22"/>
        </w:rPr>
      </w:pPr>
      <w:r w:rsidRPr="00CE40F3">
        <w:rPr>
          <w:szCs w:val="22"/>
        </w:rPr>
        <w:t>Authority: 47 U.S.C. 154, 225, 254(k), 403(b)(2)(B), (c), 715, Pub. L. 104-104, 110 Stat. 56.  Interpret or apply 47 U.S.C. 201, 218, 222, 225, 226, 227, 228, 254(k), 616, 620, and the Middle Class Tax Relief and Job Creation Act of 2012, Pub. L. 112-96, unless otherwise noted.</w:t>
      </w:r>
    </w:p>
    <w:p w:rsidR="00134604" w:rsidRPr="00CE40F3" w:rsidRDefault="00134604" w:rsidP="00134604">
      <w:pPr>
        <w:widowControl/>
        <w:spacing w:after="120"/>
        <w:rPr>
          <w:szCs w:val="22"/>
        </w:rPr>
      </w:pPr>
    </w:p>
    <w:p w:rsidR="00134604" w:rsidRPr="00CE40F3" w:rsidRDefault="00134604" w:rsidP="00134604">
      <w:pPr>
        <w:widowControl/>
        <w:spacing w:after="120"/>
        <w:rPr>
          <w:szCs w:val="22"/>
        </w:rPr>
      </w:pPr>
      <w:r w:rsidRPr="00CE40F3">
        <w:rPr>
          <w:szCs w:val="22"/>
        </w:rPr>
        <w:t>2. Amend § 64.604 by adding new paragraphs (a)(47), (48), and (49) to read as follows:</w:t>
      </w:r>
    </w:p>
    <w:p w:rsidR="00134604" w:rsidRPr="00CE40F3" w:rsidRDefault="00134604" w:rsidP="00134604">
      <w:pPr>
        <w:widowControl/>
        <w:spacing w:after="120"/>
        <w:rPr>
          <w:b/>
          <w:szCs w:val="22"/>
        </w:rPr>
      </w:pPr>
      <w:r w:rsidRPr="00CE40F3">
        <w:rPr>
          <w:b/>
          <w:szCs w:val="22"/>
        </w:rPr>
        <w:t>§ 64.601 Definitions and provisions of general applicability.</w:t>
      </w:r>
    </w:p>
    <w:p w:rsidR="00134604" w:rsidRPr="00CE40F3" w:rsidRDefault="00134604" w:rsidP="00134604">
      <w:pPr>
        <w:spacing w:after="120"/>
        <w:rPr>
          <w:rFonts w:eastAsia="Calibri"/>
          <w:snapToGrid/>
          <w:kern w:val="0"/>
          <w:szCs w:val="22"/>
        </w:rPr>
      </w:pPr>
      <w:r w:rsidRPr="00CE40F3">
        <w:rPr>
          <w:rFonts w:eastAsia="Calibri"/>
          <w:snapToGrid/>
          <w:kern w:val="0"/>
          <w:szCs w:val="22"/>
        </w:rPr>
        <w:t>(a) * * *</w:t>
      </w:r>
    </w:p>
    <w:p w:rsidR="00134604" w:rsidRPr="00CE40F3" w:rsidRDefault="00134604" w:rsidP="00134604">
      <w:pPr>
        <w:widowControl/>
        <w:spacing w:after="120"/>
        <w:rPr>
          <w:szCs w:val="22"/>
        </w:rPr>
      </w:pPr>
      <w:r w:rsidRPr="00CE40F3">
        <w:rPr>
          <w:szCs w:val="22"/>
        </w:rPr>
        <w:t xml:space="preserve">(47) </w:t>
      </w:r>
      <w:r w:rsidRPr="00CE40F3">
        <w:rPr>
          <w:i/>
          <w:szCs w:val="22"/>
        </w:rPr>
        <w:t>Hearing point-to-point video user</w:t>
      </w:r>
      <w:r w:rsidRPr="00CE40F3">
        <w:rPr>
          <w:szCs w:val="22"/>
        </w:rPr>
        <w:t>.  A hearing individual who has been assigned a ten-digit NANP number that is entered in the TRS Numbering Directory to access point-to-point service.</w:t>
      </w:r>
    </w:p>
    <w:p w:rsidR="00134604" w:rsidRPr="00CE40F3" w:rsidRDefault="00134604" w:rsidP="00134604">
      <w:pPr>
        <w:widowControl/>
        <w:spacing w:after="120"/>
        <w:rPr>
          <w:szCs w:val="22"/>
        </w:rPr>
      </w:pPr>
      <w:r w:rsidRPr="00CE40F3">
        <w:rPr>
          <w:szCs w:val="22"/>
        </w:rPr>
        <w:t xml:space="preserve">(48) </w:t>
      </w:r>
      <w:r w:rsidRPr="00CE40F3">
        <w:rPr>
          <w:i/>
          <w:szCs w:val="22"/>
        </w:rPr>
        <w:t>Point-to-point video service</w:t>
      </w:r>
      <w:r w:rsidRPr="00CE40F3">
        <w:rPr>
          <w:szCs w:val="22"/>
        </w:rPr>
        <w:t xml:space="preserve">.  A service that enables a user to place and receive non-relay video calls without the assistance of a CA.  </w:t>
      </w:r>
    </w:p>
    <w:p w:rsidR="00134604" w:rsidRPr="00CE40F3" w:rsidRDefault="00134604" w:rsidP="00134604">
      <w:pPr>
        <w:widowControl/>
        <w:spacing w:after="120"/>
        <w:rPr>
          <w:szCs w:val="22"/>
        </w:rPr>
      </w:pPr>
      <w:r w:rsidRPr="00CE40F3">
        <w:rPr>
          <w:szCs w:val="22"/>
        </w:rPr>
        <w:t xml:space="preserve">(49) </w:t>
      </w:r>
      <w:r w:rsidRPr="00CE40F3">
        <w:rPr>
          <w:i/>
          <w:szCs w:val="22"/>
        </w:rPr>
        <w:t>Point-to-point video call</w:t>
      </w:r>
      <w:r w:rsidRPr="00CE40F3">
        <w:rPr>
          <w:szCs w:val="22"/>
        </w:rPr>
        <w:t>.  A call placed via a point-to-point video service.</w:t>
      </w:r>
    </w:p>
    <w:p w:rsidR="00134604" w:rsidRPr="00CE40F3" w:rsidRDefault="00134604" w:rsidP="00134604">
      <w:pPr>
        <w:spacing w:after="120"/>
        <w:rPr>
          <w:rFonts w:eastAsia="Calibri"/>
          <w:snapToGrid/>
          <w:kern w:val="0"/>
          <w:szCs w:val="22"/>
        </w:rPr>
      </w:pPr>
      <w:r w:rsidRPr="00CE40F3">
        <w:rPr>
          <w:rFonts w:eastAsia="Calibri"/>
          <w:snapToGrid/>
          <w:kern w:val="0"/>
          <w:szCs w:val="22"/>
        </w:rPr>
        <w:t>* * * * *</w:t>
      </w:r>
    </w:p>
    <w:p w:rsidR="00134604" w:rsidRPr="00CE40F3" w:rsidRDefault="00134604" w:rsidP="00134604">
      <w:pPr>
        <w:widowControl/>
        <w:spacing w:after="120"/>
        <w:rPr>
          <w:szCs w:val="22"/>
        </w:rPr>
      </w:pPr>
    </w:p>
    <w:p w:rsidR="00134604" w:rsidRPr="00CE40F3" w:rsidRDefault="00134604" w:rsidP="00134604">
      <w:pPr>
        <w:widowControl/>
        <w:spacing w:after="120"/>
        <w:rPr>
          <w:snapToGrid/>
          <w:szCs w:val="22"/>
        </w:rPr>
      </w:pPr>
      <w:r w:rsidRPr="00CE40F3">
        <w:rPr>
          <w:szCs w:val="22"/>
        </w:rPr>
        <w:t>3. Amend § 64.604 by revising paragraphs (b)(2)(iii)(B) and (b)(4)(iii) and adding paragraphs (b)(8) and (c)(5)(iii)(L)(</w:t>
      </w:r>
      <w:r w:rsidRPr="00CE40F3">
        <w:rPr>
          <w:i/>
          <w:szCs w:val="22"/>
        </w:rPr>
        <w:t>6</w:t>
      </w:r>
      <w:r w:rsidRPr="00CE40F3">
        <w:rPr>
          <w:szCs w:val="22"/>
        </w:rPr>
        <w:t>) as follows:</w:t>
      </w:r>
    </w:p>
    <w:p w:rsidR="00134604" w:rsidRPr="00CE40F3" w:rsidRDefault="00134604" w:rsidP="00134604">
      <w:pPr>
        <w:spacing w:after="120"/>
        <w:rPr>
          <w:rFonts w:eastAsia="Calibri"/>
          <w:b/>
          <w:snapToGrid/>
        </w:rPr>
      </w:pPr>
      <w:r w:rsidRPr="00CE40F3">
        <w:rPr>
          <w:rFonts w:eastAsia="Calibri"/>
          <w:b/>
          <w:snapToGrid/>
        </w:rPr>
        <w:t>§ 64.604 Mandatory Minimum Standards.</w:t>
      </w:r>
    </w:p>
    <w:p w:rsidR="00134604" w:rsidRPr="00CE40F3" w:rsidRDefault="00134604" w:rsidP="00134604">
      <w:pPr>
        <w:spacing w:after="120"/>
        <w:rPr>
          <w:rFonts w:eastAsia="Calibri"/>
          <w:snapToGrid/>
          <w:kern w:val="0"/>
          <w:szCs w:val="22"/>
        </w:rPr>
      </w:pPr>
      <w:r w:rsidRPr="00CE40F3">
        <w:rPr>
          <w:rFonts w:eastAsia="Calibri"/>
          <w:snapToGrid/>
          <w:kern w:val="0"/>
          <w:szCs w:val="22"/>
        </w:rPr>
        <w:t>* * * * *</w:t>
      </w:r>
    </w:p>
    <w:p w:rsidR="00134604" w:rsidRPr="00CE40F3" w:rsidRDefault="00134604" w:rsidP="00134604">
      <w:pPr>
        <w:spacing w:after="120"/>
        <w:rPr>
          <w:rFonts w:eastAsia="Calibri"/>
          <w:snapToGrid/>
          <w:kern w:val="0"/>
          <w:szCs w:val="22"/>
        </w:rPr>
      </w:pPr>
      <w:r w:rsidRPr="00CE40F3">
        <w:rPr>
          <w:snapToGrid/>
          <w:szCs w:val="22"/>
        </w:rPr>
        <w:t>(b)</w:t>
      </w:r>
      <w:r w:rsidRPr="00CE40F3">
        <w:rPr>
          <w:rFonts w:eastAsia="Calibri"/>
          <w:snapToGrid/>
          <w:kern w:val="0"/>
          <w:szCs w:val="22"/>
        </w:rPr>
        <w:t xml:space="preserve"> * * *</w:t>
      </w:r>
    </w:p>
    <w:p w:rsidR="00134604" w:rsidRPr="00CE40F3" w:rsidRDefault="00134604" w:rsidP="00134604">
      <w:pPr>
        <w:spacing w:after="120"/>
        <w:rPr>
          <w:rFonts w:eastAsia="Calibri"/>
          <w:snapToGrid/>
          <w:kern w:val="0"/>
          <w:szCs w:val="22"/>
        </w:rPr>
      </w:pPr>
      <w:r w:rsidRPr="00CE40F3">
        <w:rPr>
          <w:rFonts w:eastAsia="Calibri"/>
          <w:snapToGrid/>
          <w:kern w:val="0"/>
          <w:szCs w:val="22"/>
        </w:rPr>
        <w:t>(2) * * *</w:t>
      </w:r>
    </w:p>
    <w:p w:rsidR="00134604" w:rsidRPr="00CE40F3" w:rsidRDefault="00134604" w:rsidP="00134604">
      <w:pPr>
        <w:spacing w:after="120"/>
        <w:rPr>
          <w:rFonts w:eastAsia="Calibri"/>
          <w:snapToGrid/>
          <w:kern w:val="0"/>
          <w:szCs w:val="22"/>
        </w:rPr>
      </w:pPr>
      <w:r w:rsidRPr="00CE40F3">
        <w:rPr>
          <w:rFonts w:eastAsia="Calibri"/>
          <w:snapToGrid/>
          <w:kern w:val="0"/>
          <w:szCs w:val="22"/>
        </w:rPr>
        <w:t>(iii) * * *</w:t>
      </w:r>
    </w:p>
    <w:p w:rsidR="00134604" w:rsidRPr="00CE40F3" w:rsidRDefault="00134604" w:rsidP="00134604">
      <w:pPr>
        <w:widowControl/>
        <w:spacing w:after="120"/>
        <w:rPr>
          <w:strike/>
          <w:szCs w:val="22"/>
        </w:rPr>
      </w:pPr>
      <w:r w:rsidRPr="00CE40F3">
        <w:rPr>
          <w:szCs w:val="22"/>
        </w:rPr>
        <w:t>(B) VRS CA service providers must meet the speed of answer requirements for VRS providers as measured from the time a VRS call reaches facilities operated by the VRS CA service provider to the time when the call is answered by a CA—i.e., not when the call is put on hold, placed in a queue, or connected to an IVR system.</w:t>
      </w:r>
    </w:p>
    <w:p w:rsidR="00134604" w:rsidRPr="00CE40F3" w:rsidRDefault="00134604" w:rsidP="00134604">
      <w:pPr>
        <w:spacing w:after="120"/>
        <w:rPr>
          <w:rFonts w:eastAsia="Calibri"/>
          <w:snapToGrid/>
          <w:kern w:val="0"/>
          <w:szCs w:val="22"/>
        </w:rPr>
      </w:pPr>
      <w:r w:rsidRPr="00CE40F3">
        <w:rPr>
          <w:rFonts w:eastAsia="Calibri"/>
          <w:snapToGrid/>
          <w:kern w:val="0"/>
          <w:szCs w:val="22"/>
        </w:rPr>
        <w:t>* * * * *</w:t>
      </w:r>
    </w:p>
    <w:p w:rsidR="00134604" w:rsidRPr="00CE40F3" w:rsidRDefault="00134604" w:rsidP="00134604">
      <w:pPr>
        <w:spacing w:after="120"/>
      </w:pPr>
      <w:r w:rsidRPr="00CE40F3">
        <w:t>(4) * * *</w:t>
      </w:r>
    </w:p>
    <w:p w:rsidR="00134604" w:rsidRPr="00CE40F3" w:rsidRDefault="00134604" w:rsidP="00134604">
      <w:pPr>
        <w:widowControl/>
        <w:spacing w:after="120"/>
        <w:rPr>
          <w:szCs w:val="22"/>
        </w:rPr>
      </w:pPr>
      <w:r w:rsidRPr="00CE40F3">
        <w:rPr>
          <w:szCs w:val="22"/>
        </w:rPr>
        <w:t>(iii) A VRS CA may not handle VRS calls from a location primarily used as his or her home unless as part of the voluntary at-home VRS call handling pilot program as provided for by paragraph (b)(8) of this section.</w:t>
      </w:r>
    </w:p>
    <w:p w:rsidR="00134604" w:rsidRPr="00CE40F3" w:rsidRDefault="00134604" w:rsidP="00134604">
      <w:pPr>
        <w:widowControl/>
        <w:spacing w:after="120"/>
        <w:rPr>
          <w:szCs w:val="22"/>
        </w:rPr>
      </w:pPr>
      <w:r w:rsidRPr="00CE40F3">
        <w:rPr>
          <w:szCs w:val="22"/>
        </w:rPr>
        <w:t>* * * * *</w:t>
      </w:r>
    </w:p>
    <w:p w:rsidR="00134604" w:rsidRPr="00CE40F3" w:rsidRDefault="00134604" w:rsidP="00134604">
      <w:pPr>
        <w:widowControl/>
        <w:spacing w:after="120"/>
        <w:rPr>
          <w:szCs w:val="22"/>
        </w:rPr>
      </w:pPr>
      <w:r w:rsidRPr="00CE40F3">
        <w:rPr>
          <w:szCs w:val="22"/>
        </w:rPr>
        <w:t xml:space="preserve">(8) </w:t>
      </w:r>
      <w:r w:rsidRPr="00CE40F3">
        <w:rPr>
          <w:i/>
          <w:szCs w:val="22"/>
        </w:rPr>
        <w:t>Voluntary at-home VRS call handling pilot program</w:t>
      </w:r>
      <w:r w:rsidRPr="00CE40F3">
        <w:rPr>
          <w:szCs w:val="22"/>
        </w:rPr>
        <w:t>.  Any VRS provider that holds a conditional or full certification to receive compensation from the TRS Fund pursuant to section 64.606 of this part as of [INSERT DATE OF ADOPTION OF FINAL RULE PUBLISHED IN THE FEDERAL REGISTER] may participate in the voluntary at-home VRS call handling pilot program.  The pilot program shall be in effect for one year, for service provided by participants beginning November 1, 2017, and ending October 31, 2018.</w:t>
      </w:r>
    </w:p>
    <w:p w:rsidR="00134604" w:rsidRPr="00CE40F3" w:rsidRDefault="00134604" w:rsidP="00134604">
      <w:pPr>
        <w:widowControl/>
        <w:spacing w:after="120"/>
        <w:rPr>
          <w:szCs w:val="22"/>
        </w:rPr>
      </w:pPr>
      <w:r w:rsidRPr="00CE40F3">
        <w:rPr>
          <w:szCs w:val="22"/>
        </w:rPr>
        <w:t xml:space="preserve">(i) </w:t>
      </w:r>
      <w:r w:rsidRPr="00CE40F3">
        <w:rPr>
          <w:i/>
          <w:szCs w:val="22"/>
        </w:rPr>
        <w:t>Notification of intent to participate</w:t>
      </w:r>
      <w:r w:rsidRPr="00CE40F3">
        <w:rPr>
          <w:szCs w:val="22"/>
        </w:rPr>
        <w:t>.  A VRS provider seeking to participate in the pilot program shall notify the Commission of its intent to participate on or before September 1, 2017, and shall include in such notification a detailed plan demonstrating that the VRS provider intends to achieve compliance with the mandatory minimum standards applicable to VRS and with the safeguards enumerated in this paragraph (b)(8).  Plans submitted by VRS providers shall specify the following:</w:t>
      </w:r>
    </w:p>
    <w:p w:rsidR="00134604" w:rsidRPr="00CE40F3" w:rsidRDefault="00134604" w:rsidP="00134604">
      <w:pPr>
        <w:widowControl/>
        <w:spacing w:after="120"/>
        <w:rPr>
          <w:szCs w:val="22"/>
        </w:rPr>
      </w:pPr>
      <w:r w:rsidRPr="00CE40F3">
        <w:rPr>
          <w:szCs w:val="22"/>
        </w:rPr>
        <w:t>(A) A description of the screening process used to select CAs for the at-home call handling program;</w:t>
      </w:r>
    </w:p>
    <w:p w:rsidR="00134604" w:rsidRPr="00CE40F3" w:rsidRDefault="00134604" w:rsidP="00134604">
      <w:pPr>
        <w:widowControl/>
        <w:spacing w:after="120"/>
        <w:rPr>
          <w:szCs w:val="22"/>
        </w:rPr>
      </w:pPr>
      <w:r w:rsidRPr="00CE40F3">
        <w:rPr>
          <w:szCs w:val="22"/>
        </w:rPr>
        <w:t>(B) A description of specific training to be provided for at-home CAs;</w:t>
      </w:r>
    </w:p>
    <w:p w:rsidR="00134604" w:rsidRPr="00CE40F3" w:rsidRDefault="00134604" w:rsidP="00134604">
      <w:pPr>
        <w:widowControl/>
        <w:spacing w:after="120"/>
        <w:rPr>
          <w:szCs w:val="22"/>
        </w:rPr>
      </w:pPr>
      <w:r w:rsidRPr="00CE40F3">
        <w:rPr>
          <w:szCs w:val="22"/>
        </w:rPr>
        <w:t xml:space="preserve">(C) A description of the protocols and CA expectations developed for the at-home call handling program;  </w:t>
      </w:r>
    </w:p>
    <w:p w:rsidR="00134604" w:rsidRPr="00CE40F3" w:rsidRDefault="00134604" w:rsidP="00134604">
      <w:pPr>
        <w:widowControl/>
        <w:spacing w:after="120"/>
        <w:rPr>
          <w:szCs w:val="22"/>
        </w:rPr>
      </w:pPr>
      <w:r w:rsidRPr="00CE40F3">
        <w:rPr>
          <w:szCs w:val="22"/>
        </w:rPr>
        <w:t>(D) A description of the grounds for dismissing a CA from the at-home program and the process for such termination in the event that the CA fails to adhere to applicable requirements;</w:t>
      </w:r>
    </w:p>
    <w:p w:rsidR="00134604" w:rsidRPr="00CE40F3" w:rsidRDefault="00134604" w:rsidP="00134604">
      <w:pPr>
        <w:widowControl/>
        <w:spacing w:after="120"/>
        <w:rPr>
          <w:szCs w:val="22"/>
        </w:rPr>
      </w:pPr>
      <w:r w:rsidRPr="00CE40F3">
        <w:rPr>
          <w:szCs w:val="22"/>
        </w:rPr>
        <w:t>(E) A description of all steps that will be taken to install a workstation in a CA’s home, including evaluations that will be performed to ensure all workstations are sufficiently secure and equipped to prevent eavesdropping and outside interruptions;</w:t>
      </w:r>
    </w:p>
    <w:p w:rsidR="00134604" w:rsidRPr="00CE40F3" w:rsidRDefault="00134604" w:rsidP="00134604">
      <w:pPr>
        <w:widowControl/>
        <w:spacing w:after="120"/>
        <w:rPr>
          <w:szCs w:val="22"/>
        </w:rPr>
      </w:pPr>
      <w:r w:rsidRPr="00CE40F3">
        <w:rPr>
          <w:szCs w:val="22"/>
        </w:rPr>
        <w:t xml:space="preserve">(F) A description of the monitoring technology to be used by the provider to ensure that off-site supervision approximates the level of supervision at the provider’s call center; </w:t>
      </w:r>
    </w:p>
    <w:p w:rsidR="00134604" w:rsidRPr="00CE40F3" w:rsidRDefault="00134604" w:rsidP="00134604">
      <w:pPr>
        <w:widowControl/>
        <w:spacing w:after="120"/>
        <w:rPr>
          <w:szCs w:val="22"/>
        </w:rPr>
      </w:pPr>
      <w:r w:rsidRPr="00CE40F3">
        <w:rPr>
          <w:szCs w:val="22"/>
        </w:rPr>
        <w:t xml:space="preserve">(G) An explanation of how the provider’s workstations will connect to the provider’s network, including how they will be integrated into the call center routing, distribution, tracking, and support systems, and how the provider will ensure system redundancy in the event of service disruptions in at-home workstations; </w:t>
      </w:r>
    </w:p>
    <w:p w:rsidR="00134604" w:rsidRPr="00CE40F3" w:rsidRDefault="00134604" w:rsidP="00134604">
      <w:pPr>
        <w:widowControl/>
        <w:spacing w:after="120"/>
        <w:rPr>
          <w:szCs w:val="22"/>
        </w:rPr>
      </w:pPr>
      <w:r w:rsidRPr="00CE40F3">
        <w:rPr>
          <w:szCs w:val="22"/>
        </w:rPr>
        <w:t>(H) A signed certification by an officer of the provider that the provider will conduct conduct random and unannounced inspections of at least five percent (5%) of all at-home workstations during the pilot program; and</w:t>
      </w:r>
    </w:p>
    <w:p w:rsidR="00134604" w:rsidRPr="00CE40F3" w:rsidRDefault="00134604" w:rsidP="00134604">
      <w:pPr>
        <w:widowControl/>
        <w:spacing w:after="120"/>
        <w:rPr>
          <w:szCs w:val="22"/>
        </w:rPr>
      </w:pPr>
      <w:r w:rsidRPr="00CE40F3">
        <w:rPr>
          <w:szCs w:val="22"/>
        </w:rPr>
        <w:t>(I) A commitment to comply with all other safeguards enumerated in this paragraph (b)(8) and the applicable rules in this chapter governing TRS.</w:t>
      </w:r>
    </w:p>
    <w:p w:rsidR="00134604" w:rsidRPr="00CE40F3" w:rsidRDefault="00134604" w:rsidP="00134604">
      <w:pPr>
        <w:widowControl/>
        <w:spacing w:after="120"/>
        <w:rPr>
          <w:szCs w:val="22"/>
        </w:rPr>
      </w:pPr>
      <w:r w:rsidRPr="00CE40F3">
        <w:rPr>
          <w:szCs w:val="22"/>
        </w:rPr>
        <w:t xml:space="preserve">(ii) </w:t>
      </w:r>
      <w:r w:rsidRPr="00CE40F3">
        <w:rPr>
          <w:i/>
          <w:szCs w:val="22"/>
        </w:rPr>
        <w:t>Authorization for at-home VRS call handling</w:t>
      </w:r>
      <w:r w:rsidRPr="00CE40F3">
        <w:rPr>
          <w:szCs w:val="22"/>
        </w:rPr>
        <w:t xml:space="preserve">.  Upon Commission approval of a VRS provider’s plan, the provider may conduct at-home VRS call handling during the period of the pilot program.  The Commission may cancel such approval if a VRS provider fails to comply with any of the safeguards enumerated in this paragraph (b)(8) or other applicable mandatory minimum TRS standards.  VRS providers may be subject to withholding, forfeitures, and penalties for noncompliant minutes handled by at-home workstations, as is the case for non-compliant minutes handled by call centers.  </w:t>
      </w:r>
    </w:p>
    <w:p w:rsidR="00134604" w:rsidRPr="00CE40F3" w:rsidRDefault="00134604" w:rsidP="00134604">
      <w:pPr>
        <w:widowControl/>
        <w:spacing w:after="120"/>
        <w:rPr>
          <w:szCs w:val="22"/>
        </w:rPr>
      </w:pPr>
      <w:r w:rsidRPr="00CE40F3">
        <w:rPr>
          <w:szCs w:val="22"/>
        </w:rPr>
        <w:t xml:space="preserve">(iii) </w:t>
      </w:r>
      <w:r w:rsidRPr="00CE40F3">
        <w:rPr>
          <w:i/>
          <w:szCs w:val="22"/>
        </w:rPr>
        <w:t>Limit on minutes handled</w:t>
      </w:r>
      <w:r w:rsidRPr="00CE40F3">
        <w:rPr>
          <w:szCs w:val="22"/>
        </w:rPr>
        <w:t xml:space="preserve">.  In any month of the program, a VRS provider may be compensated for minutes served by at-home CA workstations up to a maximum of </w:t>
      </w:r>
      <w:r w:rsidRPr="00CE40F3">
        <w:rPr>
          <w:i/>
          <w:szCs w:val="22"/>
        </w:rPr>
        <w:t>either</w:t>
      </w:r>
      <w:r w:rsidRPr="00CE40F3">
        <w:rPr>
          <w:szCs w:val="22"/>
        </w:rPr>
        <w:t xml:space="preserve"> thirty percent (30%) of a VRS provider’s total minutes for which compensation is paid in that month </w:t>
      </w:r>
      <w:r w:rsidRPr="00CE40F3">
        <w:rPr>
          <w:i/>
          <w:szCs w:val="22"/>
        </w:rPr>
        <w:t>or</w:t>
      </w:r>
      <w:r w:rsidRPr="00CE40F3">
        <w:rPr>
          <w:szCs w:val="22"/>
        </w:rPr>
        <w:t xml:space="preserve"> thirty percent (30%) of the provider’s average monthly minutes for the 12 months ending October 31, 2017, whichever is greater.</w:t>
      </w:r>
    </w:p>
    <w:p w:rsidR="00134604" w:rsidRPr="00CE40F3" w:rsidRDefault="00134604" w:rsidP="00134604">
      <w:pPr>
        <w:widowControl/>
        <w:spacing w:after="120"/>
        <w:rPr>
          <w:szCs w:val="22"/>
        </w:rPr>
      </w:pPr>
      <w:r w:rsidRPr="00CE40F3">
        <w:rPr>
          <w:szCs w:val="22"/>
        </w:rPr>
        <w:t xml:space="preserve">(iv) </w:t>
      </w:r>
      <w:r w:rsidRPr="00CE40F3">
        <w:rPr>
          <w:i/>
          <w:szCs w:val="22"/>
        </w:rPr>
        <w:t>Personnel safeguards</w:t>
      </w:r>
      <w:r w:rsidRPr="00CE40F3">
        <w:rPr>
          <w:szCs w:val="22"/>
        </w:rPr>
        <w:t>.  Before permitting CAs to handle VRS calls from at-home workstations, VRS providers shall:</w:t>
      </w:r>
    </w:p>
    <w:p w:rsidR="00134604" w:rsidRPr="00CE40F3" w:rsidRDefault="00134604" w:rsidP="00134604">
      <w:pPr>
        <w:widowControl/>
        <w:spacing w:after="120"/>
        <w:rPr>
          <w:szCs w:val="22"/>
        </w:rPr>
      </w:pPr>
      <w:r w:rsidRPr="00CE40F3">
        <w:rPr>
          <w:szCs w:val="22"/>
        </w:rPr>
        <w:t>(A) Ensure that each CA handling calls from an at-home workstation has the experience, skills, and knowledge necessary to effectively interpret from these workstations, including a thorough understanding of the TRS mandatory minimum standards and at least three years of experience as a call center CA.</w:t>
      </w:r>
    </w:p>
    <w:p w:rsidR="00134604" w:rsidRPr="00CE40F3" w:rsidRDefault="00134604" w:rsidP="00134604">
      <w:pPr>
        <w:widowControl/>
        <w:spacing w:after="120"/>
        <w:rPr>
          <w:szCs w:val="22"/>
        </w:rPr>
      </w:pPr>
      <w:r w:rsidRPr="00CE40F3">
        <w:rPr>
          <w:szCs w:val="22"/>
        </w:rPr>
        <w:t>(B) Establish protocols for the handling of calls from at-home workstations (to the extent there are additional protocols that differ from those applicable to the provider’s call centers) and provide training to at-home CAs on such protocols, in addition to all applicable training that is required of CAs working from call centers.</w:t>
      </w:r>
    </w:p>
    <w:p w:rsidR="00134604" w:rsidRPr="00CE40F3" w:rsidRDefault="00134604" w:rsidP="00134604">
      <w:pPr>
        <w:widowControl/>
        <w:spacing w:after="120"/>
        <w:rPr>
          <w:szCs w:val="22"/>
        </w:rPr>
      </w:pPr>
      <w:r w:rsidRPr="00CE40F3">
        <w:rPr>
          <w:szCs w:val="22"/>
        </w:rPr>
        <w:t>(C) Provide each CA working from an at-home workstation equivalent support to that provided to CAs working from call centers, as needed to effectively handle calls, including, where appropriate, the opportunity to team interpret and consult with supervisors, and ensure that supervisors are readily available to a CA working from home to resolve problems that may arise during a relay call, such as difficulty in understanding a VRS user’s signs, the need for added support for emergency calls, and relieving a CA in the event of the CA’s sudden illness.</w:t>
      </w:r>
    </w:p>
    <w:p w:rsidR="00134604" w:rsidRPr="00CE40F3" w:rsidRDefault="00134604" w:rsidP="00134604">
      <w:pPr>
        <w:widowControl/>
        <w:spacing w:after="120"/>
        <w:rPr>
          <w:szCs w:val="22"/>
        </w:rPr>
      </w:pPr>
      <w:r w:rsidRPr="00CE40F3">
        <w:rPr>
          <w:szCs w:val="22"/>
        </w:rPr>
        <w:t xml:space="preserve">(D) Establish grounds for dismissing a CA from the at-home VRS call handling program (i.e., for noncompliance with the standards and safeguards enumerated in this paragraph (b)(8) and the rules governing TRS), including a process for such termination in the event that the CA fails to adhere to these requirements, and provide such grounds and process in writing to each CA participating in the pilot program.  </w:t>
      </w:r>
    </w:p>
    <w:p w:rsidR="00134604" w:rsidRPr="00CE40F3" w:rsidRDefault="00134604" w:rsidP="00134604">
      <w:pPr>
        <w:widowControl/>
        <w:spacing w:after="120"/>
        <w:rPr>
          <w:szCs w:val="22"/>
        </w:rPr>
      </w:pPr>
      <w:r w:rsidRPr="00CE40F3">
        <w:rPr>
          <w:szCs w:val="22"/>
        </w:rPr>
        <w:t>(E) Obtain from each CA handling calls from an at-home workstation a certification in writing of the CA’s understanding of and commitment to complying with the rules in this chapter governing TRS, including rules governing caller confidentiality and fraud prevention, and the CA’s understanding of the reasons and process for dismissal from the at-home VRS call handling program.</w:t>
      </w:r>
    </w:p>
    <w:p w:rsidR="00134604" w:rsidRPr="00CE40F3" w:rsidRDefault="00134604" w:rsidP="00134604">
      <w:pPr>
        <w:widowControl/>
        <w:spacing w:after="120"/>
        <w:rPr>
          <w:szCs w:val="22"/>
        </w:rPr>
      </w:pPr>
      <w:r w:rsidRPr="00CE40F3">
        <w:rPr>
          <w:szCs w:val="22"/>
        </w:rPr>
        <w:t xml:space="preserve">(v) </w:t>
      </w:r>
      <w:r w:rsidRPr="00CE40F3">
        <w:rPr>
          <w:i/>
          <w:szCs w:val="22"/>
        </w:rPr>
        <w:t>Technical and environmental safeguards</w:t>
      </w:r>
      <w:r w:rsidRPr="00CE40F3">
        <w:rPr>
          <w:szCs w:val="22"/>
        </w:rPr>
        <w:t>.  Participating VRS providers shall ensure that each home environment used for at-home VRS call handling enables the provision of confidential and uninterrupted services to the same extent as the provider’s call centers and is seamlessly integrated into the provider’s call routing, distribution, tracking, and support systems.  VRS providers shall ensure that each at-home workstation:</w:t>
      </w:r>
    </w:p>
    <w:p w:rsidR="00134604" w:rsidRPr="00CE40F3" w:rsidRDefault="00134604" w:rsidP="00134604">
      <w:pPr>
        <w:widowControl/>
        <w:spacing w:after="120"/>
        <w:rPr>
          <w:szCs w:val="22"/>
        </w:rPr>
      </w:pPr>
      <w:r w:rsidRPr="00CE40F3">
        <w:rPr>
          <w:szCs w:val="22"/>
        </w:rPr>
        <w:t>(A) Resides in a separate, secure location in the CA’s home, where access is restricted solely to the CA;</w:t>
      </w:r>
    </w:p>
    <w:p w:rsidR="00134604" w:rsidRPr="00CE40F3" w:rsidRDefault="00134604" w:rsidP="00134604">
      <w:pPr>
        <w:widowControl/>
        <w:spacing w:after="120"/>
        <w:rPr>
          <w:szCs w:val="22"/>
        </w:rPr>
      </w:pPr>
      <w:r w:rsidRPr="00CE40F3">
        <w:rPr>
          <w:szCs w:val="22"/>
        </w:rPr>
        <w:t>(B) Allows a CA to use all call-handling technology to the same extent as other CAs, including the ability to transition a non-emergency call to an emergency call, engage in virtual teaming with another CA, and allow supervisors to communicate with and oversee calls;</w:t>
      </w:r>
    </w:p>
    <w:p w:rsidR="00134604" w:rsidRPr="00CE40F3" w:rsidRDefault="00134604" w:rsidP="00134604">
      <w:pPr>
        <w:widowControl/>
        <w:spacing w:after="120"/>
        <w:rPr>
          <w:szCs w:val="22"/>
        </w:rPr>
      </w:pPr>
      <w:r w:rsidRPr="00CE40F3">
        <w:rPr>
          <w:szCs w:val="22"/>
        </w:rPr>
        <w:t>(C) Is capable of supporting VRS in compliance with the applicable mandatory minimum technical and emergency call handling standards to the same degree as these are available at call centers, including the ability to route VRS calls around individual CA workstations in the event the CA experiences a network outage or other service interruption;</w:t>
      </w:r>
    </w:p>
    <w:p w:rsidR="00134604" w:rsidRPr="00CE40F3" w:rsidRDefault="00134604" w:rsidP="00134604">
      <w:pPr>
        <w:widowControl/>
        <w:spacing w:after="120"/>
        <w:rPr>
          <w:szCs w:val="22"/>
        </w:rPr>
      </w:pPr>
      <w:r w:rsidRPr="00CE40F3">
        <w:rPr>
          <w:szCs w:val="22"/>
        </w:rPr>
        <w:t>(D) Is equipped with an effective means to prevent eavesdropping, such as white noise emitters or soundproofing, and to ensure that interruptions from noises outside the room do not adversely affect a CA’s ability to interpret a call accurately and effectively; and</w:t>
      </w:r>
    </w:p>
    <w:p w:rsidR="00134604" w:rsidRPr="00CE40F3" w:rsidRDefault="00134604" w:rsidP="00134604">
      <w:pPr>
        <w:widowControl/>
        <w:spacing w:after="120"/>
        <w:rPr>
          <w:szCs w:val="22"/>
        </w:rPr>
      </w:pPr>
      <w:r w:rsidRPr="00CE40F3">
        <w:rPr>
          <w:szCs w:val="22"/>
        </w:rPr>
        <w:t>(E) Is connected to the provider’s network over a secure connection to ensure caller privacy.</w:t>
      </w:r>
    </w:p>
    <w:p w:rsidR="00134604" w:rsidRPr="00CE40F3" w:rsidRDefault="00134604" w:rsidP="00134604">
      <w:pPr>
        <w:widowControl/>
        <w:spacing w:after="120"/>
        <w:rPr>
          <w:szCs w:val="22"/>
        </w:rPr>
      </w:pPr>
      <w:r w:rsidRPr="00CE40F3">
        <w:rPr>
          <w:szCs w:val="22"/>
        </w:rPr>
        <w:t xml:space="preserve">(vi) </w:t>
      </w:r>
      <w:r w:rsidRPr="00CE40F3">
        <w:rPr>
          <w:i/>
          <w:szCs w:val="22"/>
        </w:rPr>
        <w:t>Monitoring and oversight obligations.</w:t>
      </w:r>
      <w:r w:rsidRPr="00CE40F3">
        <w:rPr>
          <w:szCs w:val="22"/>
        </w:rPr>
        <w:t xml:space="preserve">  VRS providers shall:</w:t>
      </w:r>
    </w:p>
    <w:p w:rsidR="00134604" w:rsidRPr="00CE40F3" w:rsidRDefault="00134604" w:rsidP="00134604">
      <w:pPr>
        <w:widowControl/>
        <w:spacing w:after="120"/>
        <w:rPr>
          <w:szCs w:val="22"/>
        </w:rPr>
      </w:pPr>
      <w:r w:rsidRPr="00CE40F3">
        <w:rPr>
          <w:szCs w:val="22"/>
        </w:rPr>
        <w:t>(A) Inspect and approve each at-home workstation before activating a CA’s workstation for use;</w:t>
      </w:r>
    </w:p>
    <w:p w:rsidR="00134604" w:rsidRPr="00CE40F3" w:rsidRDefault="00134604" w:rsidP="00134604">
      <w:pPr>
        <w:widowControl/>
        <w:spacing w:after="120"/>
        <w:rPr>
          <w:szCs w:val="22"/>
        </w:rPr>
      </w:pPr>
      <w:r w:rsidRPr="00CE40F3">
        <w:rPr>
          <w:szCs w:val="22"/>
        </w:rPr>
        <w:t>(B) Assign a unique call center identification number (ID) to each VRS at-home workstation and use this call center ID to identify all minutes handled from each such workstation in its call detail records submitted monthly to the TRS Fund administrator;</w:t>
      </w:r>
    </w:p>
    <w:p w:rsidR="00134604" w:rsidRPr="00CE40F3" w:rsidRDefault="00134604" w:rsidP="00134604">
      <w:pPr>
        <w:widowControl/>
        <w:spacing w:after="120"/>
        <w:rPr>
          <w:szCs w:val="22"/>
        </w:rPr>
      </w:pPr>
      <w:r w:rsidRPr="00CE40F3">
        <w:rPr>
          <w:szCs w:val="22"/>
        </w:rPr>
        <w:t>(C) Equip each at-home workstation with monitoring technology sufficient to ensure that off-site supervision approximates the level of supervision at the provider’s call center, including the ability to monitor both ends of a call, i.e., video and audio, to the same extent as is possible in a call center, and regularly analyze the records and data produced by such monitoring to proactively address possible waste, fraud, and abuse;</w:t>
      </w:r>
    </w:p>
    <w:p w:rsidR="00134604" w:rsidRPr="00CE40F3" w:rsidRDefault="00134604" w:rsidP="00134604">
      <w:pPr>
        <w:widowControl/>
        <w:spacing w:after="120"/>
        <w:rPr>
          <w:szCs w:val="22"/>
        </w:rPr>
      </w:pPr>
      <w:r w:rsidRPr="00CE40F3">
        <w:rPr>
          <w:szCs w:val="22"/>
        </w:rPr>
        <w:t xml:space="preserve">(D) Keep all records pertaining to at-home workstations, including the data produced by any at-home workstation monitoring technology, except for any data that records the content of an interpreted conversation, for a minimum of five years; and  </w:t>
      </w:r>
    </w:p>
    <w:p w:rsidR="00134604" w:rsidRPr="00CE40F3" w:rsidRDefault="00134604" w:rsidP="00134604">
      <w:pPr>
        <w:widowControl/>
        <w:spacing w:after="120"/>
        <w:rPr>
          <w:szCs w:val="22"/>
        </w:rPr>
      </w:pPr>
      <w:r w:rsidRPr="00CE40F3">
        <w:rPr>
          <w:szCs w:val="22"/>
        </w:rPr>
        <w:t xml:space="preserve">(E) Conduct random and unannounced inspections of at least five percent (5%) of all at-home workstations during the pilot program.  </w:t>
      </w:r>
    </w:p>
    <w:p w:rsidR="00134604" w:rsidRPr="00CE40F3" w:rsidRDefault="00134604" w:rsidP="00134604">
      <w:pPr>
        <w:widowControl/>
        <w:spacing w:after="120"/>
        <w:rPr>
          <w:szCs w:val="22"/>
        </w:rPr>
      </w:pPr>
      <w:r w:rsidRPr="00CE40F3">
        <w:rPr>
          <w:szCs w:val="22"/>
        </w:rPr>
        <w:t xml:space="preserve">(vii) </w:t>
      </w:r>
      <w:r w:rsidRPr="00CE40F3">
        <w:rPr>
          <w:i/>
          <w:szCs w:val="22"/>
        </w:rPr>
        <w:t>Commission audits and inspections</w:t>
      </w:r>
      <w:r w:rsidRPr="00CE40F3">
        <w:rPr>
          <w:szCs w:val="22"/>
        </w:rPr>
        <w:t>.  At-home workstations and workstation records shall be subject to review, audit, and inspection by the Commission and the Fund administrator and unannounced on-site inspections by the Commission to the same extent as other call centers and call center records subject to the rules in this chapter.</w:t>
      </w:r>
    </w:p>
    <w:p w:rsidR="00134604" w:rsidRPr="00CE40F3" w:rsidRDefault="00134604" w:rsidP="00134604">
      <w:pPr>
        <w:widowControl/>
        <w:spacing w:after="120"/>
        <w:rPr>
          <w:szCs w:val="22"/>
        </w:rPr>
      </w:pPr>
      <w:r w:rsidRPr="00CE40F3">
        <w:rPr>
          <w:szCs w:val="22"/>
        </w:rPr>
        <w:t xml:space="preserve">(viii) </w:t>
      </w:r>
      <w:r w:rsidRPr="00CE40F3">
        <w:rPr>
          <w:i/>
          <w:szCs w:val="22"/>
        </w:rPr>
        <w:t>Monthly reports</w:t>
      </w:r>
      <w:r w:rsidRPr="00CE40F3">
        <w:rPr>
          <w:szCs w:val="22"/>
        </w:rPr>
        <w:t>.  Each participating VRS provider shall report the following information to the TRS Fund administrator with its monthly requests for compensation:</w:t>
      </w:r>
    </w:p>
    <w:p w:rsidR="00134604" w:rsidRPr="00CE40F3" w:rsidRDefault="00134604" w:rsidP="00134604">
      <w:pPr>
        <w:widowControl/>
        <w:spacing w:after="120"/>
        <w:rPr>
          <w:szCs w:val="22"/>
        </w:rPr>
      </w:pPr>
      <w:r w:rsidRPr="00CE40F3">
        <w:rPr>
          <w:szCs w:val="22"/>
        </w:rPr>
        <w:t>(A) The call center ID and full street address (number, street, city, state, and zip code) for each at-home workstation and the CA ID number for each individual handling VRS calls from that workstation; and</w:t>
      </w:r>
    </w:p>
    <w:p w:rsidR="00134604" w:rsidRPr="00CE40F3" w:rsidRDefault="00134604" w:rsidP="00134604">
      <w:pPr>
        <w:widowControl/>
        <w:spacing w:after="120"/>
        <w:rPr>
          <w:szCs w:val="22"/>
        </w:rPr>
      </w:pPr>
      <w:r w:rsidRPr="00CE40F3">
        <w:rPr>
          <w:szCs w:val="22"/>
        </w:rPr>
        <w:t>(B) The location and call center IDs of call centers providing supervision for at-home workstations, plus the names of persons at such call centers responsible for oversight of such workstations.</w:t>
      </w:r>
    </w:p>
    <w:p w:rsidR="00134604" w:rsidRPr="00CE40F3" w:rsidRDefault="00134604" w:rsidP="00134604">
      <w:pPr>
        <w:widowControl/>
        <w:spacing w:after="120"/>
        <w:rPr>
          <w:szCs w:val="22"/>
        </w:rPr>
      </w:pPr>
      <w:r w:rsidRPr="00CE40F3">
        <w:rPr>
          <w:szCs w:val="22"/>
        </w:rPr>
        <w:t xml:space="preserve">(ix) </w:t>
      </w:r>
      <w:r w:rsidRPr="00CE40F3">
        <w:rPr>
          <w:i/>
          <w:szCs w:val="22"/>
        </w:rPr>
        <w:t>Six-month report</w:t>
      </w:r>
      <w:r w:rsidRPr="00CE40F3">
        <w:rPr>
          <w:szCs w:val="22"/>
        </w:rPr>
        <w:t>.  Each participating VRS provider shall submit, no later than seven months after the start of its program, a report covering the first six months of its program, containing the following information:</w:t>
      </w:r>
    </w:p>
    <w:p w:rsidR="00134604" w:rsidRPr="00CE40F3" w:rsidRDefault="00134604" w:rsidP="00134604">
      <w:pPr>
        <w:widowControl/>
        <w:spacing w:after="120"/>
        <w:rPr>
          <w:szCs w:val="22"/>
        </w:rPr>
      </w:pPr>
      <w:r w:rsidRPr="00CE40F3">
        <w:rPr>
          <w:szCs w:val="22"/>
        </w:rPr>
        <w:t>(A) A description of the actual screening process used to select CAs for the at-home call handling program;</w:t>
      </w:r>
    </w:p>
    <w:p w:rsidR="00134604" w:rsidRPr="00CE40F3" w:rsidRDefault="00134604" w:rsidP="00134604">
      <w:pPr>
        <w:widowControl/>
        <w:spacing w:after="120"/>
        <w:rPr>
          <w:szCs w:val="22"/>
        </w:rPr>
      </w:pPr>
      <w:r w:rsidRPr="00CE40F3">
        <w:rPr>
          <w:szCs w:val="22"/>
        </w:rPr>
        <w:t>(B) Copies of training materials provided to at-home CAs;</w:t>
      </w:r>
    </w:p>
    <w:p w:rsidR="00134604" w:rsidRPr="00CE40F3" w:rsidRDefault="00134604" w:rsidP="00134604">
      <w:pPr>
        <w:widowControl/>
        <w:spacing w:after="120"/>
        <w:rPr>
          <w:szCs w:val="22"/>
        </w:rPr>
      </w:pPr>
      <w:r w:rsidRPr="00CE40F3">
        <w:rPr>
          <w:szCs w:val="22"/>
        </w:rPr>
        <w:t>(C) Copies of written protocols used for CAs working from home;</w:t>
      </w:r>
    </w:p>
    <w:p w:rsidR="00134604" w:rsidRPr="00CE40F3" w:rsidRDefault="00134604" w:rsidP="00134604">
      <w:pPr>
        <w:widowControl/>
        <w:spacing w:after="120"/>
        <w:rPr>
          <w:szCs w:val="22"/>
        </w:rPr>
      </w:pPr>
      <w:r w:rsidRPr="00CE40F3">
        <w:rPr>
          <w:szCs w:val="22"/>
        </w:rPr>
        <w:t xml:space="preserve">(D) The total number of CAs handling VRS calls from at-home workstations over the first six months of the program; </w:t>
      </w:r>
    </w:p>
    <w:p w:rsidR="00134604" w:rsidRPr="00CE40F3" w:rsidRDefault="00134604" w:rsidP="00134604">
      <w:pPr>
        <w:widowControl/>
        <w:spacing w:after="120"/>
        <w:rPr>
          <w:szCs w:val="22"/>
        </w:rPr>
      </w:pPr>
      <w:r w:rsidRPr="00CE40F3">
        <w:rPr>
          <w:szCs w:val="22"/>
        </w:rPr>
        <w:t>(E) The number of 911 calls handled by the provider’s at-home workstations;</w:t>
      </w:r>
    </w:p>
    <w:p w:rsidR="00134604" w:rsidRPr="00CE40F3" w:rsidRDefault="00134604" w:rsidP="00134604">
      <w:pPr>
        <w:widowControl/>
        <w:spacing w:after="120"/>
        <w:rPr>
          <w:szCs w:val="22"/>
        </w:rPr>
      </w:pPr>
      <w:r w:rsidRPr="00CE40F3">
        <w:rPr>
          <w:szCs w:val="22"/>
        </w:rPr>
        <w:t>(F) A description and copies of any surveys or evaluations taken of CAs concerning their experience using at-home workstations and participating in an at-home call handling program;</w:t>
      </w:r>
    </w:p>
    <w:p w:rsidR="00134604" w:rsidRPr="00CE40F3" w:rsidRDefault="00134604" w:rsidP="00134604">
      <w:pPr>
        <w:widowControl/>
        <w:spacing w:after="120"/>
        <w:rPr>
          <w:szCs w:val="22"/>
        </w:rPr>
      </w:pPr>
      <w:r w:rsidRPr="00CE40F3">
        <w:rPr>
          <w:szCs w:val="22"/>
        </w:rPr>
        <w:t>(G) The total number of CAs terminated from the program;</w:t>
      </w:r>
    </w:p>
    <w:p w:rsidR="00134604" w:rsidRPr="00CE40F3" w:rsidRDefault="00134604" w:rsidP="00134604">
      <w:pPr>
        <w:widowControl/>
        <w:spacing w:after="120"/>
        <w:rPr>
          <w:szCs w:val="22"/>
        </w:rPr>
      </w:pPr>
      <w:r w:rsidRPr="00CE40F3">
        <w:rPr>
          <w:szCs w:val="22"/>
        </w:rPr>
        <w:t>(H) The total number of complaints, if any, submitted to the provider regarding its at-home call handling program or calls handled by at-home CAs.</w:t>
      </w:r>
    </w:p>
    <w:p w:rsidR="00134604" w:rsidRPr="00CE40F3" w:rsidRDefault="00134604" w:rsidP="00134604">
      <w:pPr>
        <w:widowControl/>
        <w:spacing w:after="120"/>
        <w:rPr>
          <w:szCs w:val="22"/>
        </w:rPr>
      </w:pPr>
      <w:r w:rsidRPr="00CE40F3">
        <w:rPr>
          <w:szCs w:val="22"/>
        </w:rPr>
        <w:t>(I) The total number of on-site inspections conducted of at-home workstations and the date and location of each inspection;</w:t>
      </w:r>
    </w:p>
    <w:p w:rsidR="00134604" w:rsidRPr="00CE40F3" w:rsidRDefault="00134604" w:rsidP="00134604">
      <w:pPr>
        <w:widowControl/>
        <w:spacing w:after="120"/>
        <w:rPr>
          <w:szCs w:val="22"/>
        </w:rPr>
      </w:pPr>
      <w:r w:rsidRPr="00CE40F3">
        <w:rPr>
          <w:szCs w:val="22"/>
        </w:rPr>
        <w:t xml:space="preserve">(J) A description of the monitoring technology used to monitor CAs working at home and an analysis of the experience of supervisors overseeing at-home CAs compared to overseeing CAs in a call center; </w:t>
      </w:r>
    </w:p>
    <w:p w:rsidR="00134604" w:rsidRPr="00CE40F3" w:rsidRDefault="00134604" w:rsidP="00134604">
      <w:pPr>
        <w:widowControl/>
        <w:spacing w:after="120"/>
        <w:rPr>
          <w:szCs w:val="22"/>
        </w:rPr>
      </w:pPr>
      <w:r w:rsidRPr="00CE40F3">
        <w:rPr>
          <w:szCs w:val="22"/>
        </w:rPr>
        <w:t>(K) Copies of any reports produced by tracking software and a description explaining how the provider analyzed the reports for anomalies; and</w:t>
      </w:r>
    </w:p>
    <w:p w:rsidR="00134604" w:rsidRPr="00CE40F3" w:rsidRDefault="00134604" w:rsidP="00134604">
      <w:pPr>
        <w:widowControl/>
        <w:spacing w:after="120"/>
        <w:rPr>
          <w:szCs w:val="22"/>
        </w:rPr>
      </w:pPr>
      <w:r w:rsidRPr="00CE40F3">
        <w:rPr>
          <w:szCs w:val="22"/>
        </w:rPr>
        <w:t>(L) Detailed documentation of costs incurred in the use of at-home workstations, including any costs associated with CA recruitment, training, and compensation, engineering and technical set-up (including workstation set-up), and administrative and management support (including oversight, evaluation, and recording).</w:t>
      </w:r>
    </w:p>
    <w:p w:rsidR="00134604" w:rsidRPr="00CE40F3" w:rsidRDefault="00134604" w:rsidP="00134604">
      <w:pPr>
        <w:spacing w:after="120"/>
        <w:rPr>
          <w:szCs w:val="22"/>
        </w:rPr>
      </w:pPr>
      <w:r w:rsidRPr="00CE40F3">
        <w:rPr>
          <w:szCs w:val="22"/>
        </w:rPr>
        <w:t>* * * * *</w:t>
      </w:r>
    </w:p>
    <w:p w:rsidR="00134604" w:rsidRPr="00CE40F3" w:rsidRDefault="00134604" w:rsidP="00134604">
      <w:pPr>
        <w:spacing w:after="120"/>
        <w:rPr>
          <w:rFonts w:eastAsia="Calibri"/>
          <w:snapToGrid/>
          <w:kern w:val="0"/>
          <w:szCs w:val="22"/>
        </w:rPr>
      </w:pPr>
      <w:r w:rsidRPr="00CE40F3">
        <w:rPr>
          <w:szCs w:val="22"/>
        </w:rPr>
        <w:t xml:space="preserve">(c) </w:t>
      </w:r>
      <w:r w:rsidRPr="00CE40F3">
        <w:rPr>
          <w:rFonts w:eastAsia="Calibri"/>
          <w:snapToGrid/>
          <w:kern w:val="0"/>
          <w:szCs w:val="22"/>
        </w:rPr>
        <w:t>* * *</w:t>
      </w:r>
    </w:p>
    <w:p w:rsidR="00134604" w:rsidRPr="00CE40F3" w:rsidRDefault="00134604" w:rsidP="00134604">
      <w:pPr>
        <w:spacing w:after="120"/>
        <w:rPr>
          <w:rFonts w:eastAsia="Calibri"/>
          <w:snapToGrid/>
          <w:kern w:val="0"/>
          <w:szCs w:val="22"/>
        </w:rPr>
      </w:pPr>
      <w:r w:rsidRPr="00CE40F3">
        <w:rPr>
          <w:rFonts w:eastAsia="Calibri"/>
          <w:snapToGrid/>
          <w:kern w:val="0"/>
          <w:szCs w:val="22"/>
        </w:rPr>
        <w:t>(5) * * *</w:t>
      </w:r>
    </w:p>
    <w:p w:rsidR="00134604" w:rsidRPr="00CE40F3" w:rsidRDefault="00134604" w:rsidP="00134604">
      <w:pPr>
        <w:spacing w:after="120"/>
        <w:rPr>
          <w:rFonts w:eastAsia="Calibri"/>
          <w:snapToGrid/>
          <w:kern w:val="0"/>
          <w:szCs w:val="22"/>
        </w:rPr>
      </w:pPr>
      <w:r w:rsidRPr="00CE40F3">
        <w:rPr>
          <w:rFonts w:eastAsia="Calibri"/>
          <w:snapToGrid/>
          <w:kern w:val="0"/>
          <w:szCs w:val="22"/>
        </w:rPr>
        <w:t>(iii) * * *</w:t>
      </w:r>
    </w:p>
    <w:p w:rsidR="00134604" w:rsidRPr="00CE40F3" w:rsidRDefault="00134604" w:rsidP="00134604">
      <w:pPr>
        <w:spacing w:after="120"/>
        <w:rPr>
          <w:rFonts w:eastAsia="Calibri"/>
          <w:snapToGrid/>
          <w:kern w:val="0"/>
          <w:szCs w:val="22"/>
        </w:rPr>
      </w:pPr>
      <w:r w:rsidRPr="00CE40F3">
        <w:rPr>
          <w:rFonts w:eastAsia="Calibri"/>
          <w:snapToGrid/>
          <w:kern w:val="0"/>
          <w:szCs w:val="22"/>
        </w:rPr>
        <w:t>(L) * * *</w:t>
      </w:r>
    </w:p>
    <w:p w:rsidR="00134604" w:rsidRPr="00CE40F3" w:rsidRDefault="00134604" w:rsidP="00134604">
      <w:pPr>
        <w:spacing w:after="120"/>
        <w:rPr>
          <w:rFonts w:eastAsia="Calibri"/>
          <w:snapToGrid/>
          <w:kern w:val="0"/>
          <w:szCs w:val="22"/>
        </w:rPr>
      </w:pPr>
      <w:r w:rsidRPr="00CE40F3">
        <w:rPr>
          <w:rFonts w:eastAsia="Calibri"/>
          <w:snapToGrid/>
          <w:kern w:val="0"/>
          <w:szCs w:val="22"/>
        </w:rPr>
        <w:t>(</w:t>
      </w:r>
      <w:r w:rsidRPr="00CE40F3">
        <w:rPr>
          <w:rFonts w:eastAsia="Calibri"/>
          <w:i/>
          <w:snapToGrid/>
          <w:kern w:val="0"/>
          <w:szCs w:val="22"/>
        </w:rPr>
        <w:t>6</w:t>
      </w:r>
      <w:r w:rsidRPr="00CE40F3">
        <w:rPr>
          <w:rFonts w:eastAsia="Calibri"/>
          <w:snapToGrid/>
          <w:kern w:val="0"/>
          <w:szCs w:val="22"/>
        </w:rPr>
        <w:t xml:space="preserve">) If the VRS provider submits a waiver request asserting exigent circumstances affecting one or more call centers that will make it highly improbable that the VRS provider will meet the speed-of-answer standard for call attempts occurring in a period of time identified by beginning and ending dates, the </w:t>
      </w:r>
      <w:r>
        <w:rPr>
          <w:rFonts w:eastAsia="Calibri"/>
          <w:snapToGrid/>
          <w:kern w:val="0"/>
          <w:szCs w:val="22"/>
        </w:rPr>
        <w:t xml:space="preserve">TRS </w:t>
      </w:r>
      <w:r w:rsidRPr="00CE40F3">
        <w:rPr>
          <w:rFonts w:eastAsia="Calibri"/>
          <w:snapToGrid/>
          <w:kern w:val="0"/>
          <w:szCs w:val="22"/>
        </w:rPr>
        <w:t>Fund administrator shall not withhold TRS Fund payments for a VRS provider’s failure to meet the speed-of-answer standard during the identified period of time while the waiver request is under review by the Commission.  In the event that the waiver request is denied, the speed-of-answer requirement is not met, and payment has been made to the provider from the TRS Fund for the identified period of time or a portion thereof, the provider shall return such payment to the TRS Fund for any period of time when the speed-of-answer requirement was not met.</w:t>
      </w:r>
    </w:p>
    <w:p w:rsidR="00134604" w:rsidRPr="00CE40F3" w:rsidRDefault="00134604" w:rsidP="00134604">
      <w:pPr>
        <w:spacing w:after="120"/>
        <w:rPr>
          <w:rFonts w:eastAsia="Calibri"/>
          <w:snapToGrid/>
          <w:kern w:val="0"/>
          <w:szCs w:val="22"/>
        </w:rPr>
      </w:pPr>
      <w:r w:rsidRPr="00CE40F3">
        <w:rPr>
          <w:rFonts w:eastAsia="Calibri"/>
          <w:snapToGrid/>
          <w:kern w:val="0"/>
          <w:szCs w:val="22"/>
        </w:rPr>
        <w:t>* * * * *</w:t>
      </w:r>
    </w:p>
    <w:p w:rsidR="00134604" w:rsidRPr="00CE40F3" w:rsidRDefault="00134604" w:rsidP="00134604">
      <w:pPr>
        <w:widowControl/>
        <w:spacing w:after="120"/>
        <w:rPr>
          <w:szCs w:val="22"/>
        </w:rPr>
      </w:pPr>
    </w:p>
    <w:p w:rsidR="00134604" w:rsidRPr="00CE40F3" w:rsidRDefault="00134604" w:rsidP="00134604">
      <w:pPr>
        <w:widowControl/>
        <w:spacing w:after="120"/>
        <w:rPr>
          <w:szCs w:val="22"/>
        </w:rPr>
      </w:pPr>
      <w:r w:rsidRPr="00CE40F3">
        <w:rPr>
          <w:szCs w:val="22"/>
        </w:rPr>
        <w:t>4.  Amend § 64.611 by adding paragraph (a)(5) and amending paragraphs (c)(2)(i) and (g)(1)(vii) to read as follows:</w:t>
      </w:r>
    </w:p>
    <w:p w:rsidR="00134604" w:rsidRPr="00CE40F3" w:rsidRDefault="00134604" w:rsidP="00134604">
      <w:pPr>
        <w:widowControl/>
        <w:spacing w:after="120"/>
        <w:rPr>
          <w:b/>
          <w:szCs w:val="22"/>
        </w:rPr>
      </w:pPr>
      <w:r w:rsidRPr="00CE40F3">
        <w:rPr>
          <w:b/>
          <w:szCs w:val="22"/>
        </w:rPr>
        <w:t>§ 64.611 Internet-based TRS registration.</w:t>
      </w:r>
    </w:p>
    <w:p w:rsidR="00134604" w:rsidRPr="00CE40F3" w:rsidRDefault="00134604" w:rsidP="00134604">
      <w:pPr>
        <w:spacing w:after="120"/>
        <w:rPr>
          <w:rFonts w:eastAsia="Calibri"/>
          <w:snapToGrid/>
          <w:kern w:val="0"/>
          <w:szCs w:val="22"/>
        </w:rPr>
      </w:pPr>
      <w:r w:rsidRPr="00CE40F3">
        <w:rPr>
          <w:rFonts w:eastAsia="Calibri"/>
          <w:snapToGrid/>
          <w:kern w:val="0"/>
          <w:szCs w:val="22"/>
        </w:rPr>
        <w:t>(a) * * *</w:t>
      </w:r>
    </w:p>
    <w:p w:rsidR="00134604" w:rsidRPr="00CE40F3" w:rsidRDefault="00134604" w:rsidP="00134604">
      <w:pPr>
        <w:spacing w:after="120"/>
        <w:rPr>
          <w:rFonts w:eastAsia="Calibri"/>
          <w:snapToGrid/>
          <w:kern w:val="0"/>
          <w:szCs w:val="22"/>
        </w:rPr>
      </w:pPr>
      <w:r w:rsidRPr="00CE40F3">
        <w:rPr>
          <w:szCs w:val="22"/>
        </w:rPr>
        <w:t xml:space="preserve">(5) </w:t>
      </w:r>
      <w:r w:rsidRPr="00CE40F3">
        <w:rPr>
          <w:i/>
          <w:iCs/>
          <w:kern w:val="0"/>
          <w:szCs w:val="22"/>
        </w:rPr>
        <w:t>Assignment of iTRS Numbers to</w:t>
      </w:r>
      <w:r w:rsidRPr="00CE40F3">
        <w:rPr>
          <w:szCs w:val="22"/>
        </w:rPr>
        <w:t xml:space="preserve"> </w:t>
      </w:r>
      <w:r w:rsidRPr="00CE40F3">
        <w:rPr>
          <w:i/>
          <w:iCs/>
          <w:kern w:val="0"/>
          <w:szCs w:val="22"/>
        </w:rPr>
        <w:t>Hearing Point-to-Point Video Users.</w:t>
      </w:r>
    </w:p>
    <w:p w:rsidR="00134604" w:rsidRPr="00CE40F3" w:rsidRDefault="00134604" w:rsidP="00134604">
      <w:pPr>
        <w:widowControl/>
        <w:spacing w:after="120"/>
        <w:rPr>
          <w:szCs w:val="22"/>
        </w:rPr>
      </w:pPr>
      <w:r w:rsidRPr="00CE40F3">
        <w:rPr>
          <w:szCs w:val="22"/>
        </w:rPr>
        <w:t xml:space="preserve">(i) Before assigning an iTRS telephone number to a hearing individual, a VRS provider shall obtain from such individual, the </w:t>
      </w:r>
      <w:r w:rsidRPr="00CE40F3">
        <w:rPr>
          <w:rFonts w:eastAsia="Calibri"/>
          <w:szCs w:val="22"/>
        </w:rPr>
        <w:t>individual’s</w:t>
      </w:r>
      <w:r w:rsidRPr="00CE40F3">
        <w:rPr>
          <w:szCs w:val="22"/>
        </w:rPr>
        <w:t xml:space="preserve"> full name, residential address, date of birth, and a written certification, attesting that the individual:</w:t>
      </w:r>
    </w:p>
    <w:p w:rsidR="00134604" w:rsidRPr="00CE40F3" w:rsidRDefault="00134604" w:rsidP="00134604">
      <w:pPr>
        <w:widowControl/>
        <w:spacing w:after="120"/>
        <w:rPr>
          <w:szCs w:val="22"/>
        </w:rPr>
      </w:pPr>
      <w:r w:rsidRPr="00CE40F3">
        <w:rPr>
          <w:szCs w:val="22"/>
        </w:rPr>
        <w:t>(A) Is proficient in sign language;</w:t>
      </w:r>
    </w:p>
    <w:p w:rsidR="00134604" w:rsidRPr="00CE40F3" w:rsidRDefault="00134604" w:rsidP="00134604">
      <w:pPr>
        <w:widowControl/>
        <w:spacing w:after="120"/>
        <w:rPr>
          <w:szCs w:val="22"/>
        </w:rPr>
      </w:pPr>
      <w:r w:rsidRPr="00CE40F3">
        <w:rPr>
          <w:szCs w:val="22"/>
        </w:rPr>
        <w:t>(B) Understands that the iTRS number may be used only for the purpose of point-to-point communication over distances with registered VRS users; and</w:t>
      </w:r>
    </w:p>
    <w:p w:rsidR="00134604" w:rsidRPr="00CE40F3" w:rsidRDefault="00134604" w:rsidP="00134604">
      <w:pPr>
        <w:widowControl/>
        <w:spacing w:after="120"/>
        <w:rPr>
          <w:szCs w:val="22"/>
        </w:rPr>
      </w:pPr>
      <w:r w:rsidRPr="00CE40F3">
        <w:rPr>
          <w:szCs w:val="22"/>
        </w:rPr>
        <w:t>(C) Understands that such iTRS number may not be used to access VRS.</w:t>
      </w:r>
    </w:p>
    <w:p w:rsidR="00134604" w:rsidRPr="00CE40F3" w:rsidRDefault="00134604" w:rsidP="00134604">
      <w:pPr>
        <w:spacing w:after="120"/>
        <w:rPr>
          <w:rFonts w:eastAsia="Calibri"/>
          <w:snapToGrid/>
          <w:kern w:val="0"/>
          <w:szCs w:val="22"/>
        </w:rPr>
      </w:pPr>
      <w:r w:rsidRPr="00CE40F3">
        <w:rPr>
          <w:rFonts w:eastAsia="Calibri"/>
          <w:snapToGrid/>
          <w:kern w:val="0"/>
          <w:szCs w:val="22"/>
        </w:rPr>
        <w:t>(ii) Before assigning an iTRS telephone number to a hearing individual, a VRS provider also shall obtain the individual’s consent to provide the information required by this paragraph (a)(5) to the TRS User Registration Database.  Before obtaining such consent, the VRS provider, using clear, easily understood language, shall describe the specific information to be provided, explain that the information is provided to ensure proper administration of the TRS program and inform the individual that failure to provide consent will result in denial of service.  VRS providers shall obtain and keep a record of affirmative acknowledgment of such consent by every hearing point-to-point video user to whom an iTRS number is assigned.</w:t>
      </w:r>
    </w:p>
    <w:p w:rsidR="00134604" w:rsidRPr="00CE40F3" w:rsidRDefault="00134604" w:rsidP="00134604">
      <w:pPr>
        <w:spacing w:after="120"/>
        <w:rPr>
          <w:rFonts w:eastAsia="Calibri"/>
          <w:snapToGrid/>
          <w:kern w:val="0"/>
          <w:szCs w:val="22"/>
        </w:rPr>
      </w:pPr>
      <w:r w:rsidRPr="00CE40F3">
        <w:rPr>
          <w:rFonts w:eastAsia="Calibri"/>
          <w:snapToGrid/>
          <w:kern w:val="0"/>
          <w:szCs w:val="22"/>
        </w:rPr>
        <w:t>(iii) The certification required by paragraph (a)(5)(i) of this section must be made on a form separate from any other agreement or form, and must include a separate signature specific to the certification.  For the purposes of this rule, an electronic signature, defined by the Electronic Signatures in Global and National Commerce Act, as an electronic sound, symbol, or process, attached to or logically associated with a contract or other record and executed or adopted by a person with the intent to sign the record, has the same legal effect as a written signature.  For the purposes of this rule, an electronic record, defined by the Electronic Signatures in Global and National Commerce Act as a contract or other record created, generated, sent, communicated, received, or stored by electronic means, constitutes a record.</w:t>
      </w:r>
    </w:p>
    <w:p w:rsidR="00134604" w:rsidRPr="00CE40F3" w:rsidRDefault="00134604" w:rsidP="00134604">
      <w:pPr>
        <w:spacing w:after="120"/>
        <w:rPr>
          <w:rFonts w:eastAsia="Calibri"/>
          <w:snapToGrid/>
          <w:kern w:val="0"/>
          <w:szCs w:val="22"/>
        </w:rPr>
      </w:pPr>
      <w:r w:rsidRPr="00CE40F3">
        <w:rPr>
          <w:rFonts w:eastAsia="Calibri"/>
          <w:snapToGrid/>
          <w:kern w:val="0"/>
          <w:szCs w:val="22"/>
        </w:rPr>
        <w:t>(iv) Before commencing service to any hearing point-to-point video user to whom a VRS provider assigns an iTRS number on or after the TRS User Registration Database is operational, a VRS provider shall submit to the TRS User Registration Database the information listed in paragraph (a)(5)(i) and the following additional information:</w:t>
      </w:r>
    </w:p>
    <w:p w:rsidR="00134604" w:rsidRPr="00CE40F3" w:rsidRDefault="00134604" w:rsidP="00134604">
      <w:pPr>
        <w:spacing w:after="120"/>
        <w:rPr>
          <w:rFonts w:eastAsia="Calibri"/>
          <w:snapToGrid/>
          <w:kern w:val="0"/>
          <w:szCs w:val="22"/>
        </w:rPr>
      </w:pPr>
      <w:r w:rsidRPr="00CE40F3">
        <w:rPr>
          <w:rFonts w:eastAsia="Calibri"/>
          <w:snapToGrid/>
          <w:kern w:val="0"/>
          <w:szCs w:val="22"/>
        </w:rPr>
        <w:t>(A) The ten-digit telephone number assigned in the TRS Numbering Director to the hearing point-to-point user;</w:t>
      </w:r>
    </w:p>
    <w:p w:rsidR="00134604" w:rsidRPr="00CE40F3" w:rsidRDefault="00134604" w:rsidP="00134604">
      <w:pPr>
        <w:spacing w:after="120"/>
        <w:rPr>
          <w:rFonts w:eastAsia="Calibri"/>
          <w:snapToGrid/>
          <w:kern w:val="0"/>
          <w:szCs w:val="22"/>
        </w:rPr>
      </w:pPr>
      <w:r w:rsidRPr="00CE40F3">
        <w:rPr>
          <w:rFonts w:eastAsia="Calibri"/>
          <w:snapToGrid/>
          <w:kern w:val="0"/>
          <w:szCs w:val="22"/>
        </w:rPr>
        <w:t>(B) The VRS provider’s name and the date of service initiation; and</w:t>
      </w:r>
    </w:p>
    <w:p w:rsidR="00134604" w:rsidRPr="00CE40F3" w:rsidRDefault="00134604" w:rsidP="00134604">
      <w:pPr>
        <w:spacing w:after="120"/>
        <w:rPr>
          <w:rFonts w:eastAsia="Calibri"/>
          <w:snapToGrid/>
          <w:kern w:val="0"/>
          <w:szCs w:val="22"/>
        </w:rPr>
      </w:pPr>
      <w:r w:rsidRPr="00CE40F3">
        <w:rPr>
          <w:rFonts w:eastAsia="Calibri"/>
          <w:snapToGrid/>
          <w:kern w:val="0"/>
          <w:szCs w:val="22"/>
        </w:rPr>
        <w:t>(C) The date on which a ten-digit number was assigned to or removed from a hearing point-to-point user.</w:t>
      </w:r>
    </w:p>
    <w:p w:rsidR="00134604" w:rsidRPr="00CE40F3" w:rsidRDefault="00134604" w:rsidP="00134604">
      <w:pPr>
        <w:spacing w:after="120"/>
        <w:rPr>
          <w:rFonts w:eastAsia="Calibri"/>
          <w:snapToGrid/>
          <w:kern w:val="0"/>
          <w:szCs w:val="22"/>
        </w:rPr>
      </w:pPr>
      <w:r w:rsidRPr="00CE40F3">
        <w:rPr>
          <w:rFonts w:eastAsia="Calibri"/>
          <w:snapToGrid/>
          <w:kern w:val="0"/>
          <w:szCs w:val="22"/>
        </w:rPr>
        <w:t>(v) For all other hearing point-to-point video users to whom a VRS provider has assigned an iTRS number, the VRS provider shall transmit the information required by paragraph (a)(5)(iv) of this section within 60 days after the TRS User Registration Database is operational.</w:t>
      </w:r>
    </w:p>
    <w:p w:rsidR="00134604" w:rsidRPr="00CE40F3" w:rsidRDefault="00134604" w:rsidP="00134604">
      <w:pPr>
        <w:spacing w:after="120"/>
        <w:rPr>
          <w:rFonts w:eastAsia="Calibri"/>
          <w:snapToGrid/>
          <w:kern w:val="0"/>
          <w:szCs w:val="22"/>
        </w:rPr>
      </w:pPr>
      <w:r w:rsidRPr="00CE40F3">
        <w:rPr>
          <w:rFonts w:eastAsia="Calibri"/>
          <w:snapToGrid/>
          <w:kern w:val="0"/>
          <w:szCs w:val="22"/>
        </w:rPr>
        <w:t>(vi) Upon the termination of service to any hearing point-to-point video user, a VRS provider shall submit to the TRS User Registration Database the date of termination of service.</w:t>
      </w:r>
    </w:p>
    <w:p w:rsidR="00134604" w:rsidRPr="00CE40F3" w:rsidRDefault="00134604" w:rsidP="00134604">
      <w:pPr>
        <w:widowControl/>
        <w:spacing w:after="120"/>
        <w:rPr>
          <w:szCs w:val="22"/>
        </w:rPr>
      </w:pPr>
      <w:r w:rsidRPr="00CE40F3">
        <w:rPr>
          <w:szCs w:val="22"/>
        </w:rPr>
        <w:t>(vii) A VRS provider shall maintain the confidentiality of the information about hearing individuals required by this paragraph (a)(5) and may not disclose such information except as required by law or regulation.</w:t>
      </w:r>
    </w:p>
    <w:p w:rsidR="00134604" w:rsidRPr="00CE40F3" w:rsidRDefault="00134604" w:rsidP="00134604">
      <w:pPr>
        <w:widowControl/>
        <w:spacing w:after="120"/>
        <w:rPr>
          <w:szCs w:val="22"/>
        </w:rPr>
      </w:pPr>
      <w:r w:rsidRPr="00CE40F3">
        <w:rPr>
          <w:szCs w:val="22"/>
        </w:rPr>
        <w:t>(viii) Before commencing service to a hearing point-to-point video user who is transferring point-to-point video service from another VRS provider, a VRS provider shall notify the TRS User Registration Database of such transfer and shall obtain and submit a properly executed certification under paragraph (a)(5)(i).</w:t>
      </w:r>
    </w:p>
    <w:p w:rsidR="00134604" w:rsidRPr="00CE40F3" w:rsidRDefault="00134604" w:rsidP="00134604">
      <w:pPr>
        <w:widowControl/>
        <w:spacing w:after="120"/>
        <w:rPr>
          <w:szCs w:val="22"/>
        </w:rPr>
      </w:pPr>
      <w:r w:rsidRPr="00CE40F3">
        <w:rPr>
          <w:szCs w:val="22"/>
        </w:rPr>
        <w:t>(ix) Hearing individuals who are assigned iTRS numbers under this paragraph (a)(5) shall not be deemed registered VRS users.  VRS providers shall not be compensated and shall not seek compensation from the TRS Fund for any VRS calls to or from such iTRS numbers.</w:t>
      </w:r>
    </w:p>
    <w:p w:rsidR="00134604" w:rsidRPr="00CE40F3" w:rsidRDefault="00134604" w:rsidP="00134604">
      <w:pPr>
        <w:widowControl/>
        <w:spacing w:after="120"/>
        <w:rPr>
          <w:szCs w:val="22"/>
        </w:rPr>
      </w:pPr>
      <w:r w:rsidRPr="00CE40F3">
        <w:rPr>
          <w:szCs w:val="22"/>
        </w:rPr>
        <w:t>* * * * *</w:t>
      </w:r>
    </w:p>
    <w:p w:rsidR="00134604" w:rsidRPr="00CE40F3" w:rsidRDefault="00134604" w:rsidP="00134604">
      <w:pPr>
        <w:spacing w:after="120"/>
        <w:rPr>
          <w:rFonts w:eastAsia="Calibri"/>
          <w:snapToGrid/>
          <w:kern w:val="0"/>
          <w:szCs w:val="22"/>
        </w:rPr>
      </w:pPr>
      <w:r w:rsidRPr="00CE40F3">
        <w:rPr>
          <w:szCs w:val="22"/>
        </w:rPr>
        <w:t>(c)</w:t>
      </w:r>
      <w:r w:rsidRPr="00CE40F3">
        <w:rPr>
          <w:rFonts w:eastAsia="Calibri"/>
          <w:snapToGrid/>
          <w:kern w:val="0"/>
          <w:szCs w:val="22"/>
        </w:rPr>
        <w:t xml:space="preserve"> * * *</w:t>
      </w:r>
    </w:p>
    <w:p w:rsidR="00134604" w:rsidRPr="00CE40F3" w:rsidRDefault="00134604" w:rsidP="00134604">
      <w:pPr>
        <w:widowControl/>
        <w:spacing w:after="120"/>
        <w:rPr>
          <w:rFonts w:eastAsia="Calibri"/>
          <w:snapToGrid/>
          <w:szCs w:val="22"/>
        </w:rPr>
      </w:pPr>
      <w:r w:rsidRPr="00CE40F3">
        <w:rPr>
          <w:szCs w:val="22"/>
        </w:rPr>
        <w:t>(2)</w:t>
      </w:r>
      <w:r w:rsidRPr="00CE40F3">
        <w:rPr>
          <w:rFonts w:eastAsia="Calibri"/>
          <w:snapToGrid/>
          <w:szCs w:val="22"/>
        </w:rPr>
        <w:t xml:space="preserve"> * * *</w:t>
      </w:r>
    </w:p>
    <w:p w:rsidR="00134604" w:rsidRPr="00CE40F3" w:rsidRDefault="00134604" w:rsidP="00134604">
      <w:pPr>
        <w:widowControl/>
        <w:spacing w:after="120"/>
        <w:rPr>
          <w:rFonts w:eastAsia="Calibri"/>
          <w:snapToGrid/>
          <w:szCs w:val="22"/>
        </w:rPr>
      </w:pPr>
      <w:r w:rsidRPr="00CE40F3">
        <w:rPr>
          <w:rFonts w:eastAsia="Calibri"/>
          <w:snapToGrid/>
          <w:szCs w:val="22"/>
        </w:rPr>
        <w:t>(i) Take such steps as are necessary to cease acquiring routing information from any VRS, IP Relay, or hearing point-to-point video user that ports his or her number to another VRS or IP Relay provider or otherwise selects a new default provider;</w:t>
      </w:r>
    </w:p>
    <w:p w:rsidR="00134604" w:rsidRPr="00CE40F3" w:rsidRDefault="00134604" w:rsidP="00134604">
      <w:pPr>
        <w:spacing w:after="120"/>
        <w:rPr>
          <w:rFonts w:eastAsia="Calibri"/>
          <w:snapToGrid/>
          <w:kern w:val="0"/>
          <w:szCs w:val="22"/>
        </w:rPr>
      </w:pPr>
      <w:r w:rsidRPr="00CE40F3">
        <w:rPr>
          <w:rFonts w:eastAsia="Calibri"/>
          <w:snapToGrid/>
          <w:kern w:val="0"/>
          <w:szCs w:val="22"/>
        </w:rPr>
        <w:t>* * * * *</w:t>
      </w:r>
    </w:p>
    <w:p w:rsidR="00134604" w:rsidRPr="00CE40F3" w:rsidRDefault="00134604" w:rsidP="00134604">
      <w:pPr>
        <w:spacing w:after="120"/>
        <w:rPr>
          <w:rFonts w:eastAsia="Calibri"/>
          <w:snapToGrid/>
          <w:kern w:val="0"/>
          <w:szCs w:val="22"/>
        </w:rPr>
      </w:pPr>
      <w:r w:rsidRPr="00CE40F3">
        <w:rPr>
          <w:rFonts w:eastAsia="Calibri"/>
          <w:snapToGrid/>
          <w:kern w:val="0"/>
          <w:szCs w:val="22"/>
        </w:rPr>
        <w:t>(g) * * *</w:t>
      </w:r>
    </w:p>
    <w:p w:rsidR="00134604" w:rsidRPr="00CE40F3" w:rsidRDefault="00134604" w:rsidP="00134604">
      <w:pPr>
        <w:widowControl/>
        <w:spacing w:after="120"/>
        <w:rPr>
          <w:rFonts w:eastAsia="Calibri"/>
          <w:snapToGrid/>
          <w:szCs w:val="22"/>
        </w:rPr>
      </w:pPr>
      <w:r w:rsidRPr="00CE40F3">
        <w:rPr>
          <w:szCs w:val="22"/>
        </w:rPr>
        <w:t xml:space="preserve">(1) </w:t>
      </w:r>
      <w:r w:rsidRPr="00CE40F3">
        <w:rPr>
          <w:rFonts w:eastAsia="Calibri"/>
          <w:snapToGrid/>
          <w:szCs w:val="22"/>
        </w:rPr>
        <w:t>* * *</w:t>
      </w:r>
    </w:p>
    <w:p w:rsidR="00134604" w:rsidRPr="00CE40F3" w:rsidRDefault="00134604" w:rsidP="00134604">
      <w:pPr>
        <w:widowControl/>
        <w:spacing w:after="120"/>
        <w:rPr>
          <w:rFonts w:eastAsia="Calibri"/>
          <w:snapToGrid/>
          <w:szCs w:val="22"/>
        </w:rPr>
      </w:pPr>
      <w:r w:rsidRPr="00CE40F3">
        <w:rPr>
          <w:rFonts w:eastAsia="Calibri"/>
          <w:snapToGrid/>
          <w:szCs w:val="22"/>
        </w:rPr>
        <w:t>* * * * *</w:t>
      </w:r>
    </w:p>
    <w:p w:rsidR="00134604" w:rsidRPr="00CE40F3" w:rsidRDefault="00134604" w:rsidP="00134604">
      <w:pPr>
        <w:widowControl/>
        <w:spacing w:after="120"/>
        <w:rPr>
          <w:szCs w:val="22"/>
        </w:rPr>
      </w:pPr>
      <w:r w:rsidRPr="00CE40F3">
        <w:rPr>
          <w:szCs w:val="22"/>
        </w:rPr>
        <w:t xml:space="preserve">(vii) If the provider assigns iTRS numbers to hearing point-to-point video users, an explanation that hearing point-to-point video users will not be able to place an emergency call. </w:t>
      </w:r>
    </w:p>
    <w:p w:rsidR="00134604" w:rsidRPr="00CE40F3" w:rsidRDefault="00134604" w:rsidP="00134604">
      <w:pPr>
        <w:widowControl/>
        <w:spacing w:after="120"/>
        <w:rPr>
          <w:rFonts w:eastAsia="Calibri"/>
          <w:snapToGrid/>
          <w:szCs w:val="22"/>
        </w:rPr>
      </w:pPr>
      <w:r w:rsidRPr="00CE40F3">
        <w:rPr>
          <w:rFonts w:eastAsia="Calibri"/>
          <w:snapToGrid/>
          <w:szCs w:val="22"/>
        </w:rPr>
        <w:t>* * * * *</w:t>
      </w:r>
    </w:p>
    <w:p w:rsidR="00134604" w:rsidRPr="00CE40F3" w:rsidRDefault="00134604" w:rsidP="00134604">
      <w:pPr>
        <w:widowControl/>
        <w:spacing w:after="120"/>
        <w:rPr>
          <w:szCs w:val="22"/>
        </w:rPr>
      </w:pPr>
    </w:p>
    <w:p w:rsidR="00134604" w:rsidRPr="00CE40F3" w:rsidRDefault="00134604" w:rsidP="00134604">
      <w:pPr>
        <w:widowControl/>
        <w:spacing w:after="120"/>
        <w:rPr>
          <w:szCs w:val="22"/>
        </w:rPr>
      </w:pPr>
      <w:r w:rsidRPr="00CE40F3">
        <w:rPr>
          <w:szCs w:val="22"/>
        </w:rPr>
        <w:t>5. Amend § 64.613 by amending paragraphs (a)(1) and (2) as follows:</w:t>
      </w:r>
    </w:p>
    <w:p w:rsidR="00134604" w:rsidRPr="00CE40F3" w:rsidRDefault="00134604" w:rsidP="00134604">
      <w:pPr>
        <w:widowControl/>
        <w:spacing w:after="120"/>
        <w:rPr>
          <w:b/>
          <w:szCs w:val="22"/>
        </w:rPr>
      </w:pPr>
      <w:r w:rsidRPr="00CE40F3">
        <w:rPr>
          <w:b/>
          <w:szCs w:val="22"/>
        </w:rPr>
        <w:t>§ 64.613 Numbering directory for Internet-based TRS users.</w:t>
      </w:r>
    </w:p>
    <w:p w:rsidR="00134604" w:rsidRPr="00CE40F3" w:rsidRDefault="00134604" w:rsidP="00134604">
      <w:pPr>
        <w:widowControl/>
        <w:spacing w:after="120"/>
        <w:rPr>
          <w:rFonts w:eastAsia="Calibri"/>
          <w:snapToGrid/>
          <w:szCs w:val="22"/>
        </w:rPr>
      </w:pPr>
      <w:r w:rsidRPr="00CE40F3">
        <w:rPr>
          <w:szCs w:val="22"/>
        </w:rPr>
        <w:t>(a)</w:t>
      </w:r>
      <w:r w:rsidRPr="00CE40F3">
        <w:rPr>
          <w:rFonts w:eastAsia="Calibri"/>
          <w:snapToGrid/>
          <w:szCs w:val="22"/>
        </w:rPr>
        <w:t xml:space="preserve"> * * *</w:t>
      </w:r>
    </w:p>
    <w:p w:rsidR="00134604" w:rsidRPr="00CE40F3" w:rsidRDefault="00134604" w:rsidP="00134604">
      <w:pPr>
        <w:widowControl/>
        <w:spacing w:after="120"/>
        <w:rPr>
          <w:szCs w:val="22"/>
        </w:rPr>
      </w:pPr>
      <w:r w:rsidRPr="00CE40F3">
        <w:rPr>
          <w:szCs w:val="22"/>
        </w:rPr>
        <w:t>(1) The TRS Numbering Directory shall contain records mapping the geographically appropriate NANP telephone number of each Registered Internet-based TRS User and hearing point-to-point video user to a unique Uniform Resource Identifier (URI).</w:t>
      </w:r>
    </w:p>
    <w:p w:rsidR="00134604" w:rsidRPr="00CE40F3" w:rsidRDefault="00134604" w:rsidP="00134604">
      <w:pPr>
        <w:widowControl/>
        <w:spacing w:after="120"/>
        <w:rPr>
          <w:szCs w:val="22"/>
        </w:rPr>
      </w:pPr>
      <w:r w:rsidRPr="00CE40F3">
        <w:rPr>
          <w:szCs w:val="22"/>
        </w:rPr>
        <w:t>(2) For each record associated with a VRS or hearing point-to-point video user’s geographically appropriate NANP telephone number, the URI shall contain the IP address of the user’s device.  For each record associated with an IP Relay user geographically appropriate NANP telephone number, the URI shall contain the user’s user name and domain name that can be subsequently resolved to reach the user.</w:t>
      </w:r>
    </w:p>
    <w:p w:rsidR="00134604" w:rsidRPr="00CE40F3" w:rsidRDefault="00134604" w:rsidP="00134604">
      <w:pPr>
        <w:spacing w:after="120"/>
        <w:rPr>
          <w:rFonts w:eastAsia="Calibri"/>
          <w:snapToGrid/>
          <w:kern w:val="0"/>
          <w:szCs w:val="22"/>
        </w:rPr>
      </w:pPr>
      <w:r w:rsidRPr="00CE40F3">
        <w:rPr>
          <w:rFonts w:eastAsia="Calibri"/>
          <w:snapToGrid/>
          <w:kern w:val="0"/>
          <w:szCs w:val="22"/>
        </w:rPr>
        <w:t>* * * * *</w:t>
      </w:r>
    </w:p>
    <w:p w:rsidR="00134604" w:rsidRPr="00CE40F3" w:rsidRDefault="00134604" w:rsidP="00134604">
      <w:pPr>
        <w:spacing w:after="120"/>
        <w:rPr>
          <w:rFonts w:eastAsia="Calibri"/>
          <w:snapToGrid/>
          <w:kern w:val="0"/>
          <w:szCs w:val="22"/>
        </w:rPr>
      </w:pPr>
    </w:p>
    <w:p w:rsidR="00134604" w:rsidRPr="00CE40F3" w:rsidRDefault="00134604" w:rsidP="00134604">
      <w:pPr>
        <w:spacing w:after="120"/>
        <w:rPr>
          <w:rFonts w:eastAsia="Calibri"/>
          <w:snapToGrid/>
          <w:kern w:val="0"/>
          <w:szCs w:val="22"/>
        </w:rPr>
      </w:pPr>
      <w:r w:rsidRPr="00CE40F3">
        <w:rPr>
          <w:rFonts w:eastAsia="Calibri"/>
          <w:snapToGrid/>
          <w:kern w:val="0"/>
          <w:szCs w:val="22"/>
        </w:rPr>
        <w:t>6. Amend § 64.615 by amending paragraph (a)(3)(i) as follows</w:t>
      </w:r>
    </w:p>
    <w:p w:rsidR="00134604" w:rsidRPr="00CE40F3" w:rsidRDefault="00134604" w:rsidP="00134604">
      <w:pPr>
        <w:spacing w:after="120"/>
        <w:rPr>
          <w:rFonts w:eastAsia="Calibri"/>
          <w:b/>
          <w:bCs/>
          <w:snapToGrid/>
          <w:kern w:val="0"/>
          <w:szCs w:val="22"/>
        </w:rPr>
      </w:pPr>
      <w:r w:rsidRPr="00CE40F3">
        <w:rPr>
          <w:rFonts w:eastAsia="Calibri"/>
          <w:b/>
          <w:bCs/>
          <w:snapToGrid/>
          <w:kern w:val="0"/>
          <w:szCs w:val="22"/>
        </w:rPr>
        <w:t>§ 64.615 TRS User Registration Database and administrator.</w:t>
      </w:r>
    </w:p>
    <w:p w:rsidR="00134604" w:rsidRPr="00CE40F3" w:rsidRDefault="00134604" w:rsidP="00134604">
      <w:pPr>
        <w:spacing w:after="120"/>
        <w:rPr>
          <w:rFonts w:eastAsia="Calibri"/>
          <w:snapToGrid/>
          <w:kern w:val="0"/>
          <w:szCs w:val="22"/>
        </w:rPr>
      </w:pPr>
      <w:r w:rsidRPr="00CE40F3">
        <w:rPr>
          <w:rFonts w:eastAsia="Calibri"/>
          <w:snapToGrid/>
          <w:kern w:val="0"/>
          <w:szCs w:val="22"/>
        </w:rPr>
        <w:t>(a) * * *</w:t>
      </w:r>
    </w:p>
    <w:p w:rsidR="00134604" w:rsidRPr="00CE40F3" w:rsidRDefault="00134604" w:rsidP="00134604">
      <w:pPr>
        <w:spacing w:after="120"/>
        <w:rPr>
          <w:rFonts w:eastAsia="Calibri"/>
          <w:snapToGrid/>
          <w:kern w:val="0"/>
          <w:szCs w:val="22"/>
        </w:rPr>
      </w:pPr>
      <w:r w:rsidRPr="00CE40F3">
        <w:rPr>
          <w:rFonts w:eastAsia="Calibri"/>
          <w:snapToGrid/>
          <w:kern w:val="0"/>
          <w:szCs w:val="22"/>
        </w:rPr>
        <w:t>(3) * * *</w:t>
      </w:r>
    </w:p>
    <w:p w:rsidR="00134604" w:rsidRPr="00CE40F3" w:rsidRDefault="00134604" w:rsidP="00134604">
      <w:pPr>
        <w:spacing w:after="120"/>
        <w:rPr>
          <w:rFonts w:eastAsia="Calibri"/>
          <w:snapToGrid/>
          <w:kern w:val="0"/>
          <w:szCs w:val="22"/>
        </w:rPr>
      </w:pPr>
      <w:r w:rsidRPr="00CE40F3">
        <w:rPr>
          <w:rFonts w:eastAsia="Calibri"/>
          <w:snapToGrid/>
          <w:kern w:val="0"/>
          <w:szCs w:val="22"/>
        </w:rPr>
        <w:t>(i) Each VRS provider shall request that the administrator of the TRS User Registration Database remove from the TRS User Registration Database user information for any registered VRS user or hearing point-to-point video user:</w:t>
      </w:r>
    </w:p>
    <w:p w:rsidR="00134604" w:rsidRPr="00CE40F3" w:rsidRDefault="00134604" w:rsidP="00134604">
      <w:pPr>
        <w:spacing w:after="120"/>
        <w:rPr>
          <w:rFonts w:eastAsia="Calibri"/>
          <w:snapToGrid/>
          <w:kern w:val="0"/>
          <w:szCs w:val="22"/>
        </w:rPr>
      </w:pPr>
      <w:r w:rsidRPr="00CE40F3">
        <w:rPr>
          <w:rFonts w:eastAsia="Calibri"/>
          <w:snapToGrid/>
          <w:kern w:val="0"/>
          <w:szCs w:val="22"/>
        </w:rPr>
        <w:t>(A) Who informs its default provider that it no longer wants use of a ten-digit number for TRS or (in the case of a hearing point-to-point video user) for point-to-point video service; or</w:t>
      </w:r>
    </w:p>
    <w:p w:rsidR="00134604" w:rsidRPr="00CE40F3" w:rsidRDefault="00134604" w:rsidP="00134604">
      <w:pPr>
        <w:spacing w:after="120"/>
        <w:rPr>
          <w:rFonts w:eastAsia="Calibri"/>
          <w:snapToGrid/>
          <w:kern w:val="0"/>
          <w:szCs w:val="22"/>
        </w:rPr>
      </w:pPr>
      <w:r w:rsidRPr="00CE40F3">
        <w:rPr>
          <w:rFonts w:eastAsia="Calibri"/>
          <w:snapToGrid/>
          <w:kern w:val="0"/>
          <w:szCs w:val="22"/>
        </w:rPr>
        <w:t>* * * * *</w:t>
      </w:r>
    </w:p>
    <w:p w:rsidR="00134604" w:rsidRPr="00CE40F3" w:rsidRDefault="00134604" w:rsidP="00134604">
      <w:pPr>
        <w:widowControl/>
        <w:spacing w:after="120"/>
        <w:rPr>
          <w:szCs w:val="22"/>
        </w:rPr>
      </w:pPr>
    </w:p>
    <w:p w:rsidR="00134604" w:rsidRPr="00CE40F3" w:rsidRDefault="00134604" w:rsidP="00134604">
      <w:pPr>
        <w:widowControl/>
        <w:spacing w:after="120"/>
        <w:rPr>
          <w:rFonts w:eastAsia="Calibri"/>
          <w:snapToGrid/>
          <w:szCs w:val="22"/>
        </w:rPr>
      </w:pPr>
      <w:r w:rsidRPr="00CE40F3">
        <w:rPr>
          <w:szCs w:val="22"/>
        </w:rPr>
        <w:t xml:space="preserve">7. Amend </w:t>
      </w:r>
      <w:r w:rsidRPr="00CE40F3">
        <w:rPr>
          <w:rFonts w:eastAsia="Calibri"/>
          <w:snapToGrid/>
          <w:szCs w:val="22"/>
        </w:rPr>
        <w:t>§ 64.621 by revising paragraph (a)(1) as follows:</w:t>
      </w:r>
    </w:p>
    <w:p w:rsidR="00134604" w:rsidRPr="00CE40F3" w:rsidRDefault="00134604" w:rsidP="00134604">
      <w:pPr>
        <w:widowControl/>
        <w:spacing w:after="120"/>
        <w:rPr>
          <w:b/>
          <w:szCs w:val="22"/>
        </w:rPr>
      </w:pPr>
      <w:r w:rsidRPr="00CE40F3">
        <w:rPr>
          <w:b/>
          <w:szCs w:val="22"/>
        </w:rPr>
        <w:t>§ 64.621 Interoperability and portability.</w:t>
      </w:r>
    </w:p>
    <w:p w:rsidR="00134604" w:rsidRPr="00CE40F3" w:rsidRDefault="00134604" w:rsidP="00134604">
      <w:pPr>
        <w:widowControl/>
        <w:spacing w:after="120"/>
        <w:rPr>
          <w:szCs w:val="22"/>
        </w:rPr>
      </w:pPr>
      <w:r w:rsidRPr="00CE40F3">
        <w:rPr>
          <w:szCs w:val="22"/>
        </w:rPr>
        <w:t xml:space="preserve">(a) </w:t>
      </w:r>
      <w:r w:rsidRPr="00CE40F3">
        <w:rPr>
          <w:i/>
          <w:szCs w:val="22"/>
        </w:rPr>
        <w:t>General obligations of VRS providers.</w:t>
      </w:r>
    </w:p>
    <w:p w:rsidR="00134604" w:rsidRPr="00CE40F3" w:rsidRDefault="00134604" w:rsidP="00134604">
      <w:pPr>
        <w:widowControl/>
        <w:spacing w:after="120"/>
        <w:rPr>
          <w:szCs w:val="22"/>
        </w:rPr>
      </w:pPr>
      <w:r w:rsidRPr="00CE40F3">
        <w:rPr>
          <w:szCs w:val="22"/>
        </w:rPr>
        <w:t>(1) All VRS users and hearing point-to-point video users must be able to place a VRS</w:t>
      </w:r>
      <w:r w:rsidRPr="00CE40F3">
        <w:rPr>
          <w:i/>
          <w:szCs w:val="22"/>
        </w:rPr>
        <w:t xml:space="preserve"> </w:t>
      </w:r>
      <w:r w:rsidRPr="00CE40F3">
        <w:rPr>
          <w:szCs w:val="22"/>
        </w:rPr>
        <w:t>or point-to-point video call through any of the VRS providers’ services, and all VRS providers must be able to receive calls from, and make calls to, any VRS or hearing point-to-point video user.</w:t>
      </w:r>
    </w:p>
    <w:p w:rsidR="00134604" w:rsidRPr="00CE40F3" w:rsidRDefault="00134604" w:rsidP="00134604">
      <w:pPr>
        <w:spacing w:after="120"/>
        <w:rPr>
          <w:rFonts w:eastAsia="Calibri"/>
          <w:snapToGrid/>
          <w:kern w:val="0"/>
          <w:szCs w:val="22"/>
        </w:rPr>
      </w:pPr>
      <w:r w:rsidRPr="00CE40F3">
        <w:rPr>
          <w:rFonts w:eastAsia="Calibri"/>
          <w:snapToGrid/>
          <w:kern w:val="0"/>
          <w:szCs w:val="22"/>
        </w:rPr>
        <w:t>* * * * *</w:t>
      </w:r>
    </w:p>
    <w:p w:rsidR="00134604" w:rsidRPr="00CE40F3" w:rsidRDefault="00134604" w:rsidP="00134604">
      <w:pPr>
        <w:widowControl/>
        <w:spacing w:after="120"/>
        <w:rPr>
          <w:szCs w:val="22"/>
        </w:rPr>
      </w:pPr>
    </w:p>
    <w:p w:rsidR="00134604" w:rsidRPr="00CE40F3" w:rsidRDefault="00134604" w:rsidP="00134604">
      <w:pPr>
        <w:widowControl/>
        <w:spacing w:after="120"/>
        <w:rPr>
          <w:rFonts w:eastAsia="Calibri"/>
          <w:snapToGrid/>
          <w:szCs w:val="22"/>
        </w:rPr>
      </w:pPr>
      <w:r w:rsidRPr="00CE40F3">
        <w:rPr>
          <w:szCs w:val="22"/>
        </w:rPr>
        <w:t xml:space="preserve">8. </w:t>
      </w:r>
      <w:r w:rsidRPr="00CE40F3">
        <w:rPr>
          <w:rFonts w:eastAsia="Calibri"/>
          <w:snapToGrid/>
          <w:szCs w:val="22"/>
        </w:rPr>
        <w:t>Amend § 64.630 by revising paragraph (a) and adding paragraph (b) to read as follows:</w:t>
      </w:r>
    </w:p>
    <w:p w:rsidR="00134604" w:rsidRPr="00CE40F3" w:rsidRDefault="00134604" w:rsidP="00134604">
      <w:pPr>
        <w:widowControl/>
        <w:spacing w:after="120"/>
        <w:rPr>
          <w:b/>
          <w:szCs w:val="22"/>
        </w:rPr>
      </w:pPr>
      <w:r w:rsidRPr="00CE40F3">
        <w:rPr>
          <w:b/>
          <w:szCs w:val="22"/>
        </w:rPr>
        <w:t>§ 64.630 Applicability of change of default TRS provider rules.</w:t>
      </w:r>
    </w:p>
    <w:p w:rsidR="00134604" w:rsidRPr="00CE40F3" w:rsidRDefault="00134604" w:rsidP="00134604">
      <w:pPr>
        <w:spacing w:after="120"/>
        <w:rPr>
          <w:rFonts w:eastAsia="Calibri"/>
          <w:snapToGrid/>
          <w:kern w:val="0"/>
          <w:szCs w:val="22"/>
        </w:rPr>
      </w:pPr>
      <w:r w:rsidRPr="00CE40F3">
        <w:rPr>
          <w:rFonts w:eastAsia="Calibri"/>
          <w:snapToGrid/>
          <w:kern w:val="0"/>
          <w:szCs w:val="22"/>
        </w:rPr>
        <w:t>(a) Sections 64.630 through 64.636 of this part governing changes in default TRS providers shall apply to any provider of IP Relay or VRS eligible to receive payments from the TRS Fund.</w:t>
      </w:r>
    </w:p>
    <w:p w:rsidR="00134604" w:rsidRPr="00CE40F3" w:rsidRDefault="00134604" w:rsidP="00134604">
      <w:pPr>
        <w:widowControl/>
        <w:spacing w:after="120"/>
        <w:rPr>
          <w:szCs w:val="22"/>
        </w:rPr>
      </w:pPr>
      <w:r w:rsidRPr="00CE40F3">
        <w:rPr>
          <w:szCs w:val="22"/>
        </w:rPr>
        <w:t xml:space="preserve">(b) For purposes of sections 64.630 through 64.636 of this part, the term </w:t>
      </w:r>
      <w:r w:rsidRPr="00CE40F3">
        <w:rPr>
          <w:i/>
          <w:szCs w:val="22"/>
        </w:rPr>
        <w:t>iTRS user</w:t>
      </w:r>
      <w:r w:rsidRPr="00CE40F3">
        <w:rPr>
          <w:szCs w:val="22"/>
        </w:rPr>
        <w:t xml:space="preserve"> is defined as any individual that has been assigned a ten-digit NANP number from the TRS Numbering Directory for IP Relay, VRS, or point-to-point video service.</w:t>
      </w:r>
    </w:p>
    <w:p w:rsidR="00134604" w:rsidRPr="00CE40F3" w:rsidRDefault="00134604" w:rsidP="00134604">
      <w:pPr>
        <w:spacing w:after="120"/>
        <w:rPr>
          <w:rFonts w:eastAsia="Calibri"/>
          <w:snapToGrid/>
          <w:kern w:val="0"/>
          <w:szCs w:val="22"/>
        </w:rPr>
      </w:pPr>
      <w:r w:rsidRPr="00CE40F3">
        <w:rPr>
          <w:rFonts w:eastAsia="Calibri"/>
          <w:snapToGrid/>
          <w:kern w:val="0"/>
          <w:szCs w:val="22"/>
        </w:rPr>
        <w:t>* * * * *</w:t>
      </w:r>
    </w:p>
    <w:p w:rsidR="00134604" w:rsidRPr="00CE40F3" w:rsidRDefault="00134604" w:rsidP="00134604">
      <w:pPr>
        <w:widowControl/>
        <w:spacing w:after="120"/>
        <w:rPr>
          <w:szCs w:val="22"/>
        </w:rPr>
      </w:pPr>
    </w:p>
    <w:p w:rsidR="00134604" w:rsidRPr="00CE40F3" w:rsidRDefault="00134604" w:rsidP="00134604">
      <w:pPr>
        <w:widowControl/>
        <w:spacing w:after="120"/>
        <w:rPr>
          <w:szCs w:val="22"/>
        </w:rPr>
      </w:pPr>
      <w:r w:rsidRPr="00CE40F3">
        <w:rPr>
          <w:szCs w:val="22"/>
        </w:rPr>
        <w:t>9. Amend § 64.5101 by revising paragraph (b) to read as follows:</w:t>
      </w:r>
    </w:p>
    <w:p w:rsidR="00134604" w:rsidRPr="00CE40F3" w:rsidRDefault="00134604" w:rsidP="00134604">
      <w:pPr>
        <w:widowControl/>
        <w:spacing w:after="120"/>
        <w:rPr>
          <w:b/>
          <w:szCs w:val="22"/>
        </w:rPr>
      </w:pPr>
      <w:r w:rsidRPr="00CE40F3">
        <w:rPr>
          <w:b/>
          <w:szCs w:val="22"/>
        </w:rPr>
        <w:t>§ 64.5101 Basis and purpose.</w:t>
      </w:r>
    </w:p>
    <w:p w:rsidR="00134604" w:rsidRPr="00CE40F3" w:rsidRDefault="00134604" w:rsidP="00134604">
      <w:pPr>
        <w:widowControl/>
        <w:spacing w:after="120"/>
        <w:rPr>
          <w:szCs w:val="22"/>
        </w:rPr>
      </w:pPr>
      <w:r w:rsidRPr="00CE40F3">
        <w:rPr>
          <w:szCs w:val="22"/>
        </w:rPr>
        <w:t>* * * * *</w:t>
      </w:r>
    </w:p>
    <w:p w:rsidR="00134604" w:rsidRPr="00CE40F3" w:rsidRDefault="00134604" w:rsidP="00134604">
      <w:pPr>
        <w:widowControl/>
        <w:spacing w:after="120"/>
        <w:rPr>
          <w:szCs w:val="22"/>
        </w:rPr>
      </w:pPr>
      <w:r w:rsidRPr="00CE40F3">
        <w:rPr>
          <w:szCs w:val="22"/>
        </w:rPr>
        <w:t xml:space="preserve">(b)  </w:t>
      </w:r>
      <w:r w:rsidRPr="00CE40F3">
        <w:rPr>
          <w:i/>
          <w:iCs/>
          <w:szCs w:val="22"/>
        </w:rPr>
        <w:t>Purpose</w:t>
      </w:r>
      <w:r w:rsidRPr="00CE40F3">
        <w:rPr>
          <w:iCs/>
          <w:szCs w:val="22"/>
        </w:rPr>
        <w:t>.</w:t>
      </w:r>
      <w:r w:rsidRPr="00CE40F3">
        <w:rPr>
          <w:szCs w:val="22"/>
        </w:rPr>
        <w:t xml:space="preserve">  The purpose of the rules in this subpart is to implement customer proprietary network information protections for users of telecommunications relay services and point-to-point video service pursuant to sections 4, 222, and 225 of the Communications Act of 1934, as amended, 47 U.S.C. 4, 222, and 225.</w:t>
      </w:r>
    </w:p>
    <w:p w:rsidR="00134604" w:rsidRPr="00CE40F3" w:rsidRDefault="00134604" w:rsidP="00134604">
      <w:pPr>
        <w:widowControl/>
        <w:spacing w:after="120"/>
        <w:rPr>
          <w:szCs w:val="22"/>
        </w:rPr>
      </w:pPr>
    </w:p>
    <w:p w:rsidR="00134604" w:rsidRPr="00CE40F3" w:rsidRDefault="00134604" w:rsidP="00134604">
      <w:pPr>
        <w:widowControl/>
        <w:spacing w:after="120"/>
        <w:rPr>
          <w:szCs w:val="22"/>
        </w:rPr>
      </w:pPr>
      <w:r w:rsidRPr="00CE40F3">
        <w:rPr>
          <w:szCs w:val="22"/>
        </w:rPr>
        <w:t>10. Amend § 64.5103 by revising paragraph (m) to read as follows:</w:t>
      </w:r>
    </w:p>
    <w:p w:rsidR="00134604" w:rsidRPr="00CE40F3" w:rsidRDefault="00134604" w:rsidP="00134604">
      <w:pPr>
        <w:widowControl/>
        <w:spacing w:after="120"/>
        <w:rPr>
          <w:b/>
          <w:szCs w:val="22"/>
        </w:rPr>
      </w:pPr>
      <w:r w:rsidRPr="00CE40F3">
        <w:rPr>
          <w:b/>
          <w:szCs w:val="22"/>
        </w:rPr>
        <w:t>§ 64.5103 Definitions.</w:t>
      </w:r>
    </w:p>
    <w:p w:rsidR="00134604" w:rsidRPr="00CE40F3" w:rsidRDefault="00134604" w:rsidP="00134604">
      <w:pPr>
        <w:widowControl/>
        <w:spacing w:after="120"/>
        <w:rPr>
          <w:szCs w:val="22"/>
        </w:rPr>
      </w:pPr>
      <w:r w:rsidRPr="00CE40F3">
        <w:rPr>
          <w:szCs w:val="22"/>
        </w:rPr>
        <w:t>* * * * *</w:t>
      </w:r>
    </w:p>
    <w:p w:rsidR="00134604" w:rsidRPr="00CE40F3" w:rsidRDefault="00134604" w:rsidP="00134604">
      <w:pPr>
        <w:widowControl/>
        <w:spacing w:after="120"/>
        <w:rPr>
          <w:szCs w:val="22"/>
        </w:rPr>
        <w:sectPr w:rsidR="00134604" w:rsidRPr="00CE40F3" w:rsidSect="00FD775F">
          <w:endnotePr>
            <w:numFmt w:val="decimal"/>
          </w:endnotePr>
          <w:pgSz w:w="12240" w:h="15840"/>
          <w:pgMar w:top="1440" w:right="1440" w:bottom="720" w:left="1440" w:header="720" w:footer="720" w:gutter="0"/>
          <w:cols w:space="720"/>
          <w:noEndnote/>
          <w:docGrid w:linePitch="299"/>
        </w:sectPr>
      </w:pPr>
      <w:r w:rsidRPr="00CE40F3">
        <w:rPr>
          <w:szCs w:val="22"/>
        </w:rPr>
        <w:t xml:space="preserve">(m) </w:t>
      </w:r>
      <w:r w:rsidRPr="00CE40F3">
        <w:rPr>
          <w:i/>
          <w:iCs/>
          <w:szCs w:val="22"/>
        </w:rPr>
        <w:t>Point-to-point service</w:t>
      </w:r>
      <w:r w:rsidRPr="00CE40F3">
        <w:rPr>
          <w:iCs/>
          <w:szCs w:val="22"/>
        </w:rPr>
        <w:t>.</w:t>
      </w:r>
      <w:r w:rsidRPr="00CE40F3">
        <w:rPr>
          <w:szCs w:val="22"/>
        </w:rPr>
        <w:t xml:space="preserve">  The term “point-to-point service” means a service that enables a VRS or hearing customer to place and receive non-relay calls without the assistance of a communications assistant over the facilities of a VRS provider using VRS access technology.  Such calls are made by means of ten-digit NANP numbers registered in the TRS Numbering Directory and assigned to VRS customers and hearing point-to-point customers by VRS providers.  The term “point-to-point call” shall refer to a call placed via a point-to-point service.</w:t>
      </w:r>
    </w:p>
    <w:p w:rsidR="00134604" w:rsidRPr="009D5A62" w:rsidRDefault="00134604" w:rsidP="00134604">
      <w:pPr>
        <w:spacing w:after="120"/>
        <w:jc w:val="center"/>
        <w:rPr>
          <w:b/>
          <w:bCs/>
          <w:kern w:val="0"/>
        </w:rPr>
      </w:pPr>
      <w:r w:rsidRPr="009D5A62">
        <w:rPr>
          <w:b/>
          <w:bCs/>
          <w:kern w:val="0"/>
        </w:rPr>
        <w:t>APPENDIX C</w:t>
      </w:r>
    </w:p>
    <w:p w:rsidR="00134604" w:rsidRPr="009D5A62" w:rsidRDefault="00134604" w:rsidP="00134604">
      <w:pPr>
        <w:spacing w:after="120"/>
        <w:jc w:val="center"/>
        <w:rPr>
          <w:b/>
          <w:bCs/>
          <w:kern w:val="0"/>
        </w:rPr>
      </w:pPr>
      <w:r w:rsidRPr="009D5A62">
        <w:rPr>
          <w:b/>
          <w:bCs/>
          <w:kern w:val="0"/>
        </w:rPr>
        <w:t>Proposed Rules</w:t>
      </w:r>
    </w:p>
    <w:p w:rsidR="00134604" w:rsidRPr="00C236EE" w:rsidRDefault="00134604" w:rsidP="00134604">
      <w:pPr>
        <w:spacing w:after="120"/>
      </w:pPr>
      <w:r w:rsidRPr="00C236EE">
        <w:t>The Federal Communications Commission proposes to amend Title 47 of the Code of Federal Regulation as follows:</w:t>
      </w:r>
    </w:p>
    <w:p w:rsidR="00134604" w:rsidRPr="00C236EE" w:rsidRDefault="00134604" w:rsidP="00134604">
      <w:pPr>
        <w:spacing w:after="120"/>
        <w:rPr>
          <w:b/>
        </w:rPr>
      </w:pPr>
      <w:r w:rsidRPr="00C236EE">
        <w:rPr>
          <w:b/>
        </w:rPr>
        <w:t xml:space="preserve">Part 64 - </w:t>
      </w:r>
      <w:r w:rsidRPr="00C236EE">
        <w:rPr>
          <w:b/>
          <w:bCs/>
        </w:rPr>
        <w:t>MISCELLANEOUS RULES RELATING TO COMMON CARRIERS</w:t>
      </w:r>
    </w:p>
    <w:p w:rsidR="00134604" w:rsidRPr="00C236EE" w:rsidRDefault="00134604" w:rsidP="00134604">
      <w:pPr>
        <w:spacing w:after="120"/>
      </w:pPr>
      <w:r w:rsidRPr="00C236EE">
        <w:t>1.  The authority citation for part 64 continues to read as follows:</w:t>
      </w:r>
    </w:p>
    <w:p w:rsidR="00134604" w:rsidRPr="00C236EE" w:rsidRDefault="00134604" w:rsidP="00134604">
      <w:pPr>
        <w:spacing w:after="120"/>
      </w:pPr>
      <w:r w:rsidRPr="00C236EE">
        <w:rPr>
          <w:b/>
        </w:rPr>
        <w:t>Authority</w:t>
      </w:r>
      <w:r w:rsidRPr="00C236EE">
        <w:t>: 47 U.S.C. 154, 225, 254(k), 403(b)(2)(B), (c), 715, Pub. L. 104-104, 110 Stat. 56.  Interpret or apply 47 U.S.C. 201, 218, 222, 225, 226, 227, 228, 254(k), 616, 620, and the Middle Class Tax Relief and Job Creation Act of 2012, Pub. L. 112-96, unless otherwise noted.</w:t>
      </w:r>
    </w:p>
    <w:p w:rsidR="00134604" w:rsidRPr="00C236EE" w:rsidRDefault="00134604" w:rsidP="00134604">
      <w:pPr>
        <w:spacing w:after="120"/>
      </w:pPr>
    </w:p>
    <w:p w:rsidR="00134604" w:rsidRPr="00C236EE" w:rsidRDefault="00134604" w:rsidP="00134604">
      <w:pPr>
        <w:spacing w:after="120"/>
      </w:pPr>
      <w:r w:rsidRPr="00C236EE">
        <w:t>2.</w:t>
      </w:r>
      <w:r>
        <w:t xml:space="preserve"> </w:t>
      </w:r>
      <w:r w:rsidRPr="00C236EE">
        <w:t xml:space="preserve"> Amend § 64. 611 by adding paragraphs (a)(6) and (7) and amending paragraph (c)(1) to read as follows:</w:t>
      </w:r>
    </w:p>
    <w:p w:rsidR="00134604" w:rsidRPr="00C236EE" w:rsidRDefault="00134604" w:rsidP="00134604">
      <w:pPr>
        <w:spacing w:after="120"/>
        <w:rPr>
          <w:b/>
        </w:rPr>
      </w:pPr>
      <w:r w:rsidRPr="00C236EE">
        <w:rPr>
          <w:b/>
        </w:rPr>
        <w:t>§ 64.611 Internet-based TRS registration.</w:t>
      </w:r>
    </w:p>
    <w:p w:rsidR="00134604" w:rsidRPr="00C236EE" w:rsidRDefault="00134604" w:rsidP="00134604">
      <w:pPr>
        <w:spacing w:after="120"/>
        <w:rPr>
          <w:rFonts w:eastAsia="Calibri"/>
          <w:snapToGrid/>
          <w:kern w:val="0"/>
          <w:szCs w:val="22"/>
        </w:rPr>
      </w:pPr>
      <w:r w:rsidRPr="00C236EE">
        <w:t xml:space="preserve">(a) </w:t>
      </w:r>
      <w:r w:rsidRPr="00C236EE">
        <w:rPr>
          <w:rFonts w:eastAsia="Calibri"/>
          <w:snapToGrid/>
          <w:kern w:val="0"/>
          <w:szCs w:val="22"/>
        </w:rPr>
        <w:t>* * *</w:t>
      </w:r>
    </w:p>
    <w:p w:rsidR="00134604" w:rsidRPr="00C236EE" w:rsidRDefault="00134604" w:rsidP="00134604">
      <w:pPr>
        <w:spacing w:after="120"/>
        <w:rPr>
          <w:rFonts w:eastAsia="Calibri"/>
          <w:snapToGrid/>
          <w:kern w:val="0"/>
          <w:szCs w:val="22"/>
        </w:rPr>
      </w:pPr>
      <w:r w:rsidRPr="00C236EE">
        <w:rPr>
          <w:rFonts w:eastAsia="Calibri"/>
          <w:snapToGrid/>
          <w:kern w:val="0"/>
          <w:szCs w:val="22"/>
        </w:rPr>
        <w:t xml:space="preserve">(6) </w:t>
      </w:r>
      <w:r w:rsidRPr="00C236EE">
        <w:rPr>
          <w:rFonts w:eastAsia="Calibri"/>
          <w:i/>
          <w:snapToGrid/>
          <w:kern w:val="0"/>
          <w:szCs w:val="22"/>
        </w:rPr>
        <w:t>Enterprise videophones.</w:t>
      </w:r>
      <w:r w:rsidRPr="00C236EE">
        <w:rPr>
          <w:rFonts w:eastAsia="Calibri"/>
          <w:snapToGrid/>
          <w:kern w:val="0"/>
          <w:szCs w:val="22"/>
        </w:rPr>
        <w:t xml:space="preserve">  For purposes of this section, an enterprise videophone is a videophone provided by an entity such as a business, an organization, or a governmental entity that is designated for use by its employees who use American Sign Language.</w:t>
      </w:r>
    </w:p>
    <w:p w:rsidR="00134604" w:rsidRPr="00C236EE" w:rsidRDefault="00134604" w:rsidP="00134604">
      <w:pPr>
        <w:spacing w:after="120"/>
      </w:pPr>
      <w:r w:rsidRPr="00C236EE">
        <w:rPr>
          <w:rFonts w:eastAsia="Calibri"/>
          <w:snapToGrid/>
          <w:kern w:val="0"/>
          <w:szCs w:val="22"/>
        </w:rPr>
        <w:t>(i) A VRS provider seeking compensation from the TRS Fund for providing VRS to a registered VRS user utilizing an enterprise videophone must first obtain a written certification from the individual responsible for the enterprise videophone, attesting that</w:t>
      </w:r>
      <w:r w:rsidRPr="00C236EE">
        <w:t xml:space="preserve">: </w:t>
      </w:r>
    </w:p>
    <w:p w:rsidR="00134604" w:rsidRPr="00C236EE" w:rsidRDefault="00134604" w:rsidP="00134604">
      <w:pPr>
        <w:spacing w:after="120"/>
      </w:pPr>
      <w:r w:rsidRPr="00C236EE">
        <w:t xml:space="preserve">(A) </w:t>
      </w:r>
      <w:r w:rsidRPr="00C236EE">
        <w:rPr>
          <w:rFonts w:eastAsia="Calibri"/>
          <w:snapToGrid/>
          <w:kern w:val="0"/>
          <w:szCs w:val="22"/>
        </w:rPr>
        <w:t xml:space="preserve">The individual </w:t>
      </w:r>
      <w:r w:rsidRPr="00C236EE">
        <w:t>will, to the best of that individual’s ability permit only eligible VRS users with hearing or speech disabilities to use the enterprise videophone; and</w:t>
      </w:r>
    </w:p>
    <w:p w:rsidR="00134604" w:rsidRPr="00C236EE" w:rsidRDefault="00134604" w:rsidP="00134604">
      <w:pPr>
        <w:spacing w:after="120"/>
        <w:rPr>
          <w:rFonts w:eastAsia="Calibri"/>
          <w:snapToGrid/>
          <w:kern w:val="0"/>
          <w:szCs w:val="22"/>
        </w:rPr>
      </w:pPr>
      <w:r w:rsidRPr="00C236EE">
        <w:t>(B) The individual understands that the cost of VRS calls is paid for by contributions from telecommunications and VoIP providers to the TRS Fund.</w:t>
      </w:r>
      <w:r w:rsidRPr="00C236EE">
        <w:rPr>
          <w:rFonts w:eastAsia="Calibri"/>
          <w:snapToGrid/>
          <w:kern w:val="0"/>
          <w:szCs w:val="22"/>
        </w:rPr>
        <w:t xml:space="preserve"> </w:t>
      </w:r>
    </w:p>
    <w:p w:rsidR="00134604" w:rsidRPr="00C236EE" w:rsidRDefault="00134604" w:rsidP="00134604">
      <w:pPr>
        <w:spacing w:after="120"/>
        <w:rPr>
          <w:rFonts w:eastAsia="Calibri"/>
          <w:snapToGrid/>
          <w:kern w:val="0"/>
          <w:szCs w:val="22"/>
        </w:rPr>
      </w:pPr>
      <w:r w:rsidRPr="00C236EE">
        <w:rPr>
          <w:rFonts w:eastAsia="Calibri"/>
          <w:snapToGrid/>
          <w:kern w:val="0"/>
          <w:szCs w:val="22"/>
        </w:rPr>
        <w:t xml:space="preserve">(ii) The certification required by paragraph (a)(6)(i) of this section must be made on a form separate from any other agreement or form, and must include a separate user signature specific to the certification. </w:t>
      </w:r>
      <w:r>
        <w:rPr>
          <w:rFonts w:eastAsia="Calibri"/>
          <w:snapToGrid/>
          <w:kern w:val="0"/>
          <w:szCs w:val="22"/>
        </w:rPr>
        <w:t xml:space="preserve"> </w:t>
      </w:r>
      <w:r w:rsidRPr="00C236EE">
        <w:rPr>
          <w:rFonts w:eastAsia="Calibri"/>
          <w:snapToGrid/>
          <w:kern w:val="0"/>
          <w:szCs w:val="22"/>
        </w:rPr>
        <w:t>For the purposes of this rule, an electronic signature, defined by the Electronic Signatures in Global and National Commerce Act, as an electronic sound, symbol, or process, attached to or logically associated with a contract or other record and executed or adopted by a person with the intent to sign the record, has the same legal effect as a written signature.</w:t>
      </w:r>
      <w:r>
        <w:rPr>
          <w:rFonts w:eastAsia="Calibri"/>
          <w:snapToGrid/>
          <w:kern w:val="0"/>
          <w:szCs w:val="22"/>
        </w:rPr>
        <w:t xml:space="preserve"> </w:t>
      </w:r>
      <w:r w:rsidRPr="00C236EE">
        <w:rPr>
          <w:rFonts w:eastAsia="Calibri"/>
          <w:snapToGrid/>
          <w:kern w:val="0"/>
          <w:szCs w:val="22"/>
        </w:rPr>
        <w:t xml:space="preserve"> For the purposes of this rule, an electronic record, defined by the Electronic Signatures in Global and National Commerce Act as a contract or other record created, generated, sent, communicated, received, or stored by electronic means, constitutes a record.</w:t>
      </w:r>
    </w:p>
    <w:p w:rsidR="00134604" w:rsidRPr="00C236EE" w:rsidRDefault="00134604" w:rsidP="00134604">
      <w:pPr>
        <w:spacing w:after="120"/>
        <w:rPr>
          <w:szCs w:val="22"/>
        </w:rPr>
      </w:pPr>
      <w:r w:rsidRPr="00C236EE">
        <w:rPr>
          <w:rFonts w:eastAsia="Calibri"/>
          <w:snapToGrid/>
          <w:kern w:val="0"/>
          <w:szCs w:val="22"/>
        </w:rPr>
        <w:t>(iii) Each VRS provider shall collect and transmit to the TRS User Registration Database, in a format prescribed by the administrator of the TRS User Registration Database, the following registration information for each of its enterprise videophones, for new enterprise videophones prior to the initiation of service, and for existing enterprise videophones</w:t>
      </w:r>
      <w:r w:rsidRPr="00C236EE">
        <w:rPr>
          <w:szCs w:val="22"/>
        </w:rPr>
        <w:t xml:space="preserve"> within 60 days of notice from the Commission that the </w:t>
      </w:r>
      <w:r w:rsidRPr="00C236EE">
        <w:rPr>
          <w:rFonts w:eastAsia="Calibri"/>
          <w:snapToGrid/>
          <w:kern w:val="0"/>
          <w:szCs w:val="22"/>
        </w:rPr>
        <w:t>TRS User Registration Database</w:t>
      </w:r>
      <w:r w:rsidRPr="00C236EE">
        <w:rPr>
          <w:szCs w:val="22"/>
        </w:rPr>
        <w:t xml:space="preserve"> is ready to accept such information:</w:t>
      </w:r>
    </w:p>
    <w:p w:rsidR="00134604" w:rsidRPr="00C236EE" w:rsidRDefault="00134604" w:rsidP="00134604">
      <w:pPr>
        <w:spacing w:after="120"/>
        <w:rPr>
          <w:szCs w:val="22"/>
        </w:rPr>
      </w:pPr>
      <w:r w:rsidRPr="00C236EE">
        <w:rPr>
          <w:szCs w:val="22"/>
        </w:rPr>
        <w:t>(A) The name and business address of the enterprise;</w:t>
      </w:r>
    </w:p>
    <w:p w:rsidR="00134604" w:rsidRPr="00C236EE" w:rsidRDefault="00134604" w:rsidP="00134604">
      <w:pPr>
        <w:spacing w:after="120"/>
        <w:rPr>
          <w:rFonts w:eastAsia="Calibri"/>
          <w:snapToGrid/>
          <w:kern w:val="0"/>
          <w:szCs w:val="22"/>
        </w:rPr>
      </w:pPr>
      <w:r w:rsidRPr="00C236EE">
        <w:rPr>
          <w:rFonts w:eastAsia="Calibri"/>
          <w:snapToGrid/>
          <w:kern w:val="0"/>
          <w:szCs w:val="22"/>
        </w:rPr>
        <w:t>(B) The name of the individual responsible for the videophone, a digital copy of the certification required by paragraph (a)(6)(i) of this section, and the date the certification was obtained by the provider;</w:t>
      </w:r>
    </w:p>
    <w:p w:rsidR="00134604" w:rsidRPr="00C236EE" w:rsidRDefault="00134604" w:rsidP="00134604">
      <w:pPr>
        <w:spacing w:after="120"/>
        <w:rPr>
          <w:rFonts w:eastAsia="Calibri"/>
          <w:snapToGrid/>
          <w:kern w:val="0"/>
          <w:szCs w:val="22"/>
        </w:rPr>
      </w:pPr>
      <w:r w:rsidRPr="00C236EE">
        <w:rPr>
          <w:rFonts w:eastAsia="Calibri"/>
          <w:snapToGrid/>
          <w:kern w:val="0"/>
          <w:szCs w:val="22"/>
        </w:rPr>
        <w:t>(C) The last digits of the tax identification number of the enterprise, unless it is a governmental enterprise</w:t>
      </w:r>
      <w:r>
        <w:rPr>
          <w:rFonts w:eastAsia="Calibri"/>
          <w:snapToGrid/>
          <w:kern w:val="0"/>
          <w:szCs w:val="22"/>
        </w:rPr>
        <w:t>;</w:t>
      </w:r>
    </w:p>
    <w:p w:rsidR="00134604" w:rsidRPr="00C236EE" w:rsidRDefault="00134604" w:rsidP="00134604">
      <w:pPr>
        <w:spacing w:after="120"/>
        <w:rPr>
          <w:rFonts w:eastAsia="Calibri"/>
          <w:snapToGrid/>
          <w:kern w:val="0"/>
          <w:szCs w:val="22"/>
        </w:rPr>
      </w:pPr>
      <w:r w:rsidRPr="00C236EE">
        <w:rPr>
          <w:rFonts w:eastAsia="Calibri"/>
          <w:snapToGrid/>
          <w:kern w:val="0"/>
          <w:szCs w:val="22"/>
        </w:rPr>
        <w:t>(D) The Registered Location of the phone;</w:t>
      </w:r>
    </w:p>
    <w:p w:rsidR="00134604" w:rsidRPr="00C236EE" w:rsidRDefault="00134604" w:rsidP="00134604">
      <w:pPr>
        <w:spacing w:after="120"/>
        <w:rPr>
          <w:rFonts w:eastAsia="Calibri"/>
          <w:snapToGrid/>
          <w:kern w:val="0"/>
          <w:szCs w:val="22"/>
        </w:rPr>
      </w:pPr>
      <w:r w:rsidRPr="00C236EE">
        <w:rPr>
          <w:rFonts w:eastAsia="Calibri"/>
          <w:snapToGrid/>
          <w:kern w:val="0"/>
          <w:szCs w:val="22"/>
        </w:rPr>
        <w:t>(E) The VRS provider’s name;</w:t>
      </w:r>
    </w:p>
    <w:p w:rsidR="00134604" w:rsidRPr="00C236EE" w:rsidRDefault="00134604" w:rsidP="00134604">
      <w:pPr>
        <w:spacing w:after="120"/>
        <w:rPr>
          <w:rFonts w:eastAsia="Calibri"/>
          <w:snapToGrid/>
          <w:kern w:val="0"/>
          <w:szCs w:val="22"/>
        </w:rPr>
      </w:pPr>
      <w:r w:rsidRPr="00C236EE">
        <w:rPr>
          <w:rFonts w:eastAsia="Calibri"/>
          <w:snapToGrid/>
          <w:kern w:val="0"/>
          <w:szCs w:val="22"/>
        </w:rPr>
        <w:t>(F) The date of the enterprise videophone’s service initiation; and</w:t>
      </w:r>
    </w:p>
    <w:p w:rsidR="00134604" w:rsidRPr="00C236EE" w:rsidRDefault="00134604" w:rsidP="00134604">
      <w:pPr>
        <w:spacing w:after="120"/>
        <w:rPr>
          <w:rFonts w:eastAsia="Calibri"/>
          <w:snapToGrid/>
          <w:kern w:val="0"/>
          <w:szCs w:val="22"/>
        </w:rPr>
      </w:pPr>
      <w:r w:rsidRPr="00C236EE">
        <w:rPr>
          <w:rFonts w:eastAsia="Calibri"/>
          <w:snapToGrid/>
          <w:kern w:val="0"/>
          <w:szCs w:val="22"/>
        </w:rPr>
        <w:t xml:space="preserve">(G) For existing enterprise videophones, the date on which the videophone was last used to place a point-to-point or relay call. </w:t>
      </w:r>
    </w:p>
    <w:p w:rsidR="00134604" w:rsidRPr="00C236EE" w:rsidRDefault="00134604" w:rsidP="00134604">
      <w:pPr>
        <w:spacing w:after="120"/>
        <w:rPr>
          <w:rFonts w:eastAsia="Calibri"/>
          <w:snapToGrid/>
          <w:kern w:val="0"/>
          <w:szCs w:val="22"/>
        </w:rPr>
      </w:pPr>
      <w:r w:rsidRPr="00C236EE">
        <w:rPr>
          <w:rFonts w:eastAsia="Calibri"/>
          <w:snapToGrid/>
          <w:kern w:val="0"/>
          <w:szCs w:val="22"/>
        </w:rPr>
        <w:t xml:space="preserve">(iv) Each VRS provider must obtain, from the individuals responsible for each new and existing enterprise videophone, consent to transmit the registered Internet-based TRS user’s information to the TRS User Registration Database.  Prior to obtaining consent, the VRS provider must describe to the individual responsible for the enterprise videophone, using clear, easily understood language, the specific information being transmitted, that the information is being transmitted to the TRS User Registration Database to ensure proper administration of the TRS program, and that failure to provide consent will result in the registered Internet-based TRS user being denied service.  VRS providers must obtain and keep a record of affirmative acknowledgment </w:t>
      </w:r>
      <w:r>
        <w:rPr>
          <w:rFonts w:eastAsia="Calibri"/>
          <w:snapToGrid/>
          <w:kern w:val="0"/>
          <w:szCs w:val="22"/>
        </w:rPr>
        <w:t xml:space="preserve">of such consent </w:t>
      </w:r>
      <w:r w:rsidRPr="00C236EE">
        <w:rPr>
          <w:rFonts w:eastAsia="Calibri"/>
          <w:snapToGrid/>
          <w:kern w:val="0"/>
          <w:szCs w:val="22"/>
        </w:rPr>
        <w:t>for every enterprise videophone.</w:t>
      </w:r>
    </w:p>
    <w:p w:rsidR="00134604" w:rsidRPr="00C236EE" w:rsidRDefault="00134604" w:rsidP="00134604">
      <w:pPr>
        <w:spacing w:after="120"/>
        <w:rPr>
          <w:rFonts w:eastAsia="Calibri"/>
          <w:snapToGrid/>
          <w:kern w:val="0"/>
          <w:szCs w:val="22"/>
        </w:rPr>
      </w:pPr>
      <w:r w:rsidRPr="00C236EE">
        <w:rPr>
          <w:rFonts w:eastAsia="Calibri"/>
          <w:snapToGrid/>
          <w:kern w:val="0"/>
          <w:szCs w:val="22"/>
        </w:rPr>
        <w:t>(v) Each VRS provider shall maintain the confidentiality of any registration and certification information obtained by the provider, and may not disclose such registration and certification information</w:t>
      </w:r>
      <w:r>
        <w:rPr>
          <w:rFonts w:eastAsia="Calibri"/>
          <w:snapToGrid/>
          <w:kern w:val="0"/>
          <w:szCs w:val="22"/>
        </w:rPr>
        <w:t>,</w:t>
      </w:r>
      <w:r w:rsidRPr="00C236EE">
        <w:rPr>
          <w:rFonts w:eastAsia="Calibri"/>
          <w:snapToGrid/>
          <w:kern w:val="0"/>
          <w:szCs w:val="22"/>
        </w:rPr>
        <w:t xml:space="preserve"> or the content of such registration and certification information</w:t>
      </w:r>
      <w:r>
        <w:rPr>
          <w:rFonts w:eastAsia="Calibri"/>
          <w:snapToGrid/>
          <w:kern w:val="0"/>
          <w:szCs w:val="22"/>
        </w:rPr>
        <w:t>,</w:t>
      </w:r>
      <w:r w:rsidRPr="00C236EE">
        <w:rPr>
          <w:rFonts w:eastAsia="Calibri"/>
          <w:snapToGrid/>
          <w:kern w:val="0"/>
          <w:szCs w:val="22"/>
        </w:rPr>
        <w:t xml:space="preserve"> except as required by law or regulation.</w:t>
      </w:r>
    </w:p>
    <w:p w:rsidR="00134604" w:rsidRPr="00C236EE" w:rsidRDefault="00134604" w:rsidP="00134604">
      <w:pPr>
        <w:spacing w:after="120"/>
        <w:rPr>
          <w:rFonts w:eastAsia="Calibri"/>
          <w:snapToGrid/>
          <w:kern w:val="0"/>
          <w:szCs w:val="22"/>
        </w:rPr>
      </w:pPr>
      <w:r w:rsidRPr="00C236EE">
        <w:rPr>
          <w:rFonts w:eastAsia="Calibri"/>
          <w:snapToGrid/>
          <w:kern w:val="0"/>
          <w:szCs w:val="22"/>
        </w:rPr>
        <w:t xml:space="preserve">(vi) After the time period for the 60-day notice </w:t>
      </w:r>
      <w:r w:rsidRPr="00C236EE">
        <w:rPr>
          <w:szCs w:val="22"/>
        </w:rPr>
        <w:t xml:space="preserve">from the Commission that the </w:t>
      </w:r>
      <w:r w:rsidRPr="00C236EE">
        <w:rPr>
          <w:rFonts w:eastAsia="Calibri"/>
          <w:snapToGrid/>
          <w:kern w:val="0"/>
          <w:szCs w:val="22"/>
        </w:rPr>
        <w:t>TRS User Registration Database</w:t>
      </w:r>
      <w:r w:rsidRPr="00C236EE">
        <w:rPr>
          <w:szCs w:val="22"/>
        </w:rPr>
        <w:t xml:space="preserve"> is ready to accept registration information has passed</w:t>
      </w:r>
      <w:r w:rsidRPr="00C236EE">
        <w:rPr>
          <w:rFonts w:eastAsia="Calibri"/>
          <w:snapToGrid/>
          <w:kern w:val="0"/>
          <w:szCs w:val="22"/>
        </w:rPr>
        <w:t xml:space="preserve">, VRS calls provided to enterprise videophones shall not be compensable from the TRS Fund unless the user of the enterprise videophone is a registered VRS user and logs in to the videophone with a user identification plus </w:t>
      </w:r>
      <w:r>
        <w:rPr>
          <w:rFonts w:eastAsia="Calibri"/>
          <w:snapToGrid/>
          <w:kern w:val="0"/>
          <w:szCs w:val="22"/>
        </w:rPr>
        <w:t xml:space="preserve">a </w:t>
      </w:r>
      <w:r w:rsidRPr="00C236EE">
        <w:rPr>
          <w:rFonts w:eastAsia="Calibri"/>
          <w:snapToGrid/>
          <w:kern w:val="0"/>
          <w:szCs w:val="22"/>
        </w:rPr>
        <w:t>passcode or PIN.  For enterprise videophones located in private work spaces where access is limited to one individual, the user of such enterprise videophone may log in a single time, without being required to log in each time the videophone is used.</w:t>
      </w:r>
    </w:p>
    <w:p w:rsidR="00134604" w:rsidRPr="00C236EE" w:rsidRDefault="00134604" w:rsidP="00134604">
      <w:pPr>
        <w:spacing w:after="120"/>
        <w:rPr>
          <w:rFonts w:eastAsia="Calibri"/>
          <w:snapToGrid/>
          <w:kern w:val="0"/>
          <w:szCs w:val="22"/>
        </w:rPr>
      </w:pPr>
      <w:r w:rsidRPr="00C236EE">
        <w:rPr>
          <w:rFonts w:eastAsia="Calibri"/>
          <w:snapToGrid/>
          <w:kern w:val="0"/>
          <w:szCs w:val="22"/>
        </w:rPr>
        <w:t>(vii) VRS providers shall require their CAs to terminate any call which does not involve an individual eligible to use VRS due to a hearing or speech disability or, pursuant to the provider’s policies, the call does not appear to be a legitimate VRS call, and VRS providers may not seek compensation for such calls from the TRS Fund.</w:t>
      </w:r>
    </w:p>
    <w:p w:rsidR="00134604" w:rsidRPr="00C236EE" w:rsidRDefault="00134604" w:rsidP="00134604">
      <w:pPr>
        <w:spacing w:after="120"/>
        <w:rPr>
          <w:rFonts w:eastAsia="Calibri"/>
          <w:snapToGrid/>
          <w:kern w:val="0"/>
          <w:szCs w:val="22"/>
        </w:rPr>
      </w:pPr>
      <w:r w:rsidRPr="00C236EE">
        <w:rPr>
          <w:rFonts w:eastAsia="Calibri"/>
          <w:snapToGrid/>
          <w:kern w:val="0"/>
          <w:szCs w:val="22"/>
        </w:rPr>
        <w:t>(viii) A VRS provider may be compensated from the TRS Fund for dial-around VRS provided to registered users of registered enterprise videophones.</w:t>
      </w:r>
    </w:p>
    <w:p w:rsidR="00134604" w:rsidRPr="00C236EE" w:rsidRDefault="00134604" w:rsidP="00134604">
      <w:pPr>
        <w:spacing w:after="120"/>
        <w:rPr>
          <w:rFonts w:eastAsia="Calibri"/>
          <w:snapToGrid/>
          <w:kern w:val="0"/>
          <w:szCs w:val="22"/>
        </w:rPr>
      </w:pPr>
      <w:r w:rsidRPr="00C236EE">
        <w:rPr>
          <w:rFonts w:eastAsia="Calibri"/>
          <w:snapToGrid/>
          <w:kern w:val="0"/>
          <w:szCs w:val="22"/>
        </w:rPr>
        <w:t xml:space="preserve">(7) </w:t>
      </w:r>
      <w:r w:rsidRPr="00C236EE">
        <w:rPr>
          <w:rFonts w:eastAsia="Calibri"/>
          <w:i/>
          <w:snapToGrid/>
          <w:kern w:val="0"/>
          <w:szCs w:val="22"/>
        </w:rPr>
        <w:t xml:space="preserve">Public </w:t>
      </w:r>
      <w:r>
        <w:rPr>
          <w:rFonts w:eastAsia="Calibri"/>
          <w:i/>
          <w:snapToGrid/>
          <w:kern w:val="0"/>
          <w:szCs w:val="22"/>
        </w:rPr>
        <w:t>video</w:t>
      </w:r>
      <w:r w:rsidRPr="00C236EE">
        <w:rPr>
          <w:rFonts w:eastAsia="Calibri"/>
          <w:i/>
          <w:snapToGrid/>
          <w:kern w:val="0"/>
          <w:szCs w:val="22"/>
        </w:rPr>
        <w:t>phones</w:t>
      </w:r>
      <w:r w:rsidRPr="00C236EE">
        <w:rPr>
          <w:rFonts w:eastAsia="Calibri"/>
          <w:snapToGrid/>
          <w:kern w:val="0"/>
          <w:szCs w:val="22"/>
        </w:rPr>
        <w:t>.  For purposes of this section, a public videophone is a videophone that is made available in a public space, such as a school, a hospital, a library, an airport, or a governmental building, for use by any individual who communicates through American Sign Language.</w:t>
      </w:r>
    </w:p>
    <w:p w:rsidR="00134604" w:rsidRPr="00C236EE" w:rsidRDefault="00134604" w:rsidP="00134604">
      <w:pPr>
        <w:spacing w:after="120"/>
        <w:rPr>
          <w:szCs w:val="22"/>
        </w:rPr>
      </w:pPr>
      <w:r w:rsidRPr="00C236EE">
        <w:rPr>
          <w:rFonts w:eastAsia="Calibri"/>
          <w:snapToGrid/>
          <w:kern w:val="0"/>
          <w:szCs w:val="22"/>
        </w:rPr>
        <w:t>(i) A VRS provider seeking compensation from the TRS Fund for providing VRS to a registered VRS user utilizing a public videophone</w:t>
      </w:r>
      <w:r w:rsidRPr="00CD20B7">
        <w:rPr>
          <w:rFonts w:eastAsia="Calibri"/>
        </w:rPr>
        <w:t xml:space="preserve"> </w:t>
      </w:r>
      <w:r w:rsidRPr="00C236EE">
        <w:rPr>
          <w:rFonts w:eastAsia="Calibri"/>
          <w:snapToGrid/>
          <w:kern w:val="0"/>
          <w:szCs w:val="22"/>
        </w:rPr>
        <w:t>must transmit to the TRS User Registration Database, in a format prescribed by the administrator of the TRS User Registration Database, the following information, for each of its new public videophones prior to the initiation of VRS on the videophone, and for existing public videophones,</w:t>
      </w:r>
      <w:r w:rsidRPr="00CD20B7">
        <w:rPr>
          <w:rFonts w:eastAsia="Calibri"/>
        </w:rPr>
        <w:t xml:space="preserve"> </w:t>
      </w:r>
      <w:r w:rsidRPr="00C236EE">
        <w:rPr>
          <w:szCs w:val="22"/>
        </w:rPr>
        <w:t xml:space="preserve">within 60 days of notice from the Commission that the </w:t>
      </w:r>
      <w:r w:rsidRPr="00C236EE">
        <w:rPr>
          <w:rFonts w:eastAsia="Calibri"/>
          <w:snapToGrid/>
          <w:kern w:val="0"/>
          <w:szCs w:val="22"/>
        </w:rPr>
        <w:t>TRS User Registration Database</w:t>
      </w:r>
      <w:r w:rsidRPr="00C236EE">
        <w:rPr>
          <w:szCs w:val="22"/>
        </w:rPr>
        <w:t xml:space="preserve"> is ready to accept such information:</w:t>
      </w:r>
    </w:p>
    <w:p w:rsidR="00134604" w:rsidRPr="00C236EE" w:rsidRDefault="00134604" w:rsidP="00134604">
      <w:pPr>
        <w:spacing w:after="120"/>
        <w:rPr>
          <w:szCs w:val="22"/>
        </w:rPr>
      </w:pPr>
      <w:r w:rsidRPr="00C236EE">
        <w:rPr>
          <w:szCs w:val="22"/>
        </w:rPr>
        <w:t xml:space="preserve">(A) The </w:t>
      </w:r>
      <w:r w:rsidRPr="00C236EE">
        <w:t xml:space="preserve">name and physical address of the organization, business, or agency where the public videophone is </w:t>
      </w:r>
      <w:r w:rsidRPr="00C236EE">
        <w:rPr>
          <w:szCs w:val="22"/>
        </w:rPr>
        <w:t>located;</w:t>
      </w:r>
    </w:p>
    <w:p w:rsidR="00134604" w:rsidRPr="00C236EE" w:rsidRDefault="00134604" w:rsidP="00134604">
      <w:pPr>
        <w:spacing w:after="120"/>
        <w:rPr>
          <w:szCs w:val="22"/>
        </w:rPr>
      </w:pPr>
      <w:r w:rsidRPr="00C236EE">
        <w:rPr>
          <w:szCs w:val="22"/>
        </w:rPr>
        <w:t>(B) The VRS provider’s name</w:t>
      </w:r>
      <w:r>
        <w:rPr>
          <w:szCs w:val="22"/>
        </w:rPr>
        <w:t>;</w:t>
      </w:r>
    </w:p>
    <w:p w:rsidR="00134604" w:rsidRPr="00C236EE" w:rsidRDefault="00134604" w:rsidP="00134604">
      <w:pPr>
        <w:spacing w:after="120"/>
        <w:rPr>
          <w:szCs w:val="22"/>
        </w:rPr>
      </w:pPr>
      <w:r w:rsidRPr="00C236EE">
        <w:rPr>
          <w:szCs w:val="22"/>
        </w:rPr>
        <w:t>(C) The date on which the videophone was placed in that location; and</w:t>
      </w:r>
    </w:p>
    <w:p w:rsidR="00134604" w:rsidRPr="00C236EE" w:rsidRDefault="00134604" w:rsidP="00134604">
      <w:pPr>
        <w:spacing w:after="120"/>
        <w:rPr>
          <w:szCs w:val="22"/>
        </w:rPr>
      </w:pPr>
      <w:r w:rsidRPr="00C236EE">
        <w:rPr>
          <w:szCs w:val="22"/>
        </w:rPr>
        <w:t>(D) The date on which the videophone was last used to place a point-to-point or TRS call.</w:t>
      </w:r>
    </w:p>
    <w:p w:rsidR="00134604" w:rsidRPr="00C236EE" w:rsidRDefault="00134604" w:rsidP="00134604">
      <w:pPr>
        <w:spacing w:after="120"/>
        <w:rPr>
          <w:rFonts w:eastAsia="Calibri"/>
          <w:snapToGrid/>
          <w:kern w:val="0"/>
          <w:szCs w:val="22"/>
        </w:rPr>
      </w:pPr>
      <w:r w:rsidRPr="00C236EE">
        <w:rPr>
          <w:szCs w:val="22"/>
        </w:rPr>
        <w:t>(ii)</w:t>
      </w:r>
      <w:r w:rsidRPr="00C236EE">
        <w:rPr>
          <w:rFonts w:eastAsia="Calibri"/>
          <w:snapToGrid/>
          <w:kern w:val="0"/>
          <w:szCs w:val="22"/>
        </w:rPr>
        <w:t xml:space="preserve"> After the time period for the 60-day notice </w:t>
      </w:r>
      <w:r w:rsidRPr="00C236EE">
        <w:rPr>
          <w:szCs w:val="22"/>
        </w:rPr>
        <w:t xml:space="preserve">from the Commission that the </w:t>
      </w:r>
      <w:r w:rsidRPr="00C236EE">
        <w:rPr>
          <w:rFonts w:eastAsia="Calibri"/>
          <w:snapToGrid/>
          <w:kern w:val="0"/>
          <w:szCs w:val="22"/>
        </w:rPr>
        <w:t>TRS User Registration Database</w:t>
      </w:r>
      <w:r w:rsidRPr="00C236EE">
        <w:rPr>
          <w:szCs w:val="22"/>
        </w:rPr>
        <w:t xml:space="preserve"> is ready to accept registration information has passed</w:t>
      </w:r>
      <w:r w:rsidRPr="00C236EE">
        <w:rPr>
          <w:rFonts w:eastAsia="Calibri"/>
          <w:snapToGrid/>
          <w:kern w:val="0"/>
          <w:szCs w:val="22"/>
        </w:rPr>
        <w:t xml:space="preserve">, VRS calls provided to public videophones shall not be compensable from the TRS Fund unless the user of the public videophone is a registered VRS user and logs in to the videophone with a user identification plus </w:t>
      </w:r>
      <w:r>
        <w:rPr>
          <w:rFonts w:eastAsia="Calibri"/>
          <w:snapToGrid/>
          <w:kern w:val="0"/>
          <w:szCs w:val="22"/>
        </w:rPr>
        <w:t xml:space="preserve">a </w:t>
      </w:r>
      <w:r w:rsidRPr="00C236EE">
        <w:rPr>
          <w:rFonts w:eastAsia="Calibri"/>
          <w:snapToGrid/>
          <w:kern w:val="0"/>
          <w:szCs w:val="22"/>
        </w:rPr>
        <w:t>passcode or PIN.</w:t>
      </w:r>
    </w:p>
    <w:p w:rsidR="00134604" w:rsidRPr="00C236EE" w:rsidRDefault="00134604" w:rsidP="00EA5C9B">
      <w:pPr>
        <w:widowControl/>
        <w:spacing w:after="120"/>
        <w:rPr>
          <w:rFonts w:eastAsia="Calibri"/>
          <w:snapToGrid/>
          <w:kern w:val="0"/>
          <w:szCs w:val="22"/>
        </w:rPr>
      </w:pPr>
      <w:r w:rsidRPr="00C236EE">
        <w:rPr>
          <w:rFonts w:eastAsia="Calibri"/>
          <w:snapToGrid/>
          <w:kern w:val="0"/>
          <w:szCs w:val="22"/>
        </w:rPr>
        <w:t>(iii) VRS providers shall require their CAs to terminate any call which does not involve an individual eligible to use VRS due to a hearing or speech disability or, pursuant to the provider’s policies, the call does not appear to be a legitimate VRS call, and VRS providers may not seek compensation for such calls from the TRS Fund.</w:t>
      </w:r>
    </w:p>
    <w:p w:rsidR="00134604" w:rsidRPr="00C236EE" w:rsidRDefault="00134604" w:rsidP="00134604">
      <w:pPr>
        <w:spacing w:after="120"/>
        <w:rPr>
          <w:rFonts w:eastAsia="Calibri"/>
          <w:snapToGrid/>
          <w:kern w:val="0"/>
          <w:szCs w:val="22"/>
        </w:rPr>
      </w:pPr>
      <w:r w:rsidRPr="00C236EE">
        <w:rPr>
          <w:rFonts w:eastAsia="Calibri"/>
          <w:snapToGrid/>
          <w:kern w:val="0"/>
          <w:szCs w:val="22"/>
        </w:rPr>
        <w:t>(iv) A VRS provider may be compensated from the TRS Fund for dial-around VRS provided to registered users of registered public videophones.</w:t>
      </w:r>
    </w:p>
    <w:p w:rsidR="00134604" w:rsidRPr="00C236EE" w:rsidRDefault="00134604" w:rsidP="00134604">
      <w:pPr>
        <w:spacing w:after="120"/>
        <w:rPr>
          <w:rFonts w:eastAsia="Calibri"/>
          <w:snapToGrid/>
          <w:kern w:val="0"/>
          <w:szCs w:val="22"/>
        </w:rPr>
      </w:pPr>
      <w:r w:rsidRPr="00C236EE">
        <w:rPr>
          <w:rFonts w:eastAsia="Calibri"/>
          <w:snapToGrid/>
          <w:kern w:val="0"/>
          <w:szCs w:val="22"/>
        </w:rPr>
        <w:t>* * * * *</w:t>
      </w:r>
    </w:p>
    <w:p w:rsidR="00134604" w:rsidRPr="00C236EE" w:rsidRDefault="00134604" w:rsidP="00134604">
      <w:pPr>
        <w:spacing w:after="120"/>
        <w:rPr>
          <w:rFonts w:eastAsia="Calibri"/>
          <w:i/>
          <w:snapToGrid/>
          <w:kern w:val="0"/>
          <w:szCs w:val="22"/>
        </w:rPr>
      </w:pPr>
      <w:r w:rsidRPr="00C236EE">
        <w:rPr>
          <w:rFonts w:eastAsia="Calibri"/>
          <w:snapToGrid/>
          <w:kern w:val="0"/>
          <w:szCs w:val="22"/>
        </w:rPr>
        <w:t>(c)</w:t>
      </w:r>
      <w:r w:rsidRPr="00C236EE">
        <w:t xml:space="preserve"> </w:t>
      </w:r>
      <w:r w:rsidRPr="00C236EE">
        <w:rPr>
          <w:rFonts w:eastAsia="Calibri"/>
          <w:i/>
          <w:snapToGrid/>
          <w:kern w:val="0"/>
          <w:szCs w:val="22"/>
        </w:rPr>
        <w:t>Obligations of default providers and former default providers.</w:t>
      </w:r>
    </w:p>
    <w:p w:rsidR="00134604" w:rsidRPr="00C236EE" w:rsidRDefault="00134604" w:rsidP="00134604">
      <w:pPr>
        <w:spacing w:after="120"/>
        <w:rPr>
          <w:rFonts w:eastAsia="Calibri"/>
          <w:snapToGrid/>
          <w:kern w:val="0"/>
          <w:szCs w:val="22"/>
        </w:rPr>
      </w:pPr>
      <w:r w:rsidRPr="00C236EE">
        <w:rPr>
          <w:rFonts w:eastAsia="Calibri"/>
          <w:snapToGrid/>
          <w:kern w:val="0"/>
          <w:szCs w:val="22"/>
        </w:rPr>
        <w:t>(1) Default providers must:</w:t>
      </w:r>
    </w:p>
    <w:p w:rsidR="00134604" w:rsidRPr="00C236EE" w:rsidRDefault="00134604" w:rsidP="00134604">
      <w:pPr>
        <w:spacing w:after="120"/>
        <w:rPr>
          <w:rFonts w:eastAsia="Calibri"/>
          <w:snapToGrid/>
          <w:kern w:val="0"/>
          <w:szCs w:val="22"/>
        </w:rPr>
      </w:pPr>
      <w:r w:rsidRPr="00C236EE">
        <w:rPr>
          <w:rFonts w:eastAsia="Calibri"/>
          <w:snapToGrid/>
          <w:kern w:val="0"/>
          <w:szCs w:val="22"/>
        </w:rPr>
        <w:t xml:space="preserve">(i) </w:t>
      </w:r>
      <w:r w:rsidRPr="00C236EE">
        <w:t xml:space="preserve">Obtain current routing information </w:t>
      </w:r>
      <w:r w:rsidRPr="00C236EE">
        <w:rPr>
          <w:strike/>
        </w:rPr>
        <w:t>including IP addresses or domain names and user names,</w:t>
      </w:r>
      <w:r w:rsidRPr="00C236EE">
        <w:t xml:space="preserve"> from their Registered Internet-based TRS Users</w:t>
      </w:r>
      <w:r w:rsidRPr="00C236EE">
        <w:rPr>
          <w:u w:val="single"/>
        </w:rPr>
        <w:t>, registered enterprise videophones,</w:t>
      </w:r>
      <w:r w:rsidRPr="00C236EE">
        <w:t xml:space="preserve"> and hearing point-to-point video users;</w:t>
      </w:r>
    </w:p>
    <w:p w:rsidR="00134604" w:rsidRPr="00C236EE" w:rsidRDefault="00134604" w:rsidP="00134604">
      <w:pPr>
        <w:spacing w:after="120"/>
        <w:rPr>
          <w:rFonts w:eastAsia="Calibri"/>
          <w:snapToGrid/>
          <w:kern w:val="0"/>
          <w:szCs w:val="22"/>
        </w:rPr>
      </w:pPr>
      <w:r w:rsidRPr="00C236EE">
        <w:rPr>
          <w:rFonts w:eastAsia="Calibri"/>
          <w:snapToGrid/>
          <w:kern w:val="0"/>
          <w:szCs w:val="22"/>
        </w:rPr>
        <w:t>* * * * *</w:t>
      </w:r>
    </w:p>
    <w:p w:rsidR="00134604" w:rsidRPr="00C236EE" w:rsidRDefault="00134604" w:rsidP="00134604">
      <w:pPr>
        <w:spacing w:after="120"/>
      </w:pPr>
      <w:r w:rsidRPr="00C236EE">
        <w:t>3. Amend § 64.613 by revising paragraphs (a)(1), (a)(2), and (a)(4) to read as follows:</w:t>
      </w:r>
    </w:p>
    <w:p w:rsidR="00134604" w:rsidRPr="009D5A62" w:rsidRDefault="00134604" w:rsidP="00134604">
      <w:pPr>
        <w:spacing w:after="120"/>
        <w:rPr>
          <w:b/>
          <w:bCs/>
          <w:snapToGrid/>
          <w:szCs w:val="22"/>
        </w:rPr>
      </w:pPr>
      <w:r w:rsidRPr="009D5A62">
        <w:rPr>
          <w:b/>
          <w:bCs/>
          <w:snapToGrid/>
          <w:szCs w:val="22"/>
        </w:rPr>
        <w:t>§ 64.613 Numbering directory for Internet-based TRS users.</w:t>
      </w:r>
    </w:p>
    <w:p w:rsidR="00134604" w:rsidRPr="00C236EE" w:rsidRDefault="00134604" w:rsidP="00134604">
      <w:pPr>
        <w:spacing w:after="120"/>
        <w:rPr>
          <w:rFonts w:eastAsia="Calibri"/>
          <w:snapToGrid/>
          <w:kern w:val="0"/>
          <w:szCs w:val="22"/>
        </w:rPr>
      </w:pPr>
      <w:r w:rsidRPr="00C236EE">
        <w:rPr>
          <w:rFonts w:eastAsia="Calibri"/>
          <w:snapToGrid/>
          <w:kern w:val="0"/>
          <w:szCs w:val="22"/>
        </w:rPr>
        <w:t xml:space="preserve">(a) </w:t>
      </w:r>
      <w:r w:rsidRPr="00C939E2">
        <w:rPr>
          <w:i/>
          <w:iCs/>
          <w:snapToGrid/>
          <w:kern w:val="0"/>
          <w:szCs w:val="22"/>
        </w:rPr>
        <w:t>TRS Numbering Directory</w:t>
      </w:r>
      <w:r w:rsidRPr="00C236EE">
        <w:rPr>
          <w:snapToGrid/>
          <w:szCs w:val="22"/>
        </w:rPr>
        <w:t xml:space="preserve">.  </w:t>
      </w:r>
    </w:p>
    <w:p w:rsidR="00134604" w:rsidRPr="00C236EE" w:rsidRDefault="00134604" w:rsidP="00134604">
      <w:pPr>
        <w:spacing w:after="120"/>
      </w:pPr>
      <w:r w:rsidRPr="00C236EE">
        <w:t>(1) The TRS Numbering Directory shall contain records mapping the geographically appropriate NANP telephone number of each Registered Internet-based TRS User</w:t>
      </w:r>
      <w:r w:rsidRPr="00C236EE">
        <w:rPr>
          <w:u w:val="single"/>
        </w:rPr>
        <w:t xml:space="preserve">, registered enterprise videophone, public </w:t>
      </w:r>
      <w:r>
        <w:rPr>
          <w:u w:val="single"/>
        </w:rPr>
        <w:t>video</w:t>
      </w:r>
      <w:r w:rsidRPr="00C236EE">
        <w:rPr>
          <w:u w:val="single"/>
        </w:rPr>
        <w:t>phone,</w:t>
      </w:r>
      <w:r w:rsidRPr="00C236EE">
        <w:t xml:space="preserve"> </w:t>
      </w:r>
      <w:r w:rsidRPr="00C236EE">
        <w:rPr>
          <w:u w:val="single"/>
        </w:rPr>
        <w:t xml:space="preserve">Direct Video Calling customer support services, </w:t>
      </w:r>
      <w:r w:rsidRPr="00C236EE">
        <w:t>and hearing point-to-point video user to a unique Uniform Resource Identifier (URI).</w:t>
      </w:r>
    </w:p>
    <w:p w:rsidR="00134604" w:rsidRPr="00C236EE" w:rsidRDefault="00134604" w:rsidP="00134604">
      <w:pPr>
        <w:spacing w:after="120"/>
        <w:rPr>
          <w:snapToGrid/>
        </w:rPr>
      </w:pPr>
      <w:r w:rsidRPr="00C236EE">
        <w:rPr>
          <w:snapToGrid/>
        </w:rPr>
        <w:t xml:space="preserve">(2) For each record associated with a </w:t>
      </w:r>
      <w:r w:rsidRPr="00C236EE">
        <w:rPr>
          <w:strike/>
          <w:snapToGrid/>
          <w:u w:val="single"/>
        </w:rPr>
        <w:t xml:space="preserve">VRS </w:t>
      </w:r>
      <w:r w:rsidRPr="00C236EE">
        <w:rPr>
          <w:strike/>
        </w:rPr>
        <w:t>or hearing point-to-point</w:t>
      </w:r>
      <w:r w:rsidRPr="00C236EE">
        <w:rPr>
          <w:strike/>
          <w:snapToGrid/>
          <w:u w:val="single"/>
        </w:rPr>
        <w:t xml:space="preserve"> user's</w:t>
      </w:r>
      <w:r w:rsidRPr="00C236EE">
        <w:rPr>
          <w:snapToGrid/>
        </w:rPr>
        <w:t xml:space="preserve"> geographically appropriate NANP telephone number </w:t>
      </w:r>
      <w:r w:rsidRPr="00C236EE">
        <w:rPr>
          <w:snapToGrid/>
          <w:u w:val="single"/>
        </w:rPr>
        <w:t xml:space="preserve">for a </w:t>
      </w:r>
      <w:r w:rsidRPr="00C236EE">
        <w:rPr>
          <w:u w:val="single"/>
        </w:rPr>
        <w:t xml:space="preserve">Registered Internet-based TRS User, registered enterprise videophone, public </w:t>
      </w:r>
      <w:r>
        <w:rPr>
          <w:u w:val="single"/>
        </w:rPr>
        <w:t>video</w:t>
      </w:r>
      <w:r w:rsidRPr="00C236EE">
        <w:rPr>
          <w:u w:val="single"/>
        </w:rPr>
        <w:t>phone, Direct Video Calling customer support services, or hearing point-to-point video user</w:t>
      </w:r>
      <w:r w:rsidRPr="00C236EE">
        <w:rPr>
          <w:snapToGrid/>
        </w:rPr>
        <w:t xml:space="preserve">, the URI shall contain </w:t>
      </w:r>
      <w:r w:rsidRPr="00C236EE">
        <w:rPr>
          <w:snapToGrid/>
          <w:u w:val="single"/>
        </w:rPr>
        <w:t>a server domain name or</w:t>
      </w:r>
      <w:r w:rsidRPr="00C236EE">
        <w:rPr>
          <w:snapToGrid/>
        </w:rPr>
        <w:t xml:space="preserve"> the IP address of the user’s device.  For each record associated with an IP Relay user's geographically appropriate NANP telephone number, the URI shall contain the user's user name and domain name that can be subsequently resolved to reach the user.</w:t>
      </w:r>
    </w:p>
    <w:p w:rsidR="00134604" w:rsidRPr="00C236EE" w:rsidRDefault="00134604" w:rsidP="00134604">
      <w:pPr>
        <w:spacing w:after="120"/>
        <w:rPr>
          <w:rFonts w:eastAsia="Calibri"/>
          <w:snapToGrid/>
          <w:kern w:val="0"/>
          <w:szCs w:val="22"/>
        </w:rPr>
      </w:pPr>
      <w:r w:rsidRPr="00C236EE">
        <w:rPr>
          <w:snapToGrid/>
        </w:rPr>
        <w:t>(3)</w:t>
      </w:r>
      <w:r w:rsidRPr="00C236EE">
        <w:rPr>
          <w:rFonts w:eastAsia="Calibri"/>
          <w:snapToGrid/>
          <w:kern w:val="0"/>
          <w:szCs w:val="22"/>
        </w:rPr>
        <w:t xml:space="preserve"> * * *</w:t>
      </w:r>
    </w:p>
    <w:p w:rsidR="00134604" w:rsidRPr="00C236EE" w:rsidRDefault="00134604" w:rsidP="00134604">
      <w:pPr>
        <w:spacing w:after="120"/>
        <w:rPr>
          <w:rFonts w:eastAsia="Calibri"/>
          <w:snapToGrid/>
          <w:kern w:val="0"/>
          <w:szCs w:val="22"/>
        </w:rPr>
      </w:pPr>
      <w:r w:rsidRPr="00C236EE">
        <w:rPr>
          <w:rFonts w:eastAsia="Calibri"/>
          <w:snapToGrid/>
          <w:kern w:val="0"/>
          <w:szCs w:val="22"/>
        </w:rPr>
        <w:t xml:space="preserve">(4) </w:t>
      </w:r>
      <w:r w:rsidRPr="00C236EE">
        <w:rPr>
          <w:rFonts w:eastAsia="Calibri"/>
          <w:strike/>
          <w:snapToGrid/>
          <w:kern w:val="0"/>
          <w:szCs w:val="22"/>
          <w:u w:val="single"/>
        </w:rPr>
        <w:t>Only</w:t>
      </w:r>
      <w:r w:rsidRPr="00C236EE">
        <w:rPr>
          <w:rFonts w:eastAsia="Calibri"/>
          <w:snapToGrid/>
          <w:kern w:val="0"/>
          <w:szCs w:val="22"/>
        </w:rPr>
        <w:t xml:space="preserve"> </w:t>
      </w:r>
      <w:r w:rsidRPr="00C236EE">
        <w:rPr>
          <w:rFonts w:eastAsia="Calibri"/>
          <w:snapToGrid/>
          <w:kern w:val="0"/>
          <w:szCs w:val="22"/>
          <w:u w:val="single"/>
        </w:rPr>
        <w:t>T</w:t>
      </w:r>
      <w:r w:rsidRPr="00C236EE">
        <w:rPr>
          <w:rFonts w:eastAsia="Calibri"/>
          <w:snapToGrid/>
          <w:kern w:val="0"/>
          <w:szCs w:val="22"/>
        </w:rPr>
        <w:t>he TRS Numbering Administrator</w:t>
      </w:r>
      <w:r w:rsidRPr="00C236EE">
        <w:rPr>
          <w:rFonts w:eastAsia="Calibri"/>
          <w:snapToGrid/>
          <w:kern w:val="0"/>
          <w:szCs w:val="22"/>
          <w:u w:val="single"/>
        </w:rPr>
        <w:t>,</w:t>
      </w:r>
      <w:r w:rsidRPr="00C236EE">
        <w:rPr>
          <w:rFonts w:eastAsia="Calibri"/>
          <w:snapToGrid/>
          <w:kern w:val="0"/>
          <w:szCs w:val="22"/>
        </w:rPr>
        <w:t xml:space="preserve"> </w:t>
      </w:r>
      <w:r w:rsidRPr="00C236EE">
        <w:rPr>
          <w:rFonts w:eastAsia="Calibri"/>
          <w:strike/>
          <w:snapToGrid/>
          <w:kern w:val="0"/>
          <w:szCs w:val="22"/>
          <w:u w:val="single"/>
        </w:rPr>
        <w:t>and</w:t>
      </w:r>
      <w:r w:rsidRPr="00C236EE">
        <w:rPr>
          <w:rFonts w:eastAsia="Calibri"/>
          <w:snapToGrid/>
          <w:kern w:val="0"/>
          <w:szCs w:val="22"/>
        </w:rPr>
        <w:t xml:space="preserve"> Internet-based TRS providers</w:t>
      </w:r>
      <w:r w:rsidRPr="00C236EE">
        <w:rPr>
          <w:rFonts w:eastAsia="Calibri"/>
          <w:snapToGrid/>
          <w:kern w:val="0"/>
          <w:szCs w:val="22"/>
          <w:u w:val="single"/>
        </w:rPr>
        <w:t>, and Direct Video Calling customer support services providers</w:t>
      </w:r>
      <w:r w:rsidRPr="00C236EE">
        <w:rPr>
          <w:rFonts w:eastAsia="Calibri"/>
          <w:snapToGrid/>
          <w:kern w:val="0"/>
          <w:szCs w:val="22"/>
        </w:rPr>
        <w:t xml:space="preserve"> may access the TRS Numbering Directory.</w:t>
      </w:r>
    </w:p>
    <w:p w:rsidR="00134604" w:rsidRPr="00C236EE" w:rsidRDefault="00134604" w:rsidP="00134604"/>
    <w:p w:rsidR="00134604" w:rsidRPr="00C236EE" w:rsidRDefault="00134604" w:rsidP="00134604">
      <w:pPr>
        <w:spacing w:after="120"/>
        <w:rPr>
          <w:rFonts w:eastAsia="Calibri"/>
          <w:snapToGrid/>
          <w:kern w:val="0"/>
          <w:szCs w:val="22"/>
        </w:rPr>
      </w:pPr>
      <w:r w:rsidRPr="00C236EE">
        <w:rPr>
          <w:rFonts w:eastAsia="Calibri"/>
          <w:snapToGrid/>
          <w:kern w:val="0"/>
          <w:szCs w:val="22"/>
        </w:rPr>
        <w:t>* *</w:t>
      </w:r>
      <w:r>
        <w:rPr>
          <w:rFonts w:eastAsia="Calibri"/>
          <w:snapToGrid/>
          <w:kern w:val="0"/>
          <w:szCs w:val="22"/>
        </w:rPr>
        <w:t xml:space="preserve"> </w:t>
      </w:r>
      <w:r w:rsidRPr="00C236EE">
        <w:rPr>
          <w:rFonts w:eastAsia="Calibri"/>
          <w:snapToGrid/>
          <w:kern w:val="0"/>
          <w:szCs w:val="22"/>
        </w:rPr>
        <w:t>* * *</w:t>
      </w:r>
    </w:p>
    <w:p w:rsidR="00134604" w:rsidRPr="00C236EE" w:rsidRDefault="00134604" w:rsidP="00134604">
      <w:pPr>
        <w:spacing w:after="120"/>
      </w:pPr>
      <w:r w:rsidRPr="00C236EE">
        <w:t>4. Amend § 64.615 by revising paragraph (a)(1) to read as follows:</w:t>
      </w:r>
    </w:p>
    <w:p w:rsidR="00134604" w:rsidRPr="00C236EE" w:rsidRDefault="00134604" w:rsidP="00134604">
      <w:pPr>
        <w:spacing w:after="120"/>
        <w:rPr>
          <w:b/>
        </w:rPr>
      </w:pPr>
      <w:r w:rsidRPr="00C236EE">
        <w:rPr>
          <w:b/>
        </w:rPr>
        <w:t>§ 64.615 TRS User Registration Database and administrator.</w:t>
      </w:r>
    </w:p>
    <w:p w:rsidR="00134604" w:rsidRPr="00C236EE" w:rsidRDefault="00134604" w:rsidP="00134604">
      <w:pPr>
        <w:spacing w:after="120"/>
      </w:pPr>
      <w:r w:rsidRPr="00C236EE">
        <w:t xml:space="preserve">(a) </w:t>
      </w:r>
      <w:r w:rsidRPr="00C939E2">
        <w:rPr>
          <w:i/>
          <w:iCs/>
          <w:kern w:val="0"/>
        </w:rPr>
        <w:t>TRS User Registration Database</w:t>
      </w:r>
      <w:r w:rsidRPr="00C236EE">
        <w:t>.</w:t>
      </w:r>
    </w:p>
    <w:p w:rsidR="00134604" w:rsidRPr="00C236EE" w:rsidRDefault="00134604" w:rsidP="00134604">
      <w:pPr>
        <w:spacing w:after="120"/>
      </w:pPr>
      <w:r w:rsidRPr="00C236EE">
        <w:t>(1) VRS providers shall validate the eligibility of the party on the video side of each call by querying the TRS User Registration Database</w:t>
      </w:r>
      <w:r w:rsidRPr="00C236EE">
        <w:rPr>
          <w:u w:val="single"/>
        </w:rPr>
        <w:t xml:space="preserve"> or the TRS Numbering Directory, as directed by the Commission or the TRS Fund Administrator,</w:t>
      </w:r>
      <w:r w:rsidRPr="00C236EE">
        <w:t xml:space="preserve"> on a per-call basis.  Emergency 911 calls are excepted from this requirement.</w:t>
      </w:r>
    </w:p>
    <w:p w:rsidR="00134604" w:rsidRPr="00C236EE" w:rsidRDefault="00134604" w:rsidP="00134604">
      <w:pPr>
        <w:spacing w:after="120"/>
        <w:rPr>
          <w:rFonts w:eastAsia="Calibri"/>
          <w:snapToGrid/>
          <w:kern w:val="0"/>
          <w:szCs w:val="22"/>
        </w:rPr>
      </w:pPr>
      <w:r w:rsidRPr="00C236EE">
        <w:rPr>
          <w:rFonts w:eastAsia="Calibri"/>
          <w:snapToGrid/>
          <w:kern w:val="0"/>
          <w:szCs w:val="22"/>
        </w:rPr>
        <w:t>* * * * *</w:t>
      </w:r>
    </w:p>
    <w:p w:rsidR="00134604" w:rsidRDefault="00134604" w:rsidP="00134604">
      <w:pPr>
        <w:spacing w:after="120"/>
        <w:sectPr w:rsidR="00134604" w:rsidSect="00046F6A">
          <w:endnotePr>
            <w:numFmt w:val="decimal"/>
          </w:endnotePr>
          <w:pgSz w:w="12240" w:h="15840"/>
          <w:pgMar w:top="1440" w:right="1440" w:bottom="720" w:left="1440" w:header="720" w:footer="720" w:gutter="0"/>
          <w:cols w:space="720"/>
          <w:noEndnote/>
          <w:docGrid w:linePitch="299"/>
        </w:sectPr>
      </w:pPr>
      <w:r w:rsidRPr="00C236EE">
        <w:t xml:space="preserve">(iv) The eligibility of a party using an enterprise videophone or public VRS phone may be validated by the registration information for the enterprise phones or public VRS phones in the TRS User Registration Database. </w:t>
      </w:r>
    </w:p>
    <w:p w:rsidR="00134604" w:rsidRPr="009D5A62" w:rsidRDefault="00134604" w:rsidP="00134604">
      <w:pPr>
        <w:spacing w:after="120"/>
        <w:jc w:val="center"/>
        <w:rPr>
          <w:b/>
          <w:bCs/>
          <w:kern w:val="0"/>
        </w:rPr>
      </w:pPr>
      <w:r w:rsidRPr="009D5A62">
        <w:rPr>
          <w:b/>
          <w:bCs/>
          <w:kern w:val="0"/>
        </w:rPr>
        <w:t>APPENDIX D</w:t>
      </w:r>
    </w:p>
    <w:p w:rsidR="00134604" w:rsidRPr="00BD3244" w:rsidRDefault="00134604" w:rsidP="00134604">
      <w:pPr>
        <w:spacing w:after="120"/>
        <w:jc w:val="center"/>
        <w:rPr>
          <w:rFonts w:eastAsia="Calibri"/>
          <w:b/>
          <w:bCs/>
          <w:snapToGrid/>
          <w:kern w:val="0"/>
          <w:szCs w:val="22"/>
        </w:rPr>
      </w:pPr>
      <w:r w:rsidRPr="00BD3244">
        <w:rPr>
          <w:rFonts w:eastAsia="Calibri"/>
          <w:b/>
          <w:bCs/>
          <w:snapToGrid/>
          <w:kern w:val="0"/>
          <w:szCs w:val="22"/>
        </w:rPr>
        <w:t>Final Regulatory Flexibility Analysis</w:t>
      </w:r>
    </w:p>
    <w:p w:rsidR="00134604" w:rsidRPr="0056195E" w:rsidRDefault="00134604" w:rsidP="00EA5C9B">
      <w:pPr>
        <w:pStyle w:val="ParaNum"/>
        <w:widowControl/>
        <w:numPr>
          <w:ilvl w:val="0"/>
          <w:numId w:val="19"/>
        </w:numPr>
        <w:tabs>
          <w:tab w:val="clear" w:pos="1080"/>
          <w:tab w:val="num" w:pos="1440"/>
        </w:tabs>
      </w:pPr>
      <w:bookmarkStart w:id="328" w:name="_Toc396481452"/>
      <w:bookmarkStart w:id="329" w:name="_Toc396482179"/>
      <w:bookmarkStart w:id="330" w:name="_Toc433279832"/>
      <w:r w:rsidRPr="0056195E">
        <w:t>As required by the Regulatory Flexibility Act of 1980 (RFA),</w:t>
      </w:r>
      <w:r w:rsidRPr="00C103F0">
        <w:rPr>
          <w:rStyle w:val="FootnoteReference"/>
        </w:rPr>
        <w:footnoteReference w:id="328"/>
      </w:r>
      <w:r w:rsidRPr="0056195E">
        <w:t xml:space="preserve"> as amended, the Commission incorporated an Initial Regulatory Flexibility Analysis (IRFA) into each of the Further Notices of Proposed Rulemaking.</w:t>
      </w:r>
      <w:r w:rsidRPr="00C939E2">
        <w:rPr>
          <w:rStyle w:val="FootnoteReference"/>
        </w:rPr>
        <w:footnoteReference w:id="329"/>
      </w:r>
      <w:r w:rsidRPr="0056195E">
        <w:t xml:space="preserve">  The Commission sought written public comment on the proposals in the </w:t>
      </w:r>
      <w:r w:rsidRPr="00B530F1">
        <w:rPr>
          <w:i/>
        </w:rPr>
        <w:t>2013 VRS FNPRM</w:t>
      </w:r>
      <w:r w:rsidRPr="0056195E">
        <w:t xml:space="preserve"> and the </w:t>
      </w:r>
      <w:r w:rsidRPr="00B530F1">
        <w:rPr>
          <w:i/>
        </w:rPr>
        <w:t>2015 VRS FNPRM</w:t>
      </w:r>
      <w:r w:rsidRPr="0056195E">
        <w:t>, including comment on the two IRFAs.</w:t>
      </w:r>
      <w:r w:rsidRPr="00C939E2">
        <w:rPr>
          <w:rStyle w:val="FootnoteReference"/>
        </w:rPr>
        <w:footnoteReference w:id="330"/>
      </w:r>
      <w:r w:rsidRPr="0056195E">
        <w:t xml:space="preserve">  No comments were received on either IRFA.  This Final Regulatory Flexibility Analysis (FRFA) conforms to the RFA.</w:t>
      </w:r>
      <w:r w:rsidRPr="00C939E2">
        <w:rPr>
          <w:rStyle w:val="FootnoteReference"/>
        </w:rPr>
        <w:footnoteReference w:id="331"/>
      </w:r>
      <w:r w:rsidRPr="0056195E">
        <w:t xml:space="preserve">  A copy of the Report and Order, and FRFA (or summaries thereof) will also be published in the Federal Register.</w:t>
      </w:r>
      <w:r w:rsidRPr="00C939E2">
        <w:rPr>
          <w:rStyle w:val="FootnoteReference"/>
        </w:rPr>
        <w:footnoteReference w:id="332"/>
      </w:r>
    </w:p>
    <w:p w:rsidR="00134604" w:rsidRPr="0056195E" w:rsidRDefault="00134604" w:rsidP="00134604">
      <w:pPr>
        <w:pStyle w:val="Heading2"/>
      </w:pPr>
      <w:bookmarkStart w:id="331" w:name="_Toc476077834"/>
      <w:bookmarkStart w:id="332" w:name="_Toc477963694"/>
      <w:r w:rsidRPr="0056195E">
        <w:t>Need For, and Objectives of, the Proposed Rules</w:t>
      </w:r>
      <w:bookmarkEnd w:id="328"/>
      <w:bookmarkEnd w:id="329"/>
      <w:bookmarkEnd w:id="330"/>
      <w:bookmarkEnd w:id="331"/>
      <w:bookmarkEnd w:id="332"/>
    </w:p>
    <w:p w:rsidR="00134604" w:rsidRPr="0056195E" w:rsidRDefault="00134604" w:rsidP="00EA5C9B">
      <w:pPr>
        <w:pStyle w:val="ParaNum"/>
        <w:widowControl/>
      </w:pPr>
      <w:r w:rsidRPr="0056195E">
        <w:t>The Report and Order makes rule changes to improve the functional equivalence of video relay service (VRS) by approving</w:t>
      </w:r>
      <w:r>
        <w:t>, pursuant to Commission authority under section 225 of the Communications Act of 1934, as amended (Act),</w:t>
      </w:r>
      <w:r w:rsidRPr="0056195E">
        <w:t xml:space="preserve"> eight-month trials for:  (a) skills-based routing by which VRS calls can be routed to a communications assistant (CA) who specializes in legal, medical or technical terminology; and (b) the use of deaf interpreters who work in conjunction with hearing interpreters in special situations, such as when a caller has limited signing ability.  The Report and Order also: (a) modifies the formula for calculating the speed of answer so that the measured wait time does not end until the call is answered by a CA</w:t>
      </w:r>
      <w:r>
        <w:t>—</w:t>
      </w:r>
      <w:r w:rsidRPr="0056195E">
        <w:t>i.e., not when the call is put on hold, placed in a queue, or connected to an interactive voice response (IVR) system; (b) permits the assignment of North American Numbering Plan (NANP) ten-digit telephone numbers that are registered in the telecommunications relay services (TRS) directory (iTRS numbers) to hearing individuals who know American Sign Language (ASL) to communicate directly with VRS users through point-to-point video service without the use of a CA; and (c) authorizes</w:t>
      </w:r>
      <w:r>
        <w:t>, pursuant to Commission authority under section 225 of the Communications Act of 1934, as amended (Act),</w:t>
      </w:r>
      <w:r w:rsidRPr="0056195E">
        <w:t xml:space="preserve"> a twelve-month pilot program for at-home VRS call handling, subject to requirements, including training, having secure workstations in a separate room, monitoring, and reporting to the Commission on the number of CAs working from home, their locations, and the minutes of use, which are necessary to protect the privacy of VRS users and prevent waste, fraud, and abuse.  </w:t>
      </w:r>
    </w:p>
    <w:p w:rsidR="00134604" w:rsidRPr="0056195E" w:rsidRDefault="00134604" w:rsidP="00134604">
      <w:pPr>
        <w:pStyle w:val="Heading2"/>
      </w:pPr>
      <w:bookmarkStart w:id="333" w:name="_Toc469485138"/>
      <w:bookmarkStart w:id="334" w:name="_Toc470100432"/>
      <w:bookmarkStart w:id="335" w:name="_Toc476077835"/>
      <w:bookmarkStart w:id="336" w:name="_Toc477963695"/>
      <w:r w:rsidRPr="0056195E">
        <w:t>Summary of Significant Issues Raised by Public Comments in Response to the IRFA</w:t>
      </w:r>
      <w:bookmarkEnd w:id="333"/>
      <w:bookmarkEnd w:id="334"/>
      <w:bookmarkEnd w:id="335"/>
      <w:bookmarkEnd w:id="336"/>
    </w:p>
    <w:p w:rsidR="00134604" w:rsidRPr="0056195E" w:rsidRDefault="00134604" w:rsidP="00134604">
      <w:pPr>
        <w:pStyle w:val="ParaNum"/>
        <w:widowControl/>
      </w:pPr>
      <w:r w:rsidRPr="0056195E">
        <w:t>No comments were filed in response to either IRFA.</w:t>
      </w:r>
    </w:p>
    <w:p w:rsidR="00134604" w:rsidRPr="0056195E" w:rsidRDefault="00134604" w:rsidP="00134604">
      <w:pPr>
        <w:pStyle w:val="Heading2"/>
      </w:pPr>
      <w:bookmarkStart w:id="337" w:name="_Toc469485139"/>
      <w:bookmarkStart w:id="338" w:name="_Toc470100433"/>
      <w:bookmarkStart w:id="339" w:name="_Toc476077836"/>
      <w:bookmarkStart w:id="340" w:name="_Toc477963696"/>
      <w:r w:rsidRPr="0056195E">
        <w:t>Response to Comments by the Chief Counsel for Advocacy of the Small Business Administration</w:t>
      </w:r>
      <w:bookmarkEnd w:id="337"/>
      <w:bookmarkEnd w:id="338"/>
      <w:bookmarkEnd w:id="339"/>
      <w:bookmarkEnd w:id="340"/>
    </w:p>
    <w:p w:rsidR="00134604" w:rsidRPr="0056195E" w:rsidRDefault="00134604" w:rsidP="00134604">
      <w:pPr>
        <w:pStyle w:val="ParaNum"/>
        <w:widowControl/>
      </w:pPr>
      <w:r w:rsidRPr="0056195E">
        <w:t>Pursuant to the Small Business Jobs Act of 2010, which amended the RFA, the Commission is required to respond to any comments filed by the Chief Counsel for Advocacy of the Small Business Administration (SBA), and to provide a detailed statement of any change made to the proposed rules as a result of those comments.</w:t>
      </w:r>
      <w:r w:rsidRPr="00C103F0">
        <w:rPr>
          <w:rStyle w:val="FootnoteReference"/>
        </w:rPr>
        <w:footnoteReference w:id="333"/>
      </w:r>
      <w:r w:rsidRPr="0056195E">
        <w:t xml:space="preserve">  The Chief Counsel did not file any comments in response to the proposed rules in this proceeding.</w:t>
      </w:r>
    </w:p>
    <w:p w:rsidR="00134604" w:rsidRPr="0056195E" w:rsidRDefault="00134604" w:rsidP="00134604">
      <w:pPr>
        <w:pStyle w:val="Heading2"/>
      </w:pPr>
      <w:bookmarkStart w:id="341" w:name="_Toc469485140"/>
      <w:bookmarkStart w:id="342" w:name="_Toc470100434"/>
      <w:bookmarkStart w:id="343" w:name="_Toc476077837"/>
      <w:bookmarkStart w:id="344" w:name="_Toc477963697"/>
      <w:r w:rsidRPr="0056195E">
        <w:t>Description and Estimate of the Number of Small Entities to Which the Rules Will Apply</w:t>
      </w:r>
      <w:bookmarkEnd w:id="341"/>
      <w:bookmarkEnd w:id="342"/>
      <w:bookmarkEnd w:id="343"/>
      <w:bookmarkEnd w:id="344"/>
    </w:p>
    <w:p w:rsidR="00134604" w:rsidRPr="0056195E" w:rsidRDefault="00134604" w:rsidP="00134604">
      <w:pPr>
        <w:pStyle w:val="ParaNum"/>
        <w:widowControl/>
      </w:pPr>
      <w:r w:rsidRPr="0056195E">
        <w:t>The RFA directs agencies to provide a description of, and where feasible, an estimate of the number of small entities that may be affected by the rule changes.</w:t>
      </w:r>
      <w:r w:rsidRPr="00C103F0">
        <w:rPr>
          <w:rStyle w:val="FootnoteReference"/>
        </w:rPr>
        <w:footnoteReference w:id="334"/>
      </w:r>
      <w:r w:rsidRPr="0056195E">
        <w:t xml:space="preserve">  The RFA generally defines the term “small entity” as having the same meaning as the terms “small business,” “small organization,” and “small governmental jurisdiction.”</w:t>
      </w:r>
      <w:r w:rsidRPr="00C103F0">
        <w:rPr>
          <w:rStyle w:val="FootnoteReference"/>
        </w:rPr>
        <w:footnoteReference w:id="335"/>
      </w:r>
      <w:r w:rsidRPr="0056195E">
        <w:t xml:space="preserve">  In addition, the term “small business” has the same meaning as the term “small business concern” under the Small Business Act.</w:t>
      </w:r>
      <w:r w:rsidRPr="00C103F0">
        <w:rPr>
          <w:rStyle w:val="FootnoteReference"/>
        </w:rPr>
        <w:footnoteReference w:id="336"/>
      </w:r>
      <w:r w:rsidRPr="0056195E">
        <w:t xml:space="preserve">  A “small business concern” is one that:  (1) is independently owned and operated; (2) is not dominant in its field of operation; and (3) satisfies any additional criteria established by the SBA.</w:t>
      </w:r>
      <w:r w:rsidRPr="00C103F0">
        <w:rPr>
          <w:rStyle w:val="FootnoteReference"/>
        </w:rPr>
        <w:footnoteReference w:id="337"/>
      </w:r>
      <w:r w:rsidRPr="0056195E">
        <w:t xml:space="preserve"> </w:t>
      </w:r>
    </w:p>
    <w:p w:rsidR="00134604" w:rsidRPr="0056195E" w:rsidRDefault="00134604" w:rsidP="00134604">
      <w:pPr>
        <w:pStyle w:val="ParaNum"/>
        <w:widowControl/>
      </w:pPr>
      <w:r w:rsidRPr="0056195E">
        <w:t xml:space="preserve">The rules adopted in the Report and Order will affect obligations of VRS Providers.  These services can be included within the broad economic category of All Other Telecommunications.  Five providers currently receive compensation from the TRS Fund for providing VRS:  ASL Services Holdings, LLC; CSDVRS, LLC; Convo Communications, LLC; Purple Communications, Inc.; and Sorenson Communications, Inc. </w:t>
      </w:r>
    </w:p>
    <w:p w:rsidR="00134604" w:rsidRPr="0056195E" w:rsidRDefault="00134604" w:rsidP="00134604">
      <w:pPr>
        <w:pStyle w:val="ParaNum"/>
        <w:widowControl/>
      </w:pPr>
      <w:r w:rsidRPr="0056195E">
        <w:rPr>
          <w:i/>
        </w:rPr>
        <w:t>All Other Telecommunications</w:t>
      </w:r>
      <w:r w:rsidRPr="0056195E">
        <w:t>.  “All Other Telecommunications” is defined as follows:  This U.S. industry is comprised of establishments that are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voice over Internet protocol (VoIP) services via client-supplied telecommunications connections are also included in this industry.</w:t>
      </w:r>
      <w:r w:rsidRPr="00C939E2">
        <w:rPr>
          <w:rStyle w:val="FootnoteReference"/>
        </w:rPr>
        <w:footnoteReference w:id="338"/>
      </w:r>
      <w:r w:rsidRPr="0056195E">
        <w:t xml:space="preserve">  The SBA has developed a small business size standard for “All Other Telecommunications,” which consists of all such firms with gross annual receipts of $32.5 million or less.</w:t>
      </w:r>
      <w:r w:rsidRPr="00C939E2">
        <w:rPr>
          <w:rStyle w:val="FootnoteReference"/>
        </w:rPr>
        <w:footnoteReference w:id="339"/>
      </w:r>
      <w:r w:rsidRPr="0056195E">
        <w:t xml:space="preserve">  For this category, census data for 2012 show that there were 1,442 firms that operated for the entire year.  Of these firms, a total of 1,400 had gross annual receipts of less than $25 million.</w:t>
      </w:r>
      <w:r w:rsidRPr="00C939E2">
        <w:rPr>
          <w:rStyle w:val="FootnoteReference"/>
        </w:rPr>
        <w:footnoteReference w:id="340"/>
      </w:r>
      <w:r w:rsidRPr="0056195E">
        <w:t xml:space="preserve">  Thus, a majority of “All Other Telecommunications” firms potentially affected by the rules adopted can be considered small.</w:t>
      </w:r>
    </w:p>
    <w:p w:rsidR="00134604" w:rsidRPr="0056195E" w:rsidRDefault="00134604" w:rsidP="00134604">
      <w:pPr>
        <w:pStyle w:val="Heading2"/>
      </w:pPr>
      <w:bookmarkStart w:id="345" w:name="_Toc396481455"/>
      <w:bookmarkStart w:id="346" w:name="_Toc396482182"/>
      <w:bookmarkStart w:id="347" w:name="_Toc433279835"/>
      <w:bookmarkStart w:id="348" w:name="_Toc476077838"/>
      <w:bookmarkStart w:id="349" w:name="_Toc477963698"/>
      <w:r w:rsidRPr="0056195E">
        <w:t>Description of Projected Reporting, Recordkeeping, and Other Compliance Requirements</w:t>
      </w:r>
      <w:bookmarkEnd w:id="345"/>
      <w:bookmarkEnd w:id="346"/>
      <w:bookmarkEnd w:id="347"/>
      <w:bookmarkEnd w:id="348"/>
      <w:bookmarkEnd w:id="349"/>
    </w:p>
    <w:p w:rsidR="00134604" w:rsidRPr="0056195E" w:rsidRDefault="00134604" w:rsidP="00134604">
      <w:pPr>
        <w:pStyle w:val="ParaNum"/>
        <w:widowControl/>
      </w:pPr>
      <w:bookmarkStart w:id="350" w:name="_Toc396481456"/>
      <w:bookmarkStart w:id="351" w:name="_Toc396482183"/>
      <w:r w:rsidRPr="0056195E">
        <w:t>The two trials</w:t>
      </w:r>
      <w:r>
        <w:t>—</w:t>
      </w:r>
      <w:r w:rsidRPr="0056195E">
        <w:t>for skills-based routing and deaf interpreters</w:t>
      </w:r>
      <w:r>
        <w:t>—</w:t>
      </w:r>
      <w:r w:rsidRPr="0056195E">
        <w:t xml:space="preserve">are voluntary.  There are some recordkeeping, reporting and other compliance requirements associated with the trials, but those requirements apply only if a VRS provider decides to engage in a trial.  </w:t>
      </w:r>
    </w:p>
    <w:p w:rsidR="00134604" w:rsidRPr="0056195E" w:rsidRDefault="00134604" w:rsidP="00134604">
      <w:pPr>
        <w:pStyle w:val="ParaNum"/>
        <w:widowControl/>
      </w:pPr>
      <w:r w:rsidRPr="0056195E">
        <w:t xml:space="preserve">The long-term rules adopted in the Report and Order have minor compliance requirements.  First, the modification for measuring the speed-of-answer only requires VRS providers to make minor adjustments to their automated methods of keeping records of how fast calls are answered.  Second, the assignment of iTRS numbers to hearing individuals who can sign is essentially an extension of the VRS providers’ existing obligation to collect and maintain the required data to facilitate the assignment and usage of such numbers by VRS callers and to prevent waste, fraud, and abuse.  Finally, although the Report and Order includes regulatory requirements associated with a pilot program for at-home VRS call handling, including training, having secure workstations in a separate room, monitoring, and reporting to the Commission on the number of CAs working from home, their locations, and the minutes of use, such requirements are necessary to protect the privacy of users and prevent waste, fraud, and abuse.  </w:t>
      </w:r>
    </w:p>
    <w:p w:rsidR="00134604" w:rsidRPr="0056195E" w:rsidRDefault="00134604" w:rsidP="00134604">
      <w:pPr>
        <w:pStyle w:val="Heading2"/>
      </w:pPr>
      <w:bookmarkStart w:id="352" w:name="_Toc433279836"/>
      <w:bookmarkStart w:id="353" w:name="_Toc476077839"/>
      <w:bookmarkStart w:id="354" w:name="_Toc477963699"/>
      <w:r w:rsidRPr="0056195E">
        <w:t>Steps Taken to Minimize Significant Impact on Small Entities, and Significant Alternatives Considered</w:t>
      </w:r>
      <w:bookmarkEnd w:id="350"/>
      <w:bookmarkEnd w:id="351"/>
      <w:bookmarkEnd w:id="352"/>
      <w:bookmarkEnd w:id="353"/>
      <w:bookmarkEnd w:id="354"/>
    </w:p>
    <w:p w:rsidR="00134604" w:rsidRPr="0056195E" w:rsidRDefault="00134604" w:rsidP="00134604">
      <w:pPr>
        <w:pStyle w:val="ParaNum"/>
        <w:widowControl/>
      </w:pPr>
      <w:r w:rsidRPr="0056195E">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sidRPr="00C103F0">
        <w:rPr>
          <w:rStyle w:val="FootnoteReference"/>
        </w:rPr>
        <w:footnoteReference w:id="341"/>
      </w:r>
      <w:r w:rsidRPr="0056195E">
        <w:t xml:space="preserve">  </w:t>
      </w:r>
    </w:p>
    <w:p w:rsidR="00134604" w:rsidRPr="0056195E" w:rsidRDefault="00134604" w:rsidP="00134604">
      <w:pPr>
        <w:pStyle w:val="ParaNum"/>
        <w:widowControl/>
      </w:pPr>
      <w:r w:rsidRPr="0056195E">
        <w:t>The skills-based routing trial and the trial of deaf interpreters are voluntary, thereby minimizing the potential recordkeeping, reporting and compliance requirements.  Even for VRS providers that choose to participate in the trials, the VRS providers will be designing their own trials; therefore, they will control the sizes of their trials and the corresponding compliance impacts.  Moreover, the proposal for a skills-based r</w:t>
      </w:r>
      <w:r>
        <w:t>ou</w:t>
      </w:r>
      <w:r w:rsidRPr="0056195E">
        <w:t>ting trial was initially made jointly by all of the VRS providers in 2015,</w:t>
      </w:r>
      <w:r w:rsidRPr="00C103F0">
        <w:rPr>
          <w:rStyle w:val="FootnoteReference"/>
        </w:rPr>
        <w:footnoteReference w:id="342"/>
      </w:r>
      <w:r w:rsidRPr="0056195E">
        <w:t xml:space="preserve"> and many of the reporting requirements for both trials have been suggested by the smaller VRS providers.</w:t>
      </w:r>
      <w:r w:rsidRPr="00C103F0">
        <w:rPr>
          <w:rStyle w:val="FootnoteReference"/>
        </w:rPr>
        <w:footnoteReference w:id="343"/>
      </w:r>
    </w:p>
    <w:p w:rsidR="00134604" w:rsidRPr="0056195E" w:rsidRDefault="00134604" w:rsidP="00134604">
      <w:pPr>
        <w:pStyle w:val="ParaNum"/>
        <w:widowControl/>
      </w:pPr>
      <w:r w:rsidRPr="0056195E">
        <w:t>The new rules concerning speed of answer evolved from a proposal to increase the speed-of-answer requirement.  To address concerns raised by the VRS providers of having to comply with an increased speed of answer without receiving corresponding increases in their compensation,</w:t>
      </w:r>
      <w:r w:rsidRPr="00C103F0">
        <w:rPr>
          <w:rStyle w:val="FootnoteReference"/>
        </w:rPr>
        <w:footnoteReference w:id="344"/>
      </w:r>
      <w:r w:rsidRPr="0056195E">
        <w:t xml:space="preserve"> the Commission decided not to change the speed of answer at this time.  The small change in the methodology for calculating speed-of-answer will have minimal impact on the VRS providers.</w:t>
      </w:r>
    </w:p>
    <w:p w:rsidR="00134604" w:rsidRPr="0056195E" w:rsidRDefault="00134604" w:rsidP="00134604">
      <w:pPr>
        <w:pStyle w:val="ParaNum"/>
        <w:widowControl/>
      </w:pPr>
      <w:r w:rsidRPr="0056195E">
        <w:t xml:space="preserve">The requirement to provide iTRS numbers to hearing individuals will have similar proportional impact on large and small VRS providers.  The data gathering and recordkeeping associated with the provision of such numbers is basically an extension of the VRS providers’ current roles in providing iTRS numbers to VRS users.  The costs of number assignments, back-office services, and the like shall be handled in the same manner as comparable cost functions performed in connection with number assignment and point-to-point communications for registered VRS users. </w:t>
      </w:r>
    </w:p>
    <w:p w:rsidR="00134604" w:rsidRPr="0056195E" w:rsidRDefault="00134604" w:rsidP="00134604">
      <w:pPr>
        <w:pStyle w:val="ParaNum"/>
        <w:widowControl/>
      </w:pPr>
      <w:r w:rsidRPr="0056195E">
        <w:t xml:space="preserve">The regulatory requirements associated with </w:t>
      </w:r>
      <w:r>
        <w:t xml:space="preserve">the </w:t>
      </w:r>
      <w:r w:rsidRPr="0056195E">
        <w:t xml:space="preserve">pilot program for at-home VRS call handling, including training, having secure workstations in a separate room, monitoring, and reporting to the Commission on the number of CAs working from home, their locations, and the minutes of use, are necessary to protect the privacy of users and prevent waste, fraud, and abuse.  The VRS providers will be in control of the number of such CAs working at home, and a VRS provider can decide not to allow any CAs to work at home.  The costs of setting up the necessary workstations and the associated training, monitoring, reporting, etc. shall be handled in a manner similar to comparable functions performed at the VRS providers’ call centers. </w:t>
      </w:r>
    </w:p>
    <w:p w:rsidR="00134604" w:rsidRPr="0056195E" w:rsidRDefault="00134604" w:rsidP="00134604">
      <w:pPr>
        <w:pStyle w:val="ParaNum"/>
        <w:widowControl/>
      </w:pPr>
      <w:r w:rsidRPr="0056195E">
        <w:t>No commenters raised other alternatives that would lessen the impact of any of these requirements on small entities vis-à-vis larger entities.</w:t>
      </w:r>
    </w:p>
    <w:p w:rsidR="00134604" w:rsidRPr="0056195E" w:rsidRDefault="00134604" w:rsidP="00134604">
      <w:pPr>
        <w:pStyle w:val="Heading2"/>
      </w:pPr>
      <w:bookmarkStart w:id="355" w:name="_Toc469485143"/>
      <w:bookmarkStart w:id="356" w:name="_Toc470100437"/>
      <w:bookmarkStart w:id="357" w:name="_Toc476077840"/>
      <w:bookmarkStart w:id="358" w:name="_Toc477963700"/>
      <w:r w:rsidRPr="0056195E">
        <w:t>Report to Congress</w:t>
      </w:r>
      <w:bookmarkEnd w:id="355"/>
      <w:bookmarkEnd w:id="356"/>
      <w:bookmarkEnd w:id="357"/>
      <w:bookmarkEnd w:id="358"/>
    </w:p>
    <w:p w:rsidR="00134604" w:rsidRPr="0056195E" w:rsidRDefault="00134604" w:rsidP="00134604">
      <w:pPr>
        <w:pStyle w:val="ParaNum"/>
        <w:widowControl/>
      </w:pPr>
      <w:r w:rsidRPr="0056195E">
        <w:t>The Commission will send a copy of the Report and Order, including this FRFA, in a report to be sent to Congress and the Government Accountability Office pursuant to the Congressional Review Act.</w:t>
      </w:r>
      <w:r w:rsidRPr="00C103F0">
        <w:rPr>
          <w:rStyle w:val="FootnoteReference"/>
        </w:rPr>
        <w:footnoteReference w:id="345"/>
      </w:r>
      <w:r w:rsidRPr="0056195E">
        <w:t xml:space="preserve">  In addition, the Commission will send a copy of the Report and Order, including this FRFA, to the Chief Counsel for Advocacy of the Small Business Administration</w:t>
      </w:r>
    </w:p>
    <w:p w:rsidR="00134604" w:rsidRPr="0056195E" w:rsidRDefault="00134604" w:rsidP="00134604">
      <w:pPr>
        <w:pStyle w:val="Heading2"/>
      </w:pPr>
      <w:bookmarkStart w:id="359" w:name="_Toc396481457"/>
      <w:bookmarkStart w:id="360" w:name="_Toc396482184"/>
      <w:bookmarkStart w:id="361" w:name="_Toc433279837"/>
      <w:bookmarkStart w:id="362" w:name="_Toc476077841"/>
      <w:bookmarkStart w:id="363" w:name="_Toc477963701"/>
      <w:r w:rsidRPr="0056195E">
        <w:t>Federal Rules Which Duplicate, Overlap, or Conflict With, the Commission’s Proposals</w:t>
      </w:r>
      <w:bookmarkEnd w:id="359"/>
      <w:bookmarkEnd w:id="360"/>
      <w:bookmarkEnd w:id="361"/>
      <w:bookmarkEnd w:id="362"/>
      <w:bookmarkEnd w:id="363"/>
    </w:p>
    <w:p w:rsidR="00134604" w:rsidRDefault="00134604" w:rsidP="00134604">
      <w:pPr>
        <w:pStyle w:val="ParaNum"/>
        <w:widowControl/>
        <w:sectPr w:rsidR="00134604" w:rsidSect="00046F6A">
          <w:footnotePr>
            <w:numRestart w:val="eachSect"/>
          </w:footnotePr>
          <w:endnotePr>
            <w:numFmt w:val="decimal"/>
          </w:endnotePr>
          <w:pgSz w:w="12240" w:h="15840"/>
          <w:pgMar w:top="1440" w:right="1440" w:bottom="720" w:left="1440" w:header="720" w:footer="720" w:gutter="0"/>
          <w:cols w:space="720"/>
          <w:noEndnote/>
          <w:docGrid w:linePitch="299"/>
        </w:sectPr>
      </w:pPr>
      <w:r w:rsidRPr="0056195E">
        <w:t>None.</w:t>
      </w:r>
    </w:p>
    <w:p w:rsidR="00134604" w:rsidRPr="005D0BBA" w:rsidRDefault="00134604" w:rsidP="00134604">
      <w:pPr>
        <w:spacing w:after="120"/>
        <w:jc w:val="center"/>
        <w:rPr>
          <w:b/>
          <w:bCs/>
          <w:kern w:val="0"/>
        </w:rPr>
      </w:pPr>
      <w:r w:rsidRPr="005D0BBA">
        <w:rPr>
          <w:b/>
          <w:bCs/>
          <w:kern w:val="0"/>
        </w:rPr>
        <w:t>APPENDIX E</w:t>
      </w:r>
    </w:p>
    <w:p w:rsidR="00134604" w:rsidRPr="005D0BBA" w:rsidRDefault="00134604" w:rsidP="00134604">
      <w:pPr>
        <w:spacing w:after="120"/>
        <w:jc w:val="center"/>
        <w:rPr>
          <w:rFonts w:eastAsia="Calibri"/>
          <w:b/>
          <w:bCs/>
          <w:snapToGrid/>
          <w:kern w:val="0"/>
          <w:szCs w:val="22"/>
        </w:rPr>
      </w:pPr>
      <w:r w:rsidRPr="005D0BBA">
        <w:rPr>
          <w:rFonts w:eastAsia="Calibri"/>
          <w:b/>
          <w:bCs/>
          <w:snapToGrid/>
          <w:kern w:val="0"/>
          <w:szCs w:val="22"/>
        </w:rPr>
        <w:t>Initial Regulatory Flexibility Analysis</w:t>
      </w:r>
    </w:p>
    <w:p w:rsidR="00134604" w:rsidRPr="0056195E" w:rsidRDefault="00134604" w:rsidP="00EA5C9B">
      <w:pPr>
        <w:pStyle w:val="ParaNum"/>
        <w:widowControl/>
        <w:numPr>
          <w:ilvl w:val="0"/>
          <w:numId w:val="21"/>
        </w:numPr>
        <w:tabs>
          <w:tab w:val="clear" w:pos="1080"/>
          <w:tab w:val="num" w:pos="1440"/>
        </w:tabs>
      </w:pPr>
      <w:r w:rsidRPr="0056195E">
        <w:t>As required by the Regulatory Flexibility Act of 1980, as amended (RFA),</w:t>
      </w:r>
      <w:r w:rsidRPr="00C939E2">
        <w:rPr>
          <w:rStyle w:val="FootnoteReference"/>
        </w:rPr>
        <w:footnoteReference w:id="346"/>
      </w:r>
      <w:r w:rsidRPr="0056195E">
        <w:t xml:space="preserve"> the Commission has prepared this Initial Regulatory Flexibility Analysis (IRFA) of the possible significant economic impact on a substantial number of small entities by the policies and rules proposed in the Further Notice of Proposed Rulemaking (FNPRM).  Written public comments are requested on this IRFA.  Comments must be identified as responses to the IRFA and must be filed by the deadline for comments on the FNPRM provided in the item.  The Commission will send a copy of the entire FNPRM, including this IRFA, to the Chief Counsel for Advocacy of the Small Business Administration (SBA).</w:t>
      </w:r>
      <w:r w:rsidRPr="00C939E2">
        <w:rPr>
          <w:rStyle w:val="FootnoteReference"/>
        </w:rPr>
        <w:footnoteReference w:id="347"/>
      </w:r>
      <w:r w:rsidRPr="0056195E">
        <w:t xml:space="preserve">  In addition, the FNPRM and the IRFA (or summaries thereof) will be published in the Federal Register.</w:t>
      </w:r>
      <w:r w:rsidRPr="00C939E2">
        <w:rPr>
          <w:rStyle w:val="FootnoteReference"/>
        </w:rPr>
        <w:footnoteReference w:id="348"/>
      </w:r>
    </w:p>
    <w:p w:rsidR="00134604" w:rsidRPr="0056195E" w:rsidRDefault="00134604" w:rsidP="00134604">
      <w:pPr>
        <w:pStyle w:val="Heading2"/>
        <w:numPr>
          <w:ilvl w:val="1"/>
          <w:numId w:val="22"/>
        </w:numPr>
      </w:pPr>
      <w:bookmarkStart w:id="364" w:name="_Toc476077842"/>
      <w:bookmarkStart w:id="365" w:name="_Toc477963702"/>
      <w:r w:rsidRPr="0056195E">
        <w:t>Need For, and Objectives of, the Proposed Rules</w:t>
      </w:r>
      <w:bookmarkEnd w:id="364"/>
      <w:bookmarkEnd w:id="365"/>
    </w:p>
    <w:p w:rsidR="00134604" w:rsidRPr="0056195E" w:rsidRDefault="00134604" w:rsidP="00134604">
      <w:pPr>
        <w:pStyle w:val="ParaNum"/>
        <w:widowControl/>
      </w:pPr>
      <w:r w:rsidRPr="0056195E">
        <w:t>The FNPRM addresses server-based routing of video relay service (VRS) calls; and registration of VRS enterprise and public videophones in the telecommunications relay service (TRS) user registration database (TRS-URD)</w:t>
      </w:r>
      <w:r w:rsidRPr="00556EB2">
        <w:t>; access to the TRS Numbering Directory by direct video calling (DVC) customer support services; per</w:t>
      </w:r>
      <w:r>
        <w:t>-</w:t>
      </w:r>
      <w:r w:rsidRPr="00556EB2">
        <w:t>call validation procedures for VRS calls</w:t>
      </w:r>
      <w:r>
        <w:t>; funding for research and development; prohibiting inducements to register for VRS; and prohibiting non-compete clauses in VRS CA employment contracts</w:t>
      </w:r>
      <w:r w:rsidRPr="0056195E">
        <w:t>.</w:t>
      </w:r>
    </w:p>
    <w:p w:rsidR="00134604" w:rsidRPr="0056195E" w:rsidRDefault="00134604" w:rsidP="00134604">
      <w:pPr>
        <w:pStyle w:val="ParaNum"/>
        <w:widowControl/>
      </w:pPr>
      <w:r w:rsidRPr="0056195E">
        <w:t>The proposed changes to permit server-based routing will expand the ways that VRS calls can be routed.  Under a new interoperability standard, calls may be routed to a server of the terminating VRS provider that serves multiple VRS users and devices, rather than directly to a specific device.  This new routing method will use the providers’ domain names, rather than user-specific IP addresses, as is currently required.</w:t>
      </w:r>
      <w:r w:rsidRPr="00C103F0">
        <w:rPr>
          <w:rStyle w:val="FootnoteReference"/>
        </w:rPr>
        <w:footnoteReference w:id="349"/>
      </w:r>
      <w:r w:rsidRPr="0056195E">
        <w:t xml:space="preserve">  Pursuant to a request from VRS providers, the Commission proposes to permit domain names to be included in the user routing information provided to the TRS numbering directory.</w:t>
      </w:r>
      <w:r w:rsidRPr="00C103F0">
        <w:rPr>
          <w:rStyle w:val="FootnoteReference"/>
        </w:rPr>
        <w:footnoteReference w:id="350"/>
      </w:r>
      <w:r w:rsidRPr="0056195E">
        <w:t xml:space="preserve"> </w:t>
      </w:r>
    </w:p>
    <w:p w:rsidR="00134604" w:rsidRDefault="00134604" w:rsidP="00134604">
      <w:pPr>
        <w:pStyle w:val="ParaNum"/>
        <w:widowControl/>
      </w:pPr>
      <w:r w:rsidRPr="0056195E">
        <w:t>The use of enterprise and public videophones</w:t>
      </w:r>
      <w:r w:rsidRPr="00C103F0">
        <w:rPr>
          <w:rStyle w:val="FootnoteReference"/>
        </w:rPr>
        <w:footnoteReference w:id="351"/>
      </w:r>
      <w:r w:rsidRPr="0056195E">
        <w:t xml:space="preserve"> to initiate and receive VRS calls was not included in the design of the TRS-URD, which will be used to validate consumers as registered users of VRS.</w:t>
      </w:r>
      <w:r w:rsidRPr="00C103F0">
        <w:rPr>
          <w:rStyle w:val="FootnoteReference"/>
        </w:rPr>
        <w:footnoteReference w:id="352"/>
      </w:r>
      <w:r w:rsidRPr="0056195E">
        <w:t xml:space="preserve">  The Commission proposes to require the registration of enterprise and public videophones in the TRS-URD and to require that the users of such videophones log-in to use the videophones, so that calls from such equipment may be appropriately processed and compensated for by the TRS Fund, as they have been in the past.  Such registration and log-in procedures are needed to prevent waste, fraud, and abuse of the TRS Fund. </w:t>
      </w:r>
    </w:p>
    <w:p w:rsidR="00134604" w:rsidRDefault="00134604" w:rsidP="00134604">
      <w:pPr>
        <w:pStyle w:val="ParaNum"/>
        <w:widowControl/>
      </w:pPr>
      <w:r>
        <w:t>The Commission proposes to permit providers of DVC services to have access to the TRS Numbering Directory.  Such access will enhance the functional equivalence of TRS as required by section 225 of the Communications Act of 1934, as amended,</w:t>
      </w:r>
      <w:r>
        <w:rPr>
          <w:rStyle w:val="FootnoteReference"/>
        </w:rPr>
        <w:footnoteReference w:id="353"/>
      </w:r>
      <w:r>
        <w:t xml:space="preserve"> because such access is needed for the purpose of routing point-to-point video calls to and from DVC call centers.</w:t>
      </w:r>
    </w:p>
    <w:p w:rsidR="00134604" w:rsidRDefault="00134604" w:rsidP="00134604">
      <w:pPr>
        <w:pStyle w:val="ParaNum"/>
        <w:widowControl/>
      </w:pPr>
      <w:r>
        <w:t>Section 64.615(a)(1)(i) of the Commission’s rules requires each VRS provider to validate the eligibility of the party on the video side of each VRS call (once the TRS-URD is up and running) by querying the TRS-URD on a per-call basis.</w:t>
      </w:r>
      <w:r>
        <w:rPr>
          <w:rStyle w:val="FootnoteReference"/>
        </w:rPr>
        <w:footnoteReference w:id="354"/>
      </w:r>
      <w:r>
        <w:t xml:space="preserve">  Because the per-call query function has been built into the TRS Numbering Directory rather than the TRS-URD, the Commission proposes to amend section 64.615(a)(1)(i) to require per-call validation using either the TRS-URD or the TRS Numbering Directory, as directed by either the Commission or the TRS Fund administrator.  </w:t>
      </w:r>
    </w:p>
    <w:p w:rsidR="00134604" w:rsidRDefault="00134604" w:rsidP="00134604">
      <w:pPr>
        <w:pStyle w:val="ParaNum"/>
        <w:widowControl/>
      </w:pPr>
      <w:r>
        <w:t xml:space="preserve">The Commission proposes to direct the TRS Fund Administrator for the 2017-2018 TRS Fund year, and as part of future annual ratemaking proceedings to include for Commission approval proposed funding for research and development.  Such funding is necessary to continue to meet the Commission’s charge of furthering the goals of functional equivalence and efficient availability of TRS.  </w:t>
      </w:r>
    </w:p>
    <w:p w:rsidR="00134604" w:rsidRDefault="00134604" w:rsidP="00134604">
      <w:pPr>
        <w:pStyle w:val="ParaNum"/>
        <w:widowControl/>
      </w:pPr>
      <w:r>
        <w:t xml:space="preserve">The Commission also proposes to adopt a rule prohibiting VRS providers from offering direct or indirect inducements to customers to register for VRS.  Such rules may be necessary to ensure that VRS is available to the extent possible and in the most efficient manner and to help prevent waste, fraud, and abuse of the TRS Fund. </w:t>
      </w:r>
    </w:p>
    <w:p w:rsidR="00134604" w:rsidRPr="0056195E" w:rsidRDefault="00134604" w:rsidP="00134604">
      <w:pPr>
        <w:pStyle w:val="ParaNum"/>
        <w:widowControl/>
      </w:pPr>
      <w:r>
        <w:t>Lastly, the Commission proposes to prohibit VRS providers from preventing CAs from subsequently working for a competing VRS provider through the inclusion of non-compete provisions in VRS CA employment contracts or otherwise requiring or inducing CAs to agree to non-compete agreements.  A prohibition on non-compete agreements will ensure that VRS is available to the extent possible and in the most efficient manner by increasing the CA labor pool, ensuring the availability of qualified interpreters, and removing a barrier to competition.</w:t>
      </w:r>
    </w:p>
    <w:p w:rsidR="00134604" w:rsidRPr="0056195E" w:rsidRDefault="00134604" w:rsidP="00134604">
      <w:pPr>
        <w:pStyle w:val="Heading2"/>
      </w:pPr>
      <w:bookmarkStart w:id="366" w:name="_Toc476077843"/>
      <w:bookmarkStart w:id="367" w:name="_Toc477963703"/>
      <w:r w:rsidRPr="0056195E">
        <w:t>Legal Basis</w:t>
      </w:r>
      <w:bookmarkEnd w:id="366"/>
      <w:bookmarkEnd w:id="367"/>
    </w:p>
    <w:p w:rsidR="00134604" w:rsidRPr="0056195E" w:rsidRDefault="00134604" w:rsidP="00134604">
      <w:pPr>
        <w:pStyle w:val="ParaNum"/>
        <w:widowControl/>
      </w:pPr>
      <w:r w:rsidRPr="0056195E">
        <w:t xml:space="preserve">The authority for this proposed rulemaking is contained in sections 225 and </w:t>
      </w:r>
      <w:r>
        <w:t>251</w:t>
      </w:r>
      <w:r w:rsidRPr="0056195E">
        <w:t xml:space="preserve"> of the Communications Act of 1934, as amended, 47 U.S.C. §§ 225, </w:t>
      </w:r>
      <w:r>
        <w:t>251</w:t>
      </w:r>
      <w:r w:rsidRPr="0056195E">
        <w:t xml:space="preserve">. </w:t>
      </w:r>
    </w:p>
    <w:p w:rsidR="00134604" w:rsidRPr="0056195E" w:rsidRDefault="00134604" w:rsidP="00134604">
      <w:pPr>
        <w:pStyle w:val="Heading2"/>
      </w:pPr>
      <w:bookmarkStart w:id="368" w:name="_Toc476077844"/>
      <w:bookmarkStart w:id="369" w:name="_Toc477963704"/>
      <w:r w:rsidRPr="0056195E">
        <w:t>Description and Estimate of the Number of Small Entities Impacted</w:t>
      </w:r>
      <w:bookmarkEnd w:id="368"/>
      <w:bookmarkEnd w:id="369"/>
    </w:p>
    <w:p w:rsidR="00134604" w:rsidRPr="0056195E" w:rsidRDefault="00134604" w:rsidP="00134604">
      <w:pPr>
        <w:pStyle w:val="ParaNum"/>
        <w:widowControl/>
      </w:pPr>
      <w:r w:rsidRPr="0056195E">
        <w:t>The RFA directs agencies to provide a description of, and where feasible, an estimate of the number of small entities that may be affected by the proposed rules and policies, if adopted.</w:t>
      </w:r>
      <w:r w:rsidRPr="00C103F0">
        <w:rPr>
          <w:rStyle w:val="FootnoteReference"/>
        </w:rPr>
        <w:footnoteReference w:id="355"/>
      </w:r>
      <w:r w:rsidRPr="0056195E">
        <w:t xml:space="preserve">  The RFA generally defines the term “small entity” as having the same meaning as the terms “small business,” “small organization,” and “small governmental jurisdiction.”</w:t>
      </w:r>
      <w:r w:rsidRPr="00C103F0">
        <w:rPr>
          <w:rStyle w:val="FootnoteReference"/>
        </w:rPr>
        <w:footnoteReference w:id="356"/>
      </w:r>
      <w:r w:rsidRPr="0056195E">
        <w:t xml:space="preserve">  In addition, the term “small business” has the same meaning as the term “small business concern” under the Small Business Act.</w:t>
      </w:r>
      <w:r w:rsidRPr="00C103F0">
        <w:rPr>
          <w:rStyle w:val="FootnoteReference"/>
        </w:rPr>
        <w:footnoteReference w:id="357"/>
      </w:r>
      <w:r w:rsidRPr="0056195E">
        <w:t xml:space="preserve">  A “small business concern” is one which: (1) is independently owned and operated; (2) is not dominant in its field of operation; and (3) satisfies any additional criteria established by the SBA.</w:t>
      </w:r>
      <w:r w:rsidRPr="00C103F0">
        <w:rPr>
          <w:rStyle w:val="FootnoteReference"/>
        </w:rPr>
        <w:footnoteReference w:id="358"/>
      </w:r>
      <w:r w:rsidRPr="0056195E">
        <w:t xml:space="preserve"> </w:t>
      </w:r>
    </w:p>
    <w:p w:rsidR="00134604" w:rsidRPr="0056195E" w:rsidRDefault="00134604" w:rsidP="00134604">
      <w:pPr>
        <w:pStyle w:val="ParaNum"/>
        <w:widowControl/>
      </w:pPr>
      <w:r w:rsidRPr="0056195E">
        <w:t xml:space="preserve">The rules proposed in the FNPRM will affect obligations of VRS </w:t>
      </w:r>
      <w:r>
        <w:t>p</w:t>
      </w:r>
      <w:r w:rsidRPr="0056195E">
        <w:t>roviders</w:t>
      </w:r>
      <w:r w:rsidRPr="008A0EC8">
        <w:t xml:space="preserve"> </w:t>
      </w:r>
      <w:r>
        <w:t>and providers of DVC services</w:t>
      </w:r>
      <w:r w:rsidRPr="0056195E">
        <w:t>.  These services can be included within the broad economic category of All Other Telecommunications.  Five providers currently receive compensation from the TRS Fund for providing VRS:  ASL Services Holdings, LLC; CSDVRS, LLC; Convo Communications, LLC; Purple Communications, Inc.; and Sorenson Communications, Inc.</w:t>
      </w:r>
    </w:p>
    <w:p w:rsidR="00134604" w:rsidRPr="0056195E" w:rsidRDefault="00134604" w:rsidP="00134604">
      <w:pPr>
        <w:pStyle w:val="ParaNum"/>
        <w:widowControl/>
      </w:pPr>
      <w:r w:rsidRPr="008A0EC8">
        <w:rPr>
          <w:i/>
        </w:rPr>
        <w:t>All Other Telecommunications</w:t>
      </w:r>
      <w:r w:rsidRPr="0056195E">
        <w:t xml:space="preserve">.  </w:t>
      </w:r>
      <w:r w:rsidRPr="00C939E2">
        <w:t>“</w:t>
      </w:r>
      <w:r w:rsidRPr="0056195E">
        <w:t>All Other Telecommunications” is defined as follows:  This U.S. industry is comprised of establishments that are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voice over Internet protocol (VoIP) services via client-supplied telecommunications connections are also included in this industry.</w:t>
      </w:r>
      <w:r w:rsidRPr="00C939E2">
        <w:rPr>
          <w:rStyle w:val="FootnoteReference"/>
        </w:rPr>
        <w:footnoteReference w:id="359"/>
      </w:r>
      <w:r w:rsidRPr="0056195E">
        <w:t xml:space="preserve">  The SBA has developed a small business size standard for “All Other Telecommunications,” which consists of all such firms with gross annual receipts of $32.5 million or less.</w:t>
      </w:r>
      <w:r w:rsidRPr="00C939E2">
        <w:rPr>
          <w:rStyle w:val="FootnoteReference"/>
        </w:rPr>
        <w:footnoteReference w:id="360"/>
      </w:r>
      <w:r w:rsidRPr="0056195E">
        <w:t xml:space="preserve">  For this category, census data for 2012 show that there were 1,442 firms that operated for the entire year.  Of these firms, a total of 1,400 had gross annual receipts of less than $25 million.</w:t>
      </w:r>
      <w:r w:rsidRPr="00C939E2">
        <w:rPr>
          <w:rStyle w:val="FootnoteReference"/>
        </w:rPr>
        <w:footnoteReference w:id="361"/>
      </w:r>
      <w:r w:rsidRPr="0056195E">
        <w:t xml:space="preserve">  Thus, a majority of “All Other Telecommunications” firms potentially affected by the rules adopted can be considered small.</w:t>
      </w:r>
    </w:p>
    <w:p w:rsidR="00134604" w:rsidRPr="0056195E" w:rsidRDefault="00134604" w:rsidP="00134604">
      <w:pPr>
        <w:pStyle w:val="Heading2"/>
      </w:pPr>
      <w:bookmarkStart w:id="370" w:name="_Toc476077845"/>
      <w:bookmarkStart w:id="371" w:name="_Toc477963705"/>
      <w:r w:rsidRPr="0056195E">
        <w:t>Description of Projected Reporting, Recordkeeping, and Other Compliance Requirements</w:t>
      </w:r>
      <w:bookmarkEnd w:id="370"/>
      <w:bookmarkEnd w:id="371"/>
    </w:p>
    <w:p w:rsidR="00134604" w:rsidRPr="0056195E" w:rsidRDefault="00134604" w:rsidP="00134604">
      <w:pPr>
        <w:pStyle w:val="ParaNum"/>
        <w:widowControl/>
      </w:pPr>
      <w:r w:rsidRPr="0056195E">
        <w:t xml:space="preserve">The proposed server-based call routing option will permit the use of domain names, and will require VRS providers to keep records of such domain names.  The domain names will then be processed as call routing information, just as other call routing information is processed currently.  The changes to the TRS-URD design to permit calls to be made from enterprise and public videophones will require VRS providers to register such equipment in the TRS-URD, in a manner similar to how they currently register individuals in the TRS-URD. </w:t>
      </w:r>
      <w:r>
        <w:t xml:space="preserve"> The other proposed rule changes do not involve recordkeeping requirements.</w:t>
      </w:r>
    </w:p>
    <w:p w:rsidR="00134604" w:rsidRPr="0056195E" w:rsidRDefault="00134604" w:rsidP="00134604">
      <w:pPr>
        <w:pStyle w:val="Heading2"/>
      </w:pPr>
      <w:bookmarkStart w:id="372" w:name="_Toc476077846"/>
      <w:bookmarkStart w:id="373" w:name="_Toc477963706"/>
      <w:r w:rsidRPr="0056195E">
        <w:t>Steps Taken to Minimize Significant Impact on Small Entities, and Significant Alternatives Considered</w:t>
      </w:r>
      <w:bookmarkEnd w:id="372"/>
      <w:bookmarkEnd w:id="373"/>
    </w:p>
    <w:p w:rsidR="00134604" w:rsidRPr="0056195E" w:rsidRDefault="00134604" w:rsidP="00134604">
      <w:pPr>
        <w:pStyle w:val="ParaNum"/>
        <w:widowControl/>
      </w:pPr>
      <w:r w:rsidRPr="0056195E">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sidRPr="00C103F0">
        <w:rPr>
          <w:rStyle w:val="FootnoteReference"/>
        </w:rPr>
        <w:footnoteReference w:id="362"/>
      </w:r>
      <w:r w:rsidRPr="0056195E">
        <w:t xml:space="preserve">  </w:t>
      </w:r>
    </w:p>
    <w:p w:rsidR="00134604" w:rsidRPr="0056195E" w:rsidRDefault="00134604" w:rsidP="00134604">
      <w:pPr>
        <w:pStyle w:val="ParaNum"/>
        <w:widowControl/>
      </w:pPr>
      <w:r w:rsidRPr="0056195E">
        <w:t xml:space="preserve">The proposed server-based call routing option using domain names will be available to all VRS providers, will not be burdensome, and will advance interoperability.  Greater interoperability will foster competition, thereby benefitting the smaller providers.  To the extent there are differences in operating costs resulting from economies of scale, those costs are reflected in the different </w:t>
      </w:r>
      <w:r>
        <w:t xml:space="preserve">compensation </w:t>
      </w:r>
      <w:r w:rsidRPr="0056195E">
        <w:t>rate structures applicable to large and small VRS providers.</w:t>
      </w:r>
      <w:r w:rsidRPr="00C103F0">
        <w:rPr>
          <w:rStyle w:val="FootnoteReference"/>
        </w:rPr>
        <w:footnoteReference w:id="363"/>
      </w:r>
      <w:r w:rsidRPr="0056195E">
        <w:t xml:space="preserve"> </w:t>
      </w:r>
    </w:p>
    <w:p w:rsidR="00134604" w:rsidRDefault="00134604" w:rsidP="00134604">
      <w:pPr>
        <w:pStyle w:val="ParaNum"/>
        <w:widowControl/>
      </w:pPr>
      <w:r w:rsidRPr="0056195E">
        <w:t>The provision of VRS service to enterprise and public videophones is optional for VRS providers.  The proposed registration requirements for such videophones and log-in procedures for users of such videophones apply equally to all VRS providers and users, and are necessary to prevent waste, fraud, and abuse of the TRS Fund.  The registration requirements for enterprise and public videophones are no more burdensome than the registration requirements for individual videophones.  To the extent there are differences in operating costs resulting from economies of scale, those costs are reflected in the different rate structures applicable to large and small VRS providers.  Therefore, the Commission does not adopt any of the four alternatives listed above for small entities.</w:t>
      </w:r>
    </w:p>
    <w:p w:rsidR="00134604" w:rsidRDefault="00134604" w:rsidP="00134604">
      <w:pPr>
        <w:pStyle w:val="ParaNum"/>
        <w:widowControl/>
      </w:pPr>
      <w:r>
        <w:t>Permitting providers of DVC call centers to access the TRS Numbering Directory is necessary for the purpose of routing calls to and from DVC call centers.  Such access would subject such call center providers to call-routing rules similar to those currently applicable to Internet-based TRS providers.  Such rules are not burdensome.</w:t>
      </w:r>
    </w:p>
    <w:p w:rsidR="00134604" w:rsidRDefault="00134604" w:rsidP="00134604">
      <w:pPr>
        <w:pStyle w:val="ParaNum"/>
        <w:widowControl/>
      </w:pPr>
      <w:r>
        <w:t>Requiring VRS providers to transmit per-call validation queries to the TRS Numbering Directory instead of the TRS-URD, as currently required, is not burdensome.  The only difference is the database that must be queried.</w:t>
      </w:r>
    </w:p>
    <w:p w:rsidR="00134604" w:rsidRDefault="00134604" w:rsidP="00134604">
      <w:pPr>
        <w:pStyle w:val="ParaNum"/>
        <w:widowControl/>
      </w:pPr>
      <w:r>
        <w:t>Directing the TRS Fund Administrator to propose an appropriate amount of funding for research and development for the 2017-2018 TRS Fund year and as a part of each future annual ratemaking proceeding extends a past Commission directive to the TRS Fund Administrator to set an initial budget for research and development projects to be supported by the TRS Fund.  The Commission seeks comment on the appropriate budget for research and development and whether to continue independently funding research and development through the TRS Fund.  Funding independent research and development through the TRS Fund may result in a reduction in the costs that VRS providers incur to conduct their own research and development.</w:t>
      </w:r>
    </w:p>
    <w:p w:rsidR="00134604" w:rsidRDefault="00134604" w:rsidP="00134604">
      <w:pPr>
        <w:pStyle w:val="ParaNum"/>
        <w:widowControl/>
      </w:pPr>
      <w:r>
        <w:t xml:space="preserve">Prohibiting VRS providers from offering customers direct or indirect inducements to register for VRS will help ensure that VRS is available to the extent possible and in the most efficient manner while helping to limit waste, fraud, and abuse.  Adopting this prohibition may benefit small providers by removing competitive costs associated with offering inducements unrelated to providing service and focusing competition on service quality.  </w:t>
      </w:r>
    </w:p>
    <w:p w:rsidR="00134604" w:rsidRPr="0056195E" w:rsidRDefault="00134604" w:rsidP="00134604">
      <w:pPr>
        <w:pStyle w:val="ParaNum"/>
        <w:widowControl/>
      </w:pPr>
      <w:r>
        <w:t>Prohibiting non-compete provisions in VRS CA employment contracts and  prohibiting VRS providers from otherwise requesting or requiring CAs to agree to non-compete agreements narrowly targets a concern that affects the size of the CA labor pool, restricts competition, and impedes consumers choice.  Prohibiting such restrictions may benefit smaller providers through increased availability of qualified interpreters.</w:t>
      </w:r>
    </w:p>
    <w:p w:rsidR="00134604" w:rsidRPr="0056195E" w:rsidRDefault="00134604" w:rsidP="00134604">
      <w:pPr>
        <w:pStyle w:val="Heading2"/>
      </w:pPr>
      <w:bookmarkStart w:id="374" w:name="_Toc476077847"/>
      <w:bookmarkStart w:id="375" w:name="_Toc477963707"/>
      <w:r w:rsidRPr="0056195E">
        <w:t>Federal Rules Which Duplicate, Overlap, or Conflict With, the Commission’s Proposals</w:t>
      </w:r>
      <w:bookmarkEnd w:id="374"/>
      <w:bookmarkEnd w:id="375"/>
    </w:p>
    <w:p w:rsidR="006125D9" w:rsidRDefault="00134604" w:rsidP="00134604">
      <w:pPr>
        <w:pStyle w:val="ParaNum"/>
        <w:widowControl/>
        <w:sectPr w:rsidR="006125D9" w:rsidSect="00046F6A">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pgMar w:top="1440" w:right="1440" w:bottom="720" w:left="1440" w:header="720" w:footer="720" w:gutter="0"/>
          <w:cols w:space="720"/>
          <w:noEndnote/>
          <w:docGrid w:linePitch="299"/>
        </w:sectPr>
      </w:pPr>
      <w:r w:rsidRPr="0056195E">
        <w:t>None.</w:t>
      </w:r>
    </w:p>
    <w:p w:rsidR="00134604" w:rsidRPr="00DF50D8" w:rsidRDefault="00134604" w:rsidP="006125D9"/>
    <w:p w:rsidR="006125D9" w:rsidRDefault="006125D9" w:rsidP="006125D9">
      <w:pPr>
        <w:jc w:val="center"/>
        <w:rPr>
          <w:b/>
        </w:rPr>
      </w:pPr>
      <w:r>
        <w:rPr>
          <w:b/>
        </w:rPr>
        <w:t>STATEMENT OF</w:t>
      </w:r>
      <w:r>
        <w:rPr>
          <w:b/>
        </w:rPr>
        <w:br/>
        <w:t>CHAIRMAN AJIT PAI</w:t>
      </w:r>
    </w:p>
    <w:p w:rsidR="006125D9" w:rsidRDefault="006125D9" w:rsidP="006125D9">
      <w:pPr>
        <w:jc w:val="center"/>
        <w:rPr>
          <w:b/>
        </w:rPr>
      </w:pPr>
    </w:p>
    <w:p w:rsidR="006125D9" w:rsidRDefault="006125D9" w:rsidP="006125D9">
      <w:pPr>
        <w:ind w:left="720" w:hanging="720"/>
      </w:pPr>
      <w:r>
        <w:t>Re:</w:t>
      </w:r>
      <w:r>
        <w:tab/>
      </w:r>
      <w:r>
        <w:rPr>
          <w:i/>
        </w:rPr>
        <w:t>Structure and Practices of the Video Relay Service Program</w:t>
      </w:r>
      <w:r w:rsidRPr="00516823">
        <w:t xml:space="preserve">, </w:t>
      </w:r>
      <w:r w:rsidRPr="00210588">
        <w:t>CG Docket No. 10-51</w:t>
      </w:r>
      <w:r>
        <w:t>;</w:t>
      </w:r>
      <w:r>
        <w:rPr>
          <w:i/>
        </w:rPr>
        <w:t xml:space="preserve"> Telecommunications Relay Services and Speech-to-Speech Services for Individuals with Hearing and Speech Disabilities</w:t>
      </w:r>
      <w:r w:rsidRPr="00516823">
        <w:t xml:space="preserve">, </w:t>
      </w:r>
      <w:r w:rsidRPr="00210588">
        <w:t>CG Docket No. 03-123</w:t>
      </w:r>
    </w:p>
    <w:p w:rsidR="006125D9" w:rsidRPr="00885EE6" w:rsidRDefault="006125D9" w:rsidP="006125D9">
      <w:pPr>
        <w:ind w:left="720" w:hanging="720"/>
      </w:pPr>
    </w:p>
    <w:p w:rsidR="006125D9" w:rsidRDefault="006125D9" w:rsidP="006125D9">
      <w:pPr>
        <w:ind w:firstLine="720"/>
      </w:pPr>
      <w:r w:rsidRPr="000C149D">
        <w:t xml:space="preserve">In the finals of the 1964 NCAA Men’s National Basketball Championship, Duke lost to UCLA, 98-83.  Duke’s defeat is one point in 1964’s favor.  Another is that </w:t>
      </w:r>
      <w:r>
        <w:t>AT&amp;T</w:t>
      </w:r>
      <w:r w:rsidRPr="0090130C">
        <w:t xml:space="preserve"> </w:t>
      </w:r>
      <w:r>
        <w:t xml:space="preserve">introduced the first </w:t>
      </w:r>
      <w:r w:rsidRPr="0090130C">
        <w:t>videophone (trademarked as the</w:t>
      </w:r>
      <w:r>
        <w:t xml:space="preserve"> “Picturephone”) to the public at the </w:t>
      </w:r>
      <w:r w:rsidRPr="0090130C">
        <w:t>New York World</w:t>
      </w:r>
      <w:r>
        <w:t>’</w:t>
      </w:r>
      <w:r w:rsidRPr="0090130C">
        <w:t>s Fair</w:t>
      </w:r>
      <w:r>
        <w:t xml:space="preserve">.  In a demonstration of the new device, two deaf users in two different cities were able to communicate </w:t>
      </w:r>
      <w:r w:rsidRPr="0090130C">
        <w:t>freely</w:t>
      </w:r>
      <w:r>
        <w:t xml:space="preserve"> with each other.  The Picturephone was a commercial flop, but it laid the groundwork for what we now call video relay service, or VRS.</w:t>
      </w:r>
    </w:p>
    <w:p w:rsidR="006125D9" w:rsidRDefault="006125D9" w:rsidP="006125D9">
      <w:pPr>
        <w:ind w:firstLine="720"/>
      </w:pPr>
    </w:p>
    <w:p w:rsidR="006125D9" w:rsidRDefault="006125D9" w:rsidP="006125D9">
      <w:pPr>
        <w:ind w:firstLine="720"/>
      </w:pPr>
      <w:r>
        <w:t>VRS has been critical to providing deaf and hard-of-hearing individuals with the ability to communicate in ways that many of us take for granted, such as making a phone call to order a pizza.  But as beneficial as this service has been, we can do better.  So I’m thrilled that today, we take steps to meaningfully improve VRS.  A couple of them deserve special mention.</w:t>
      </w:r>
    </w:p>
    <w:p w:rsidR="006125D9" w:rsidRDefault="006125D9" w:rsidP="006125D9">
      <w:pPr>
        <w:ind w:firstLine="720"/>
      </w:pPr>
    </w:p>
    <w:p w:rsidR="006125D9" w:rsidRDefault="006125D9" w:rsidP="006125D9">
      <w:pPr>
        <w:ind w:firstLine="720"/>
      </w:pPr>
      <w:r>
        <w:t>First, we are authorizing a voluntary, eight-month trial of skills-based routing of calls.  Here’s why this matters.  When someone who is deaf or hard of hearing has a matter that requires some technical language to explain—say, a medical problem or a computer support issue—he or she can’t necessarily be sure that a VRS interpreter will know all the relevant terms, or how best to translate them.  With skills-based routing, interpreters who specialize in medical, legal, and technical computer support terminology can enable those with disabilities to use VRS to communicate with doctors, lawyers, and computer technicians.  I called for the Commission to implement a pilot project involving skills-based routing almost four years ago, and I’m happy that it is finally coming to fruition.</w:t>
      </w:r>
    </w:p>
    <w:p w:rsidR="006125D9" w:rsidRDefault="006125D9" w:rsidP="006125D9">
      <w:pPr>
        <w:ind w:firstLine="720"/>
      </w:pPr>
    </w:p>
    <w:p w:rsidR="006125D9" w:rsidRDefault="006125D9" w:rsidP="006125D9">
      <w:pPr>
        <w:ind w:firstLine="720"/>
      </w:pPr>
      <w:r>
        <w:t>Second, we are approving a trial for deaf interpreters.  Deaf interpreters can help when a deaf or hard of hearing person with cognitive or mobility challenges, or limited English or American Sign Language (ASL) proficiency, has difficulty communicating with a hearing person, even a person proficient in ASL.  A deaf interpreter’s unique experience and background can help bridge this communications gap—almost like switching from a static-filled line to a clear one.  Together, these two trials will further Congress’s goal of achieving functional equivalence of communications services, while also providing the Commission with valuable data to inform potential future action on these issues.</w:t>
      </w:r>
    </w:p>
    <w:p w:rsidR="006125D9" w:rsidRDefault="006125D9" w:rsidP="006125D9">
      <w:pPr>
        <w:ind w:firstLine="720"/>
      </w:pPr>
    </w:p>
    <w:p w:rsidR="006125D9" w:rsidRDefault="006125D9" w:rsidP="006125D9">
      <w:pPr>
        <w:ind w:firstLine="720"/>
      </w:pPr>
      <w:r>
        <w:t xml:space="preserve">Additionally, we ask the public to weigh in on many issues important to the future of VRS.  For example, we hope to evaluate what performance goals and quality service metrics can improve the VRS program’s effectiveness.  We also propose </w:t>
      </w:r>
      <w:r w:rsidRPr="005731B3">
        <w:t>a</w:t>
      </w:r>
      <w:r>
        <w:t>nother</w:t>
      </w:r>
      <w:r w:rsidRPr="005731B3">
        <w:t xml:space="preserve"> four-year </w:t>
      </w:r>
      <w:r>
        <w:t>VRS compensation rate plan and seek comment on how to structure that plan to promote competition and fiscal responsibility.</w:t>
      </w:r>
    </w:p>
    <w:p w:rsidR="006125D9" w:rsidRDefault="006125D9" w:rsidP="006125D9">
      <w:pPr>
        <w:ind w:firstLine="720"/>
      </w:pPr>
    </w:p>
    <w:p w:rsidR="006125D9" w:rsidRDefault="006125D9" w:rsidP="006125D9">
      <w:pPr>
        <w:ind w:firstLine="720"/>
      </w:pPr>
      <w:r>
        <w:t>We’ve come a long way since the Picturephone.  I’m optimistic that our action today will help us go a long way further.  I look forward to working with my colleagues on further steps to ensure that deaf and hard-of-hearing individuals are provided with functionally equivalent communications services—or, in English, are brought over to the right side of the digital divide.</w:t>
      </w:r>
    </w:p>
    <w:p w:rsidR="006125D9" w:rsidRDefault="006125D9" w:rsidP="006125D9">
      <w:pPr>
        <w:ind w:firstLine="720"/>
      </w:pPr>
    </w:p>
    <w:p w:rsidR="006125D9" w:rsidRDefault="006125D9" w:rsidP="006125D9">
      <w:pPr>
        <w:ind w:firstLine="720"/>
        <w:sectPr w:rsidR="006125D9" w:rsidSect="00046F6A">
          <w:footnotePr>
            <w:numRestart w:val="eachSect"/>
          </w:footnotePr>
          <w:endnotePr>
            <w:numFmt w:val="decimal"/>
          </w:endnotePr>
          <w:pgSz w:w="12240" w:h="15840"/>
          <w:pgMar w:top="1440" w:right="1440" w:bottom="720" w:left="1440" w:header="720" w:footer="720" w:gutter="0"/>
          <w:cols w:space="720"/>
          <w:noEndnote/>
          <w:docGrid w:linePitch="299"/>
        </w:sectPr>
      </w:pPr>
      <w:r>
        <w:t>Finally, I would like to thank the staff for all the hard work on this comprehensive and critical matter:  Robert Aldrich, Susan Bahr, Eliot Greenwald, Alison Kutler, Karen Peltz Strauss, and Michael Scott from the Consumer and Governmental Affairs Bureau; Terry Cavanaugh from the Office of General Counsel;</w:t>
      </w:r>
      <w:r w:rsidRPr="00AA1635">
        <w:t xml:space="preserve"> </w:t>
      </w:r>
      <w:r w:rsidRPr="00A869AD">
        <w:t>David Schmidt and Dana Shaffer</w:t>
      </w:r>
      <w:r>
        <w:t xml:space="preserve"> of the Office of Managing Director; and </w:t>
      </w:r>
      <w:r w:rsidRPr="00AA1635">
        <w:t>Hennin</w:t>
      </w:r>
      <w:r>
        <w:t xml:space="preserve">g Schulzrinne </w:t>
      </w:r>
      <w:r w:rsidRPr="00AA1635">
        <w:t>from the Office of Strategic Policy and Planning</w:t>
      </w:r>
      <w:r>
        <w:t xml:space="preserve">.  It will be no small thing to walk into this building tomorrow morning knowing that you’ve helped those whose world is silent better communicate, if not communicate </w:t>
      </w:r>
      <w:r w:rsidRPr="00146148">
        <w:rPr>
          <w:i/>
        </w:rPr>
        <w:t>period</w:t>
      </w:r>
      <w:r>
        <w:t>, with the outside world.</w:t>
      </w:r>
    </w:p>
    <w:p w:rsidR="006125D9" w:rsidRPr="006125D9" w:rsidRDefault="006125D9" w:rsidP="006125D9">
      <w:pPr>
        <w:widowControl/>
        <w:jc w:val="center"/>
        <w:rPr>
          <w:rFonts w:eastAsia="Calibri"/>
          <w:b/>
          <w:snapToGrid/>
          <w:kern w:val="0"/>
          <w:szCs w:val="22"/>
        </w:rPr>
      </w:pPr>
      <w:r w:rsidRPr="006125D9">
        <w:rPr>
          <w:rFonts w:eastAsia="Calibri"/>
          <w:b/>
          <w:snapToGrid/>
          <w:kern w:val="0"/>
          <w:szCs w:val="22"/>
        </w:rPr>
        <w:t xml:space="preserve">STATEMENT OF </w:t>
      </w:r>
    </w:p>
    <w:p w:rsidR="006125D9" w:rsidRPr="006125D9" w:rsidRDefault="006125D9" w:rsidP="006125D9">
      <w:pPr>
        <w:widowControl/>
        <w:jc w:val="center"/>
        <w:rPr>
          <w:rFonts w:eastAsia="Calibri"/>
          <w:b/>
          <w:snapToGrid/>
          <w:kern w:val="0"/>
          <w:szCs w:val="22"/>
        </w:rPr>
      </w:pPr>
      <w:r w:rsidRPr="006125D9">
        <w:rPr>
          <w:rFonts w:eastAsia="Calibri"/>
          <w:b/>
          <w:snapToGrid/>
          <w:kern w:val="0"/>
          <w:szCs w:val="22"/>
        </w:rPr>
        <w:t>COMMISSIONER MIGNON L. CLYBURN</w:t>
      </w:r>
    </w:p>
    <w:p w:rsidR="006125D9" w:rsidRPr="006125D9" w:rsidRDefault="006125D9" w:rsidP="006125D9">
      <w:pPr>
        <w:widowControl/>
        <w:rPr>
          <w:rFonts w:eastAsia="Calibri"/>
          <w:snapToGrid/>
          <w:kern w:val="0"/>
          <w:szCs w:val="22"/>
        </w:rPr>
      </w:pPr>
    </w:p>
    <w:p w:rsidR="006125D9" w:rsidRPr="006125D9" w:rsidRDefault="006125D9" w:rsidP="006125D9">
      <w:pPr>
        <w:widowControl/>
        <w:ind w:left="720" w:hanging="720"/>
        <w:rPr>
          <w:rFonts w:eastAsia="Calibri"/>
          <w:snapToGrid/>
          <w:kern w:val="0"/>
          <w:szCs w:val="22"/>
        </w:rPr>
      </w:pPr>
      <w:r w:rsidRPr="006125D9">
        <w:rPr>
          <w:rFonts w:eastAsia="Calibri"/>
          <w:snapToGrid/>
          <w:kern w:val="0"/>
          <w:szCs w:val="22"/>
        </w:rPr>
        <w:t xml:space="preserve">Re: </w:t>
      </w:r>
      <w:r w:rsidRPr="006125D9">
        <w:rPr>
          <w:rFonts w:eastAsia="Calibri"/>
          <w:snapToGrid/>
          <w:kern w:val="0"/>
          <w:szCs w:val="22"/>
        </w:rPr>
        <w:tab/>
      </w:r>
      <w:r w:rsidRPr="006125D9">
        <w:rPr>
          <w:rFonts w:eastAsia="Calibri"/>
          <w:i/>
          <w:snapToGrid/>
          <w:kern w:val="0"/>
          <w:szCs w:val="22"/>
        </w:rPr>
        <w:t>Structure and Practices of the Video Relay Service Program</w:t>
      </w:r>
      <w:r w:rsidRPr="006125D9">
        <w:rPr>
          <w:rFonts w:eastAsia="Calibri"/>
          <w:snapToGrid/>
          <w:kern w:val="0"/>
          <w:szCs w:val="22"/>
        </w:rPr>
        <w:t xml:space="preserve">, CG Docket No. 10-51; </w:t>
      </w:r>
      <w:r w:rsidRPr="006125D9">
        <w:rPr>
          <w:rFonts w:eastAsia="Calibri"/>
          <w:i/>
          <w:snapToGrid/>
          <w:kern w:val="0"/>
          <w:szCs w:val="22"/>
        </w:rPr>
        <w:t>Telecommunications Relay Service and Speech-to-Speech Services for Individuals with Hearing and Speech Disabilities</w:t>
      </w:r>
      <w:r w:rsidRPr="006125D9">
        <w:rPr>
          <w:rFonts w:eastAsia="Calibri"/>
          <w:snapToGrid/>
          <w:kern w:val="0"/>
          <w:szCs w:val="22"/>
        </w:rPr>
        <w:t>, CG Docket No. 03-123</w:t>
      </w:r>
    </w:p>
    <w:p w:rsidR="006125D9" w:rsidRPr="006125D9" w:rsidRDefault="006125D9" w:rsidP="006125D9">
      <w:pPr>
        <w:widowControl/>
        <w:ind w:left="720" w:hanging="720"/>
        <w:rPr>
          <w:rFonts w:eastAsia="Calibri"/>
          <w:snapToGrid/>
          <w:kern w:val="0"/>
          <w:szCs w:val="22"/>
        </w:rPr>
      </w:pPr>
    </w:p>
    <w:p w:rsidR="006125D9" w:rsidRPr="006125D9" w:rsidRDefault="006125D9" w:rsidP="006125D9">
      <w:pPr>
        <w:widowControl/>
        <w:ind w:firstLine="720"/>
        <w:rPr>
          <w:rFonts w:eastAsia="Calibri"/>
          <w:snapToGrid/>
          <w:kern w:val="0"/>
          <w:szCs w:val="22"/>
        </w:rPr>
      </w:pPr>
      <w:r w:rsidRPr="006125D9">
        <w:rPr>
          <w:rFonts w:eastAsia="Calibri"/>
          <w:snapToGrid/>
          <w:kern w:val="0"/>
          <w:szCs w:val="22"/>
        </w:rPr>
        <w:t xml:space="preserve">It should go without saying, but I will give voice to it anyway: Video Relay Service (VRS) is a vitally important program for those in our community who are deaf or hard of hearing.  It provides access to a world beyond American Sign Language, allowing individuals to more seamlessly connect and communicate to those who literally do not speak their language.  And providing such access is not only the right thing to do, it is key to fulfilling the functional equivalence goal mandated by the Communications Act. </w:t>
      </w:r>
    </w:p>
    <w:p w:rsidR="006125D9" w:rsidRPr="006125D9" w:rsidRDefault="006125D9" w:rsidP="006125D9">
      <w:pPr>
        <w:widowControl/>
        <w:ind w:firstLine="720"/>
        <w:rPr>
          <w:rFonts w:eastAsia="Calibri"/>
          <w:snapToGrid/>
          <w:kern w:val="0"/>
          <w:szCs w:val="22"/>
        </w:rPr>
      </w:pPr>
    </w:p>
    <w:p w:rsidR="006125D9" w:rsidRPr="006125D9" w:rsidRDefault="006125D9" w:rsidP="006125D9">
      <w:pPr>
        <w:widowControl/>
        <w:ind w:firstLine="720"/>
        <w:rPr>
          <w:rFonts w:eastAsia="Calibri"/>
          <w:snapToGrid/>
          <w:kern w:val="0"/>
          <w:szCs w:val="22"/>
        </w:rPr>
      </w:pPr>
      <w:r w:rsidRPr="006125D9">
        <w:rPr>
          <w:rFonts w:eastAsia="Calibri"/>
          <w:snapToGrid/>
          <w:kern w:val="0"/>
          <w:szCs w:val="22"/>
        </w:rPr>
        <w:t xml:space="preserve">As an FCC Commissioner, I welcome the opportunity to improve service for those who need it, enable choice for all consumers, and promote robust competition in an ever evolving marketplace.  And if we can achieve these objectives, while simultaneously making a service more cost-effective for the ratepayers who support it, then that docket will have my support. </w:t>
      </w:r>
    </w:p>
    <w:p w:rsidR="006125D9" w:rsidRPr="006125D9" w:rsidRDefault="006125D9" w:rsidP="006125D9">
      <w:pPr>
        <w:widowControl/>
        <w:ind w:firstLine="720"/>
        <w:rPr>
          <w:rFonts w:eastAsia="Calibri"/>
          <w:snapToGrid/>
          <w:kern w:val="0"/>
          <w:szCs w:val="22"/>
        </w:rPr>
      </w:pPr>
    </w:p>
    <w:p w:rsidR="006125D9" w:rsidRPr="006125D9" w:rsidRDefault="006125D9" w:rsidP="006125D9">
      <w:pPr>
        <w:widowControl/>
        <w:ind w:firstLine="720"/>
        <w:rPr>
          <w:rFonts w:eastAsia="Calibri"/>
          <w:snapToGrid/>
          <w:kern w:val="0"/>
          <w:szCs w:val="22"/>
        </w:rPr>
      </w:pPr>
      <w:r w:rsidRPr="006125D9">
        <w:rPr>
          <w:rFonts w:eastAsia="Calibri"/>
          <w:snapToGrid/>
          <w:kern w:val="0"/>
          <w:szCs w:val="22"/>
        </w:rPr>
        <w:t xml:space="preserve">The item we adopt today proposes several key steps that could improve VRS going forward by piloting several trials, both for users and for VRS providers, who are looking to attract qualified interpreters.  It also seeks comment on how to improve service quality and devotes significant thought to restructuring our compensation system so that users will continue to have choice in the market, all while ensuring that the Commission and the ratepayers are getting the best bang for the buck. </w:t>
      </w:r>
    </w:p>
    <w:p w:rsidR="006125D9" w:rsidRPr="006125D9" w:rsidRDefault="006125D9" w:rsidP="006125D9">
      <w:pPr>
        <w:widowControl/>
        <w:ind w:firstLine="720"/>
        <w:rPr>
          <w:rFonts w:eastAsia="Calibri"/>
          <w:snapToGrid/>
          <w:kern w:val="0"/>
          <w:szCs w:val="22"/>
        </w:rPr>
      </w:pPr>
    </w:p>
    <w:p w:rsidR="006125D9" w:rsidRPr="006125D9" w:rsidRDefault="006125D9" w:rsidP="006125D9">
      <w:pPr>
        <w:widowControl/>
        <w:ind w:firstLine="720"/>
        <w:rPr>
          <w:rFonts w:eastAsia="Calibri"/>
          <w:snapToGrid/>
          <w:kern w:val="0"/>
          <w:szCs w:val="22"/>
        </w:rPr>
      </w:pPr>
      <w:r w:rsidRPr="006125D9">
        <w:rPr>
          <w:rFonts w:eastAsia="Calibri"/>
          <w:snapToGrid/>
          <w:kern w:val="0"/>
          <w:szCs w:val="22"/>
        </w:rPr>
        <w:t>I am particularly pleased that the draft includes questions on how to decrease scam calls to VRS users.  Just last month, the IRS issued a warning about a new scam targeting VRS users.  Like you, I believe it is downright shameful that people are taking advantage of deaf and hard of hearing individuals via VRS or any other means.  And I am pretty sure that it is not accidental that the Chairman has included in a separate docket today the opportunity for us to take action to combat the problem of scam robocalls.  It is only fitting that we do the same for VRS users.  I am also pleased that we seek comment on how to decrease competitive bottlenecks by improving access to interpreters and on how to address inducements that some providers may use to lure individuals to use their service.</w:t>
      </w:r>
    </w:p>
    <w:p w:rsidR="006125D9" w:rsidRPr="006125D9" w:rsidRDefault="006125D9" w:rsidP="006125D9">
      <w:pPr>
        <w:widowControl/>
        <w:ind w:firstLine="720"/>
        <w:rPr>
          <w:rFonts w:eastAsia="Calibri"/>
          <w:snapToGrid/>
          <w:kern w:val="0"/>
          <w:szCs w:val="22"/>
        </w:rPr>
      </w:pPr>
    </w:p>
    <w:p w:rsidR="006125D9" w:rsidRDefault="006125D9" w:rsidP="006125D9">
      <w:pPr>
        <w:widowControl/>
        <w:ind w:firstLine="720"/>
        <w:rPr>
          <w:rFonts w:eastAsia="Calibri"/>
          <w:snapToGrid/>
          <w:kern w:val="0"/>
          <w:szCs w:val="22"/>
        </w:rPr>
        <w:sectPr w:rsidR="006125D9" w:rsidSect="00EE1768">
          <w:pgSz w:w="12240" w:h="15840"/>
          <w:pgMar w:top="1440" w:right="1440" w:bottom="720" w:left="1440" w:header="720" w:footer="720" w:gutter="0"/>
          <w:cols w:space="720"/>
          <w:docGrid w:linePitch="360"/>
        </w:sectPr>
      </w:pPr>
      <w:r w:rsidRPr="006125D9">
        <w:rPr>
          <w:rFonts w:eastAsia="Calibri"/>
          <w:snapToGrid/>
          <w:kern w:val="0"/>
          <w:szCs w:val="22"/>
        </w:rPr>
        <w:t>As always, my thanks go to the Consumer and Governmental Affairs Bureau, as well as those in the Disability Rights Office, for working to ensure that individuals with disabilities are closer to communicating with the world in a functionally equivalent manner.</w:t>
      </w:r>
    </w:p>
    <w:p w:rsidR="006125D9" w:rsidRPr="0089461D" w:rsidRDefault="006125D9" w:rsidP="006125D9">
      <w:pPr>
        <w:jc w:val="center"/>
        <w:rPr>
          <w:b/>
        </w:rPr>
      </w:pPr>
      <w:r w:rsidRPr="0089461D">
        <w:rPr>
          <w:b/>
        </w:rPr>
        <w:t>STATEMENT OF</w:t>
      </w:r>
    </w:p>
    <w:p w:rsidR="006125D9" w:rsidRPr="0089461D" w:rsidRDefault="006125D9" w:rsidP="006125D9">
      <w:pPr>
        <w:jc w:val="center"/>
        <w:rPr>
          <w:b/>
        </w:rPr>
      </w:pPr>
      <w:r w:rsidRPr="0089461D">
        <w:rPr>
          <w:b/>
        </w:rPr>
        <w:t>COMMISSIONER MICHAEL O’RIELLY</w:t>
      </w:r>
    </w:p>
    <w:p w:rsidR="006125D9" w:rsidRPr="0089461D" w:rsidRDefault="006125D9" w:rsidP="006125D9"/>
    <w:p w:rsidR="006125D9" w:rsidRPr="0089461D" w:rsidRDefault="006125D9" w:rsidP="006125D9">
      <w:pPr>
        <w:ind w:left="720" w:hanging="720"/>
        <w:rPr>
          <w:i/>
        </w:rPr>
      </w:pPr>
      <w:r w:rsidRPr="002440DE">
        <w:t>Re:</w:t>
      </w:r>
      <w:r w:rsidRPr="002440DE">
        <w:tab/>
      </w:r>
      <w:r w:rsidRPr="0089461D">
        <w:rPr>
          <w:i/>
        </w:rPr>
        <w:t>Structure and Practices of the Video Relay Service Program</w:t>
      </w:r>
      <w:r w:rsidRPr="002440DE">
        <w:t>, CG Docket No. 10-51;</w:t>
      </w:r>
      <w:r w:rsidRPr="0089461D">
        <w:rPr>
          <w:i/>
        </w:rPr>
        <w:t xml:space="preserve"> Telecommunications Relay Services and Speech-to-Speech Services for Individuals with Hearing and Speech Disabilities</w:t>
      </w:r>
      <w:r w:rsidRPr="002440DE">
        <w:t>, CG Docket No. 03-123</w:t>
      </w:r>
    </w:p>
    <w:p w:rsidR="006125D9" w:rsidRPr="0089461D" w:rsidRDefault="006125D9" w:rsidP="006125D9"/>
    <w:p w:rsidR="006125D9" w:rsidRPr="0089461D" w:rsidRDefault="006125D9" w:rsidP="006125D9">
      <w:pPr>
        <w:ind w:firstLine="720"/>
      </w:pPr>
      <w:r w:rsidRPr="0089461D">
        <w:t xml:space="preserve">With the end of the four year glide path for Video Relay Service (VRS) rates soon approaching, the Commission takes the opportunity to comprehensively reexamine the rates and other aspects of the VRS program.  As the Commission takes this next step, which I generally support, the focus should be on ensuring an efficient and sustainable program that is targeted to meeting the actual needs of the deaf and hard of hearing community.  </w:t>
      </w:r>
    </w:p>
    <w:p w:rsidR="006125D9" w:rsidRPr="0089461D" w:rsidRDefault="006125D9" w:rsidP="006125D9">
      <w:pPr>
        <w:ind w:firstLine="720"/>
      </w:pPr>
    </w:p>
    <w:p w:rsidR="006125D9" w:rsidRPr="0089461D" w:rsidRDefault="006125D9" w:rsidP="006125D9">
      <w:pPr>
        <w:ind w:firstLine="720"/>
      </w:pPr>
      <w:r w:rsidRPr="0089461D">
        <w:t>Telecommunications relay services, including VRS, have been described as a means to “bridge the gap” between communications technologies available to people who have communications disabilities and the community at large.</w:t>
      </w:r>
      <w:r w:rsidRPr="0089461D">
        <w:rPr>
          <w:rStyle w:val="FootnoteReference"/>
        </w:rPr>
        <w:footnoteReference w:id="364"/>
      </w:r>
      <w:r w:rsidRPr="0089461D">
        <w:t xml:space="preserve">  Therefore, I want to ensure that the VRS program is targeted to bridge </w:t>
      </w:r>
      <w:r w:rsidRPr="0089461D">
        <w:rPr>
          <w:i/>
        </w:rPr>
        <w:t>actual, demonstrated gaps</w:t>
      </w:r>
      <w:r w:rsidRPr="0089461D">
        <w:t xml:space="preserve">.  As consumers as a whole migrate to new technologies, apps, and services, the Commission should consider to what extent these innovations are being used by and can benefit those with communications disabilities as well.  We already know that they are quite popular among the hearing impaired community, but we need to know to what degree they operate as a replacement function for voice, which seems to be quite substantial just as it is in the overall </w:t>
      </w:r>
      <w:r>
        <w:t>population</w:t>
      </w:r>
      <w:r w:rsidRPr="0089461D">
        <w:t xml:space="preserve">.  To the extent that off the shelf technologies, such as free texting applications, can serve as a better and more effective means of service, embracing these innovations could be a way to promote true functional equivalency, without depending on the Fund to provide the sole solution.  The burden on carriers, and ultimately ratepayers, to pay for VRS and other telecommunications relay services must be targeted to what is actually necessary to meet the statutory obligation, and relying in part on non-VRS technology is one way to help advance that goal.  </w:t>
      </w:r>
    </w:p>
    <w:p w:rsidR="006125D9" w:rsidRPr="0089461D" w:rsidRDefault="006125D9" w:rsidP="006125D9">
      <w:pPr>
        <w:ind w:firstLine="720"/>
      </w:pPr>
    </w:p>
    <w:p w:rsidR="006125D9" w:rsidRPr="0089461D" w:rsidRDefault="006125D9" w:rsidP="006125D9">
      <w:pPr>
        <w:ind w:firstLine="720"/>
      </w:pPr>
      <w:r w:rsidRPr="0089461D">
        <w:t>In approaching this proceeding, I am also focused on the statutory requirement to ensure that TRS be provided “in the most efficient manner.”</w:t>
      </w:r>
      <w:r w:rsidRPr="0089461D">
        <w:rPr>
          <w:rStyle w:val="FootnoteReference"/>
        </w:rPr>
        <w:footnoteReference w:id="365"/>
      </w:r>
      <w:r w:rsidRPr="0089461D">
        <w:t xml:space="preserve">  There are a couple of aspects to this.  </w:t>
      </w:r>
    </w:p>
    <w:p w:rsidR="006125D9" w:rsidRPr="0089461D" w:rsidRDefault="006125D9" w:rsidP="006125D9">
      <w:pPr>
        <w:ind w:firstLine="720"/>
      </w:pPr>
    </w:p>
    <w:p w:rsidR="006125D9" w:rsidRPr="0089461D" w:rsidRDefault="006125D9" w:rsidP="006125D9">
      <w:pPr>
        <w:ind w:firstLine="720"/>
      </w:pPr>
      <w:r w:rsidRPr="0089461D">
        <w:t>First, at my request, the NOI on performance goals and metrics now includes efficiency and cost-effectiveness as explicit goals for the program, consistent with the statu</w:t>
      </w:r>
      <w:r>
        <w:t>t</w:t>
      </w:r>
      <w:r w:rsidRPr="0089461D">
        <w:t>e.</w:t>
      </w:r>
    </w:p>
    <w:p w:rsidR="006125D9" w:rsidRPr="0089461D" w:rsidRDefault="006125D9" w:rsidP="006125D9">
      <w:pPr>
        <w:ind w:firstLine="720"/>
      </w:pPr>
    </w:p>
    <w:p w:rsidR="006125D9" w:rsidRPr="0089461D" w:rsidRDefault="006125D9" w:rsidP="006125D9">
      <w:pPr>
        <w:ind w:firstLine="720"/>
      </w:pPr>
      <w:r w:rsidRPr="0089461D">
        <w:t xml:space="preserve">Second, the item seeks comment on possible rate changes, including the Joint VRS Providers Proposal, as well as other possible methodologies, including price caps and market based mechanisms.  I welcome input on ways to create a cost-effective structure that is sustainable over the long-term.  I have been sympathetic to the idea that the smaller providers should have a reasonable opportunity to reach the optimum scale to compete effectively.  For that reason, I supported an interim rate freeze last year.  As we look ahead, however, I want to be assured that all providers are on track to sustain their operations based on reasonable costs and funding levels.  </w:t>
      </w:r>
    </w:p>
    <w:p w:rsidR="006125D9" w:rsidRPr="0089461D" w:rsidRDefault="006125D9" w:rsidP="006125D9">
      <w:pPr>
        <w:ind w:firstLine="720"/>
      </w:pPr>
    </w:p>
    <w:p w:rsidR="006125D9" w:rsidRPr="0089461D" w:rsidRDefault="006125D9" w:rsidP="006125D9">
      <w:pPr>
        <w:ind w:firstLine="720"/>
      </w:pPr>
      <w:r w:rsidRPr="0089461D">
        <w:t xml:space="preserve">We also have to accept that certain structural reforms proposed by prior Commissions may never happen.  Instead of continuing to point to the absence of these reforms as a justification for various rate changes, we need to look at new ideas to place the program on solid footing.  For example, the item seeks comment on improving interoperability.  </w:t>
      </w:r>
    </w:p>
    <w:p w:rsidR="006125D9" w:rsidRPr="0089461D" w:rsidRDefault="006125D9" w:rsidP="006125D9">
      <w:pPr>
        <w:ind w:firstLine="720"/>
      </w:pPr>
    </w:p>
    <w:p w:rsidR="006125D9" w:rsidRPr="0089461D" w:rsidRDefault="006125D9" w:rsidP="006125D9">
      <w:pPr>
        <w:ind w:firstLine="720"/>
      </w:pPr>
      <w:r w:rsidRPr="0089461D">
        <w:t>In this vein, let me be very clear, in approving this item, that I, in no way, endorse the concept that the Commission has any authority over domain names.  I previously opposed expanding the Commission’s authority over telephone numbers to IP addresses and domain names as part of the net neutrality fiasco, so it is an issue that I will review closely as the record develops.  If there is a specific and narrowly targeted change to the statute that could improve routing without setting dangerous precedent in other contexts, then the Commission should respectfully recommend it to Congress.</w:t>
      </w:r>
    </w:p>
    <w:p w:rsidR="006125D9" w:rsidRPr="0089461D" w:rsidRDefault="006125D9" w:rsidP="006125D9">
      <w:pPr>
        <w:ind w:firstLine="720"/>
      </w:pPr>
    </w:p>
    <w:p w:rsidR="006125D9" w:rsidRPr="0089461D" w:rsidRDefault="006125D9" w:rsidP="006125D9">
      <w:pPr>
        <w:ind w:firstLine="720"/>
      </w:pPr>
      <w:r w:rsidRPr="0089461D">
        <w:t xml:space="preserve">Third, the item also embarks on various trials, justified in part on the premise that potential changes could make the program more efficient and ultimately save money.  To be clear, I still have significant reservations about the Commission’s legal authority to conduct trials in any capacity, including in the TRS program, and the cost and benefits of the expansive new data collections.  Since the Commission is determined to proceed down this path, I will reluctantly agree to see how it plays out.  However, count me as one that will not be supportive of making permanent changes unless the trials definitely demonstrate that such changes would actually make the program more efficient and cost-effective.  </w:t>
      </w:r>
    </w:p>
    <w:p w:rsidR="006125D9" w:rsidRPr="0089461D" w:rsidRDefault="006125D9" w:rsidP="006125D9">
      <w:pPr>
        <w:ind w:firstLine="720"/>
      </w:pPr>
    </w:p>
    <w:p w:rsidR="006125D9" w:rsidRPr="0089461D" w:rsidRDefault="006125D9" w:rsidP="006125D9">
      <w:pPr>
        <w:ind w:firstLine="720"/>
      </w:pPr>
      <w:r w:rsidRPr="0089461D">
        <w:t xml:space="preserve">I thank the Chairman for accommodating a number of my proposed changes and the staff for their diligent work.  </w:t>
      </w:r>
    </w:p>
    <w:p w:rsidR="006125D9" w:rsidRPr="0089461D" w:rsidRDefault="006125D9" w:rsidP="006125D9"/>
    <w:p w:rsidR="006125D9" w:rsidRPr="006125D9" w:rsidRDefault="006125D9" w:rsidP="006125D9">
      <w:pPr>
        <w:widowControl/>
        <w:ind w:firstLine="720"/>
        <w:rPr>
          <w:rFonts w:eastAsia="Calibri"/>
          <w:snapToGrid/>
          <w:kern w:val="0"/>
          <w:szCs w:val="22"/>
        </w:rPr>
      </w:pPr>
    </w:p>
    <w:sectPr w:rsidR="006125D9" w:rsidRPr="006125D9" w:rsidSect="00EE1768">
      <w:footerReference w:type="default" r:id="rId20"/>
      <w:footnotePr>
        <w:numRestart w:val="eachSect"/>
      </w:footnotePr>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04" w:rsidRDefault="00134604">
      <w:pPr>
        <w:spacing w:line="20" w:lineRule="exact"/>
      </w:pPr>
    </w:p>
  </w:endnote>
  <w:endnote w:type="continuationSeparator" w:id="0">
    <w:p w:rsidR="00134604" w:rsidRDefault="00134604">
      <w:r>
        <w:t xml:space="preserve"> </w:t>
      </w:r>
    </w:p>
  </w:endnote>
  <w:endnote w:type="continuationNotice" w:id="1">
    <w:p w:rsidR="00134604" w:rsidRDefault="0013460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ヒラギノ角ゴ Pro W3">
    <w:altName w:val="MS Mincho"/>
    <w:panose1 w:val="00000000000000000000"/>
    <w:charset w:val="80"/>
    <w:family w:val="auto"/>
    <w:notTrueType/>
    <w:pitch w:val="variable"/>
    <w:sig w:usb0="00000001" w:usb1="08070000" w:usb2="01000417" w:usb3="00000000" w:csb0="0002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04" w:rsidRDefault="00134604" w:rsidP="0055614C">
    <w:pPr>
      <w:pStyle w:val="Footer"/>
      <w:framePr w:wrap="around" w:vAnchor="text" w:hAnchor="margin" w:xAlign="center" w:y="1"/>
    </w:pPr>
    <w:r>
      <w:fldChar w:fldCharType="begin"/>
    </w:r>
    <w:r>
      <w:instrText xml:space="preserve">PAGE  </w:instrText>
    </w:r>
    <w:r>
      <w:fldChar w:fldCharType="end"/>
    </w:r>
  </w:p>
  <w:p w:rsidR="00134604" w:rsidRDefault="00134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04" w:rsidRDefault="00134604" w:rsidP="00FD775F">
    <w:pPr>
      <w:pStyle w:val="Footer"/>
      <w:jc w:val="center"/>
    </w:pPr>
    <w:r w:rsidRPr="00A604A0">
      <w:rPr>
        <w:rStyle w:val="PageNumber"/>
      </w:rPr>
      <w:fldChar w:fldCharType="begin"/>
    </w:r>
    <w:r w:rsidRPr="00A604A0">
      <w:rPr>
        <w:rStyle w:val="PageNumber"/>
      </w:rPr>
      <w:instrText xml:space="preserve"> PAGE   \* MERGEFORMAT </w:instrText>
    </w:r>
    <w:r w:rsidRPr="00A604A0">
      <w:rPr>
        <w:rStyle w:val="PageNumber"/>
      </w:rPr>
      <w:fldChar w:fldCharType="separate"/>
    </w:r>
    <w:r w:rsidR="00E80D97">
      <w:rPr>
        <w:rStyle w:val="PageNumber"/>
        <w:noProof/>
      </w:rPr>
      <w:t>2</w:t>
    </w:r>
    <w:r w:rsidRPr="00A604A0">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C1" w:rsidRDefault="002717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end"/>
    </w:r>
  </w:p>
  <w:p w:rsidR="00D25FB5" w:rsidRDefault="00D25F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separate"/>
    </w:r>
    <w:r w:rsidR="000F784D">
      <w:rPr>
        <w:noProof/>
      </w:rPr>
      <w:t>80</w:t>
    </w:r>
    <w:r>
      <w:fldChar w:fldCharType="end"/>
    </w:r>
  </w:p>
  <w:p w:rsidR="00D25FB5" w:rsidRDefault="00D25FB5">
    <w:pPr>
      <w:suppressAutoHyphens/>
      <w:spacing w:line="227"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Pr="00EE1768" w:rsidRDefault="00D25FB5" w:rsidP="00EE176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DE" w:rsidRDefault="00EE1768" w:rsidP="00EE1768">
    <w:pPr>
      <w:pStyle w:val="Footer"/>
      <w:tabs>
        <w:tab w:val="center" w:pos="4680"/>
        <w:tab w:val="left" w:pos="5460"/>
      </w:tabs>
    </w:pPr>
    <w:r>
      <w:tab/>
    </w:r>
    <w:r>
      <w:tab/>
    </w:r>
    <w:r w:rsidR="00670A93" w:rsidRPr="002440DE">
      <w:fldChar w:fldCharType="begin"/>
    </w:r>
    <w:r w:rsidR="00670A93" w:rsidRPr="002440DE">
      <w:instrText xml:space="preserve"> PAGE   \* MERGEFORMAT </w:instrText>
    </w:r>
    <w:r w:rsidR="00670A93" w:rsidRPr="002440DE">
      <w:fldChar w:fldCharType="separate"/>
    </w:r>
    <w:r w:rsidR="000F784D">
      <w:rPr>
        <w:noProof/>
      </w:rPr>
      <w:t>82</w:t>
    </w:r>
    <w:r w:rsidR="00670A93" w:rsidRPr="002440DE">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04" w:rsidRDefault="00134604">
      <w:r>
        <w:separator/>
      </w:r>
    </w:p>
  </w:footnote>
  <w:footnote w:type="continuationSeparator" w:id="0">
    <w:p w:rsidR="00134604" w:rsidRDefault="00134604" w:rsidP="00C721AC">
      <w:pPr>
        <w:spacing w:before="120"/>
        <w:rPr>
          <w:sz w:val="20"/>
        </w:rPr>
      </w:pPr>
      <w:r>
        <w:rPr>
          <w:sz w:val="20"/>
        </w:rPr>
        <w:t xml:space="preserve">(Continued from previous page)  </w:t>
      </w:r>
      <w:r>
        <w:rPr>
          <w:sz w:val="20"/>
        </w:rPr>
        <w:separator/>
      </w:r>
    </w:p>
  </w:footnote>
  <w:footnote w:type="continuationNotice" w:id="1">
    <w:p w:rsidR="00134604" w:rsidRDefault="00134604" w:rsidP="00C721AC">
      <w:pPr>
        <w:jc w:val="right"/>
        <w:rPr>
          <w:sz w:val="20"/>
        </w:rPr>
      </w:pPr>
      <w:r>
        <w:rPr>
          <w:sz w:val="20"/>
        </w:rPr>
        <w:t>(continued….)</w:t>
      </w:r>
    </w:p>
  </w:footnote>
  <w:footnote w:id="2">
    <w:p w:rsidR="00134604" w:rsidRDefault="00134604" w:rsidP="00134604">
      <w:pPr>
        <w:pStyle w:val="FootnoteText"/>
      </w:pPr>
      <w:r>
        <w:rPr>
          <w:rStyle w:val="FootnoteReference"/>
        </w:rPr>
        <w:footnoteRef/>
      </w:r>
      <w:r>
        <w:t xml:space="preserve"> 47 U.S.C.</w:t>
      </w:r>
      <w:r w:rsidRPr="00F45417">
        <w:t xml:space="preserve"> § 225</w:t>
      </w:r>
      <w:r>
        <w:t xml:space="preserve">(a)(3), </w:t>
      </w:r>
      <w:r w:rsidRPr="00F45417">
        <w:t>(</w:t>
      </w:r>
      <w:r>
        <w:t>b</w:t>
      </w:r>
      <w:r w:rsidRPr="00F45417">
        <w:t>)(</w:t>
      </w:r>
      <w:r>
        <w:t>1</w:t>
      </w:r>
      <w:r w:rsidRPr="00F45417">
        <w:t xml:space="preserve">).  </w:t>
      </w:r>
      <w:r>
        <w:t xml:space="preserve">Congress elaborated that its overriding goal was to “bridge the gap” between people who have communications disabilities and the community at large by incorporating such individuals “into the telecommunications mainstream” and ensuring </w:t>
      </w:r>
      <w:r w:rsidRPr="00266B10">
        <w:t>that “telephone services be provided</w:t>
      </w:r>
      <w:r>
        <w:t xml:space="preserve"> to hearing and/or speech impaired individuals in a manner that is functionally equivalent to telephone services offered to those who do not have these impairments.”  S. Rep. No.  101-116 at 78 (1989).</w:t>
      </w:r>
    </w:p>
  </w:footnote>
  <w:footnote w:id="3">
    <w:p w:rsidR="00134604" w:rsidRPr="00F45417" w:rsidRDefault="00134604" w:rsidP="00134604">
      <w:pPr>
        <w:pStyle w:val="FootnoteText"/>
      </w:pPr>
      <w:r w:rsidRPr="00F45417">
        <w:rPr>
          <w:rStyle w:val="FootnoteReference"/>
        </w:rPr>
        <w:footnoteRef/>
      </w:r>
      <w:r w:rsidRPr="00F45417">
        <w:t xml:space="preserve"> </w:t>
      </w:r>
      <w:r>
        <w:t>47 U.S.C.</w:t>
      </w:r>
      <w:r w:rsidRPr="00F45417">
        <w:t xml:space="preserve"> § 225(d)(2).  </w:t>
      </w:r>
    </w:p>
  </w:footnote>
  <w:footnote w:id="4">
    <w:p w:rsidR="00134604" w:rsidRDefault="00134604" w:rsidP="00134604">
      <w:pPr>
        <w:pStyle w:val="FootnoteText"/>
      </w:pPr>
      <w:r>
        <w:rPr>
          <w:rStyle w:val="FootnoteReference"/>
        </w:rPr>
        <w:footnoteRef/>
      </w:r>
      <w:r>
        <w:t xml:space="preserve"> </w:t>
      </w:r>
      <w:r w:rsidRPr="00FD775F">
        <w:rPr>
          <w:i/>
        </w:rPr>
        <w:t>See</w:t>
      </w:r>
      <w:r>
        <w:t xml:space="preserve"> 47 CFR § 64.604 </w:t>
      </w:r>
      <w:r w:rsidRPr="004D6127">
        <w:rPr>
          <w:i/>
        </w:rPr>
        <w:t>et seq</w:t>
      </w:r>
      <w:r>
        <w:t xml:space="preserve">.  </w:t>
      </w:r>
      <w:r w:rsidRPr="00AD3EEC">
        <w:rPr>
          <w:rFonts w:eastAsia="Calibri"/>
        </w:rPr>
        <w:t>These mandatory minimum standards include, among other things, requirements for the handling of all types and length</w:t>
      </w:r>
      <w:r>
        <w:rPr>
          <w:rFonts w:eastAsia="Calibri"/>
        </w:rPr>
        <w:t>s</w:t>
      </w:r>
      <w:r w:rsidRPr="00AD3EEC">
        <w:rPr>
          <w:rFonts w:eastAsia="Calibri"/>
        </w:rPr>
        <w:t xml:space="preserve"> of calls, call confidentiality, CA competence, mandates for certain TRS features and functionalities, and specifications for network redundancy and the speed by which TRS providers are required to answer calls.  </w:t>
      </w:r>
    </w:p>
  </w:footnote>
  <w:footnote w:id="5">
    <w:p w:rsidR="00134604" w:rsidRDefault="00134604" w:rsidP="00134604">
      <w:pPr>
        <w:pStyle w:val="FootnoteText"/>
      </w:pPr>
      <w:r>
        <w:rPr>
          <w:rStyle w:val="FootnoteReference"/>
        </w:rPr>
        <w:footnoteRef/>
      </w:r>
      <w:r>
        <w:t xml:space="preserve"> </w:t>
      </w:r>
      <w:r w:rsidRPr="00DD0E5D">
        <w:rPr>
          <w:i/>
        </w:rPr>
        <w:t>Structure and Practices of the Video Relay Service Program</w:t>
      </w:r>
      <w:r w:rsidRPr="00DD0E5D">
        <w:t>, Further Notice of Proposed Rulemaking, 30 FCC Rcd 12973</w:t>
      </w:r>
      <w:r>
        <w:t>, 12986-97, paras. 29-66</w:t>
      </w:r>
      <w:r w:rsidRPr="00DD0E5D">
        <w:t xml:space="preserve"> (2015) (</w:t>
      </w:r>
      <w:r w:rsidRPr="00DD0E5D">
        <w:rPr>
          <w:i/>
        </w:rPr>
        <w:t>2015 VRS FNPRM</w:t>
      </w:r>
      <w:r w:rsidRPr="00DD0E5D">
        <w:t xml:space="preserve">); </w:t>
      </w:r>
      <w:r w:rsidRPr="00DD0E5D">
        <w:rPr>
          <w:i/>
        </w:rPr>
        <w:t>see also</w:t>
      </w:r>
      <w:r>
        <w:t xml:space="preserve"> Joint Proposal of All Six VRS Providers for Improving Functional Equivalence and Stabilizing Rates, CG Docket Nos. 10-51, 03-123 (filed Mar. 30, 2015)  (2015 Joint VRS Providers Proposal). </w:t>
      </w:r>
    </w:p>
  </w:footnote>
  <w:footnote w:id="6">
    <w:p w:rsidR="00134604" w:rsidRDefault="00134604" w:rsidP="00134604">
      <w:pPr>
        <w:pStyle w:val="FootnoteText"/>
      </w:pPr>
      <w:r>
        <w:rPr>
          <w:rStyle w:val="FootnoteReference"/>
        </w:rPr>
        <w:footnoteRef/>
      </w:r>
      <w:r>
        <w:t xml:space="preserve"> </w:t>
      </w:r>
      <w:r>
        <w:rPr>
          <w:i/>
        </w:rPr>
        <w:t>See</w:t>
      </w:r>
      <w:r>
        <w:t xml:space="preserve"> Letter from Paul C. Besozzi, Counsel to Purple Communications, Inc., to Marlene H. Dortch, Secretary, FCC, CG Docket Nos. 10-51, 03-123 (filed Jan. 31, 2017) (2017 Joint VRS Providers Proposal).</w:t>
      </w:r>
    </w:p>
  </w:footnote>
  <w:footnote w:id="7">
    <w:p w:rsidR="00134604" w:rsidRDefault="00134604" w:rsidP="00134604">
      <w:pPr>
        <w:pStyle w:val="FootnoteText"/>
      </w:pPr>
      <w:r>
        <w:rPr>
          <w:rStyle w:val="FootnoteReference"/>
        </w:rPr>
        <w:footnoteRef/>
      </w:r>
      <w:r>
        <w:t xml:space="preserve"> There are currently five companies with Commission certification to receive compensation from the TRS Fund for providing VRS.  We may authorize additional VRS providers to participate in the trial in the event that any new providers apply for and are granted certification before the end of the trial.</w:t>
      </w:r>
    </w:p>
  </w:footnote>
  <w:footnote w:id="8">
    <w:p w:rsidR="00134604" w:rsidRDefault="00134604" w:rsidP="00134604">
      <w:pPr>
        <w:pStyle w:val="FootnoteText"/>
      </w:pPr>
      <w:r>
        <w:rPr>
          <w:rStyle w:val="FootnoteReference"/>
        </w:rPr>
        <w:footnoteRef/>
      </w:r>
      <w:r>
        <w:t xml:space="preserve"> </w:t>
      </w:r>
      <w:r w:rsidRPr="00CE7A5B">
        <w:t>Commenters unanimously support conducting a trial of skills-based routing.</w:t>
      </w:r>
      <w:r>
        <w:t xml:space="preserve">  </w:t>
      </w:r>
      <w:r w:rsidRPr="00CE7A5B">
        <w:rPr>
          <w:i/>
        </w:rPr>
        <w:t>See, e.g.</w:t>
      </w:r>
      <w:r w:rsidRPr="00CE7A5B">
        <w:t xml:space="preserve">, </w:t>
      </w:r>
      <w:r w:rsidRPr="00D25763">
        <w:t>2017 Joint VRS Providers Proposal at 11</w:t>
      </w:r>
      <w:r>
        <w:t xml:space="preserve"> (this feature will enable users to benefit from skill sets and knowledge that generalist interpreters might not have); </w:t>
      </w:r>
      <w:r w:rsidRPr="00CE7A5B">
        <w:t>2015 VRSCA Reply Comments at 2; 2015 Convo Comments at 10; 2015 Purple Comments at 7; 2015 CAAG Comments at 4; 2015 MARIE Center Reply Comments at 1.</w:t>
      </w:r>
      <w:r>
        <w:t xml:space="preserve">  The providers all </w:t>
      </w:r>
      <w:r w:rsidRPr="00CE7A5B">
        <w:t xml:space="preserve">agree that the trial should be voluntary and </w:t>
      </w:r>
      <w:r>
        <w:t xml:space="preserve">have requested that it </w:t>
      </w:r>
      <w:r w:rsidRPr="00CE7A5B">
        <w:t>last for eight months.</w:t>
      </w:r>
      <w:r>
        <w:t xml:space="preserve">  </w:t>
      </w:r>
      <w:r w:rsidRPr="00D25763">
        <w:t>2015 Joint VRS Providers Proposal at 5</w:t>
      </w:r>
      <w:r>
        <w:t>.</w:t>
      </w:r>
    </w:p>
  </w:footnote>
  <w:footnote w:id="9">
    <w:p w:rsidR="00134604" w:rsidRDefault="00134604" w:rsidP="00134604">
      <w:pPr>
        <w:pStyle w:val="FootnoteText"/>
      </w:pPr>
      <w:r>
        <w:rPr>
          <w:rStyle w:val="FootnoteReference"/>
        </w:rPr>
        <w:footnoteRef/>
      </w:r>
      <w:r>
        <w:t xml:space="preserve"> 47 U.S.C. § 225(a</w:t>
      </w:r>
      <w:r w:rsidRPr="009B7312">
        <w:t>)(3)</w:t>
      </w:r>
      <w:r>
        <w:t xml:space="preserve">; </w:t>
      </w:r>
      <w:r w:rsidRPr="007E4499">
        <w:rPr>
          <w:i/>
        </w:rPr>
        <w:t>see also</w:t>
      </w:r>
      <w:r>
        <w:t xml:space="preserve"> </w:t>
      </w:r>
      <w:r w:rsidRPr="00D25763">
        <w:t>2015 Consumer Groups Comments at 9</w:t>
      </w:r>
      <w:r>
        <w:t xml:space="preserve"> (noting </w:t>
      </w:r>
      <w:r w:rsidRPr="007E4499">
        <w:t>that</w:t>
      </w:r>
      <w:r w:rsidRPr="007E4499">
        <w:rPr>
          <w:snapToGrid w:val="0"/>
          <w:kern w:val="28"/>
        </w:rPr>
        <w:t xml:space="preserve"> </w:t>
      </w:r>
      <w:r>
        <w:rPr>
          <w:snapToGrid w:val="0"/>
          <w:kern w:val="28"/>
        </w:rPr>
        <w:t>for community interpreting, interpreters</w:t>
      </w:r>
      <w:r>
        <w:t xml:space="preserve"> are</w:t>
      </w:r>
      <w:r w:rsidRPr="007E4499">
        <w:t xml:space="preserve"> regularly assigned based on their skills and experience</w:t>
      </w:r>
      <w:r>
        <w:t>);</w:t>
      </w:r>
      <w:r w:rsidRPr="007A5CF8">
        <w:t xml:space="preserve"> </w:t>
      </w:r>
      <w:r w:rsidRPr="00D25763">
        <w:t>2015 RID Comments at 8</w:t>
      </w:r>
      <w:r>
        <w:t xml:space="preserve"> (</w:t>
      </w:r>
      <w:r w:rsidRPr="00E5068F">
        <w:t>skills-based routing helps to ensure that consumer needs are met, as required by the NAD-RID Code of Professional Conduct</w:t>
      </w:r>
      <w:r>
        <w:t>)</w:t>
      </w:r>
      <w:r w:rsidRPr="00D25763">
        <w:t>.</w:t>
      </w:r>
      <w:r>
        <w:t xml:space="preserve">  </w:t>
      </w:r>
    </w:p>
  </w:footnote>
  <w:footnote w:id="10">
    <w:p w:rsidR="00134604" w:rsidRPr="00D25763" w:rsidRDefault="00134604" w:rsidP="00134604">
      <w:pPr>
        <w:pStyle w:val="FootnoteText"/>
      </w:pPr>
      <w:r>
        <w:rPr>
          <w:rStyle w:val="FootnoteReference"/>
        </w:rPr>
        <w:footnoteRef/>
      </w:r>
      <w:r>
        <w:t xml:space="preserve"> </w:t>
      </w:r>
      <w:r w:rsidRPr="00D25763">
        <w:rPr>
          <w:i/>
        </w:rPr>
        <w:t>2015 VRS FNPRM</w:t>
      </w:r>
      <w:r w:rsidRPr="00D25763">
        <w:t>, 30 FCC Rcd at 12990, para. 43</w:t>
      </w:r>
      <w:r>
        <w:t xml:space="preserve">; </w:t>
      </w:r>
      <w:r w:rsidRPr="00ED5C0B">
        <w:rPr>
          <w:i/>
        </w:rPr>
        <w:t>see also</w:t>
      </w:r>
      <w:r>
        <w:t xml:space="preserve"> 2015 Joint VRS Providers Proposal at 4-6.  The Commission had previously declined to permit specialized routing of VRS calls other than to honor requests for a CA of a specific gender and for routing ASL-Spanish calls to CAs skilled in handling them.  </w:t>
      </w:r>
      <w:r w:rsidRPr="00FC55F7">
        <w:rPr>
          <w:i/>
          <w:iCs/>
        </w:rPr>
        <w:t>Structure and Practices of the Video Relay Services Program, Telecommunications Relay Services and Speech-to-Speech Services for Individuals with Hearing and Speech Disabilities</w:t>
      </w:r>
      <w:r w:rsidRPr="00FC55F7">
        <w:rPr>
          <w:iCs/>
        </w:rPr>
        <w:t xml:space="preserve">, </w:t>
      </w:r>
      <w:r w:rsidRPr="00FC55F7">
        <w:t>Report and Order and Further Notice of Proposed Rulemaking, 28 FCC Rcd 8618, 8691, para. 180</w:t>
      </w:r>
      <w:r>
        <w:t xml:space="preserve"> &amp; n.470</w:t>
      </w:r>
      <w:r w:rsidRPr="00FC55F7">
        <w:t xml:space="preserve"> (2013)</w:t>
      </w:r>
      <w:r w:rsidRPr="00FC55F7">
        <w:rPr>
          <w:i/>
        </w:rPr>
        <w:t xml:space="preserve"> </w:t>
      </w:r>
      <w:r w:rsidRPr="00FC55F7">
        <w:t>(</w:t>
      </w:r>
      <w:r w:rsidRPr="00FC55F7">
        <w:rPr>
          <w:i/>
        </w:rPr>
        <w:t xml:space="preserve">2013 </w:t>
      </w:r>
      <w:r w:rsidRPr="00FC55F7">
        <w:rPr>
          <w:i/>
          <w:iCs/>
        </w:rPr>
        <w:t xml:space="preserve">VRS Reform Order </w:t>
      </w:r>
      <w:r w:rsidRPr="00FC55F7">
        <w:rPr>
          <w:iCs/>
        </w:rPr>
        <w:t xml:space="preserve">and </w:t>
      </w:r>
      <w:r w:rsidRPr="00FC55F7">
        <w:rPr>
          <w:i/>
          <w:iCs/>
        </w:rPr>
        <w:t>2013 VRS Reform FNPRM</w:t>
      </w:r>
      <w:r w:rsidRPr="00FC55F7">
        <w:t xml:space="preserve">), </w:t>
      </w:r>
      <w:r w:rsidRPr="00FC55F7">
        <w:rPr>
          <w:i/>
        </w:rPr>
        <w:t>aff’d in part and vacated in part sub nom. Sorenson Communications, Inc. v. FCC</w:t>
      </w:r>
      <w:r w:rsidRPr="00FC55F7">
        <w:t>, 765 F.3d 37 (D.C. Cir. 2014) (</w:t>
      </w:r>
      <w:r w:rsidRPr="00FC55F7">
        <w:rPr>
          <w:i/>
        </w:rPr>
        <w:t>Sorenson</w:t>
      </w:r>
      <w:r w:rsidRPr="00FC55F7">
        <w:t>).</w:t>
      </w:r>
    </w:p>
  </w:footnote>
  <w:footnote w:id="11">
    <w:p w:rsidR="00134604" w:rsidRPr="00D25763" w:rsidRDefault="00134604" w:rsidP="00134604">
      <w:pPr>
        <w:pStyle w:val="FootnoteText"/>
      </w:pPr>
      <w:r w:rsidRPr="00D25763">
        <w:rPr>
          <w:rStyle w:val="FootnoteReference"/>
        </w:rPr>
        <w:footnoteRef/>
      </w:r>
      <w:r w:rsidRPr="00D25763">
        <w:t xml:space="preserve"> </w:t>
      </w:r>
      <w:r w:rsidRPr="00D25763">
        <w:rPr>
          <w:i/>
        </w:rPr>
        <w:t>2015 VRS FNPRM</w:t>
      </w:r>
      <w:r w:rsidRPr="00D25763">
        <w:t xml:space="preserve">, 30 FCC Rcd at 12990, </w:t>
      </w:r>
      <w:r>
        <w:t>1</w:t>
      </w:r>
      <w:r w:rsidRPr="00D25763">
        <w:t>2992, paras. 43</w:t>
      </w:r>
      <w:r>
        <w:t>,</w:t>
      </w:r>
      <w:r w:rsidRPr="00D25763">
        <w:t xml:space="preserve"> 48</w:t>
      </w:r>
      <w:r>
        <w:t>.</w:t>
      </w:r>
    </w:p>
  </w:footnote>
  <w:footnote w:id="12">
    <w:p w:rsidR="00134604" w:rsidRDefault="00134604" w:rsidP="00134604">
      <w:pPr>
        <w:pStyle w:val="FootnoteText"/>
      </w:pPr>
      <w:r>
        <w:rPr>
          <w:rStyle w:val="FootnoteReference"/>
        </w:rPr>
        <w:footnoteRef/>
      </w:r>
      <w:r>
        <w:t xml:space="preserve"> The Commission asked about collecting data on the quantity of calls and minutes, service quality, and the potential for waste, fraud, and abuse.  </w:t>
      </w:r>
      <w:r>
        <w:rPr>
          <w:i/>
        </w:rPr>
        <w:t>Id.</w:t>
      </w:r>
      <w:r>
        <w:t xml:space="preserve"> at 12992, para. 49. </w:t>
      </w:r>
    </w:p>
  </w:footnote>
  <w:footnote w:id="13">
    <w:p w:rsidR="00134604" w:rsidRPr="00D25763" w:rsidRDefault="00134604" w:rsidP="00134604">
      <w:pPr>
        <w:pStyle w:val="FootnoteText"/>
      </w:pPr>
      <w:r w:rsidRPr="00D25763">
        <w:rPr>
          <w:rStyle w:val="FootnoteReference"/>
        </w:rPr>
        <w:footnoteRef/>
      </w:r>
      <w:r w:rsidRPr="00D25763">
        <w:t xml:space="preserve"> </w:t>
      </w:r>
      <w:r>
        <w:rPr>
          <w:i/>
        </w:rPr>
        <w:t>Id.</w:t>
      </w:r>
      <w:r w:rsidRPr="00D25763">
        <w:t>, para. 48.</w:t>
      </w:r>
      <w:r>
        <w:t xml:space="preserve">  Regarding the “sequential call</w:t>
      </w:r>
      <w:r w:rsidRPr="007A1A9F">
        <w:t xml:space="preserve"> rule</w:t>
      </w:r>
      <w:r>
        <w:t>,”</w:t>
      </w:r>
      <w:r w:rsidRPr="007A1A9F">
        <w:t xml:space="preserve"> </w:t>
      </w:r>
      <w:r>
        <w:t>which prohibits CAs</w:t>
      </w:r>
      <w:r w:rsidRPr="007A1A9F">
        <w:t xml:space="preserve"> from refusing </w:t>
      </w:r>
      <w:r>
        <w:t>to handle a second call placed by the same caller,</w:t>
      </w:r>
      <w:r w:rsidRPr="007A1A9F">
        <w:t xml:space="preserve"> </w:t>
      </w:r>
      <w:r>
        <w:t>the Commission asked whether the rule should be inapplicable when, upon finishing a call that is routed to a specialized interpreter, the consumer requests to place another call that does not require specialized interpretation</w:t>
      </w:r>
      <w:r w:rsidRPr="007A1A9F">
        <w:t>.</w:t>
      </w:r>
      <w:r>
        <w:t xml:space="preserve">  </w:t>
      </w:r>
      <w:r w:rsidRPr="007A1A9F">
        <w:rPr>
          <w:i/>
        </w:rPr>
        <w:t>See</w:t>
      </w:r>
      <w:r>
        <w:t xml:space="preserve"> </w:t>
      </w:r>
      <w:r w:rsidRPr="007A1A9F">
        <w:t>47 CFR § 64.604(a)(2)(vi).</w:t>
      </w:r>
    </w:p>
  </w:footnote>
  <w:footnote w:id="14">
    <w:p w:rsidR="00134604" w:rsidRDefault="00134604" w:rsidP="00134604">
      <w:pPr>
        <w:pStyle w:val="FootnoteText"/>
      </w:pPr>
      <w:r w:rsidRPr="006477C1">
        <w:rPr>
          <w:rStyle w:val="FootnoteReference"/>
        </w:rPr>
        <w:footnoteRef/>
      </w:r>
      <w:r w:rsidRPr="006477C1">
        <w:t xml:space="preserve"> </w:t>
      </w:r>
      <w:r w:rsidRPr="006477C1">
        <w:rPr>
          <w:i/>
        </w:rPr>
        <w:t>2015 VRS FN</w:t>
      </w:r>
      <w:r>
        <w:rPr>
          <w:i/>
        </w:rPr>
        <w:t>P</w:t>
      </w:r>
      <w:r w:rsidRPr="006477C1">
        <w:rPr>
          <w:i/>
        </w:rPr>
        <w:t>RM</w:t>
      </w:r>
      <w:r>
        <w:t>, 30 FCC Rcd</w:t>
      </w:r>
      <w:r w:rsidRPr="006477C1">
        <w:t xml:space="preserve"> at 12992, para. 50.</w:t>
      </w:r>
    </w:p>
  </w:footnote>
  <w:footnote w:id="15">
    <w:p w:rsidR="00134604" w:rsidRDefault="00134604" w:rsidP="00134604">
      <w:pPr>
        <w:pStyle w:val="FootnoteText"/>
      </w:pPr>
      <w:r>
        <w:rPr>
          <w:rStyle w:val="FootnoteReference"/>
        </w:rPr>
        <w:footnoteRef/>
      </w:r>
      <w:r>
        <w:t xml:space="preserve"> </w:t>
      </w:r>
      <w:r w:rsidRPr="007E4499">
        <w:rPr>
          <w:i/>
        </w:rPr>
        <w:t>See</w:t>
      </w:r>
      <w:r>
        <w:rPr>
          <w:i/>
        </w:rPr>
        <w:t>,</w:t>
      </w:r>
      <w:r w:rsidRPr="007E4499">
        <w:t xml:space="preserve"> </w:t>
      </w:r>
      <w:r w:rsidRPr="006C5297">
        <w:rPr>
          <w:i/>
        </w:rPr>
        <w:t>e.g.,</w:t>
      </w:r>
      <w:r>
        <w:t xml:space="preserve"> </w:t>
      </w:r>
      <w:r w:rsidRPr="007E4499">
        <w:t>2015 Sorenson Comments at 8.</w:t>
      </w:r>
    </w:p>
  </w:footnote>
  <w:footnote w:id="16">
    <w:p w:rsidR="00134604" w:rsidRDefault="00134604" w:rsidP="00134604">
      <w:pPr>
        <w:pStyle w:val="FootnoteText"/>
      </w:pPr>
      <w:r>
        <w:rPr>
          <w:rStyle w:val="FootnoteReference"/>
        </w:rPr>
        <w:footnoteRef/>
      </w:r>
      <w:r>
        <w:t xml:space="preserve"> 47 CFR § 64.604(a)(1)(iv).</w:t>
      </w:r>
    </w:p>
  </w:footnote>
  <w:footnote w:id="17">
    <w:p w:rsidR="00134604" w:rsidRDefault="00134604" w:rsidP="00134604">
      <w:pPr>
        <w:pStyle w:val="FootnoteText"/>
      </w:pPr>
      <w:r>
        <w:rPr>
          <w:rStyle w:val="FootnoteReference"/>
        </w:rPr>
        <w:footnoteRef/>
      </w:r>
      <w:r>
        <w:t xml:space="preserve"> </w:t>
      </w:r>
      <w:r w:rsidRPr="00D25763">
        <w:t>2015 Joint VRS Providers Proposal at 5</w:t>
      </w:r>
      <w:r>
        <w:t>.</w:t>
      </w:r>
    </w:p>
  </w:footnote>
  <w:footnote w:id="18">
    <w:p w:rsidR="00134604" w:rsidRPr="00D25763" w:rsidRDefault="00134604" w:rsidP="00134604">
      <w:pPr>
        <w:pStyle w:val="FootnoteText"/>
      </w:pPr>
      <w:r w:rsidRPr="00D25763">
        <w:rPr>
          <w:rStyle w:val="FootnoteReference"/>
        </w:rPr>
        <w:footnoteRef/>
      </w:r>
      <w:r w:rsidRPr="00D25763">
        <w:t xml:space="preserve"> 2015 Consumer Groups Comments at 7-9</w:t>
      </w:r>
      <w:r>
        <w:t>;</w:t>
      </w:r>
      <w:r w:rsidRPr="00D25763">
        <w:t xml:space="preserve"> </w:t>
      </w:r>
      <w:r>
        <w:rPr>
          <w:i/>
        </w:rPr>
        <w:t>s</w:t>
      </w:r>
      <w:r w:rsidRPr="00BC574C">
        <w:rPr>
          <w:i/>
        </w:rPr>
        <w:t>ee also</w:t>
      </w:r>
      <w:r>
        <w:t xml:space="preserve"> </w:t>
      </w:r>
      <w:r w:rsidRPr="00FD775F">
        <w:rPr>
          <w:i/>
        </w:rPr>
        <w:t>2015 VRS FNPRM</w:t>
      </w:r>
      <w:r>
        <w:t>, 30 FCC Rcd at 12990, 12992, paras. 43, 48 (also highlighting these three skills).</w:t>
      </w:r>
    </w:p>
  </w:footnote>
  <w:footnote w:id="19">
    <w:p w:rsidR="00134604" w:rsidRPr="00D25763" w:rsidRDefault="00134604" w:rsidP="00134604">
      <w:pPr>
        <w:pStyle w:val="FootnoteText"/>
      </w:pPr>
      <w:r w:rsidRPr="00D25763">
        <w:rPr>
          <w:rStyle w:val="FootnoteReference"/>
        </w:rPr>
        <w:footnoteRef/>
      </w:r>
      <w:r w:rsidRPr="00D25763">
        <w:t xml:space="preserve"> </w:t>
      </w:r>
      <w:r w:rsidRPr="00E5068F">
        <w:t>As the Commission has done in other trials,</w:t>
      </w:r>
      <w:r>
        <w:t xml:space="preserve"> </w:t>
      </w:r>
      <w:r>
        <w:rPr>
          <w:i/>
        </w:rPr>
        <w:t>s</w:t>
      </w:r>
      <w:r w:rsidRPr="00C141E7">
        <w:rPr>
          <w:i/>
        </w:rPr>
        <w:t>e</w:t>
      </w:r>
      <w:r>
        <w:rPr>
          <w:i/>
        </w:rPr>
        <w:t>e,</w:t>
      </w:r>
      <w:r w:rsidRPr="00C141E7">
        <w:rPr>
          <w:i/>
        </w:rPr>
        <w:t xml:space="preserve"> e.g.,</w:t>
      </w:r>
      <w:r>
        <w:t xml:space="preserve"> </w:t>
      </w:r>
      <w:r w:rsidRPr="00D25763">
        <w:rPr>
          <w:i/>
        </w:rPr>
        <w:t>Numbering Policies for Modern Communications</w:t>
      </w:r>
      <w:r w:rsidRPr="00D25763">
        <w:t>, Notice of Proposed Rulemaking, Order and Notice of Inquiry, 28 FCC Rcd 5842, 5881, para. 98 (2013)</w:t>
      </w:r>
      <w:r>
        <w:t xml:space="preserve">, </w:t>
      </w:r>
      <w:r w:rsidRPr="00E5068F">
        <w:t>we tailor this trial to provide a circumscribed test case to help us identify and address issues if skills-based routing is permitted on a permanent basis</w:t>
      </w:r>
      <w:r>
        <w:t xml:space="preserve">. </w:t>
      </w:r>
    </w:p>
  </w:footnote>
  <w:footnote w:id="20">
    <w:p w:rsidR="00134604" w:rsidRDefault="00134604" w:rsidP="00134604">
      <w:pPr>
        <w:pStyle w:val="FootnoteText"/>
      </w:pPr>
      <w:r w:rsidRPr="00D25763">
        <w:rPr>
          <w:rStyle w:val="FootnoteReference"/>
        </w:rPr>
        <w:footnoteRef/>
      </w:r>
      <w:r w:rsidRPr="00D25763">
        <w:t xml:space="preserve"> Consumer Groups suggest that providers should be required to offer a minimum of two skills-based options.  2015 Consumer Groups Comments at 10.  </w:t>
      </w:r>
      <w:r>
        <w:t>To avoid discouraging any provider</w:t>
      </w:r>
      <w:r w:rsidRPr="00D25763">
        <w:t xml:space="preserve"> from partici</w:t>
      </w:r>
      <w:r>
        <w:t>pating in the trial, we do not require</w:t>
      </w:r>
      <w:r w:rsidRPr="00D25763">
        <w:t xml:space="preserve"> a minimum number of skills.</w:t>
      </w:r>
    </w:p>
  </w:footnote>
  <w:footnote w:id="21">
    <w:p w:rsidR="00134604" w:rsidRPr="00D25763" w:rsidRDefault="00134604" w:rsidP="00134604">
      <w:pPr>
        <w:pStyle w:val="FootnoteText"/>
      </w:pPr>
      <w:r w:rsidRPr="00D25763">
        <w:rPr>
          <w:rStyle w:val="FootnoteReference"/>
        </w:rPr>
        <w:footnoteRef/>
      </w:r>
      <w:r w:rsidRPr="00D25763">
        <w:t xml:space="preserve"> </w:t>
      </w:r>
      <w:r w:rsidRPr="00717271">
        <w:rPr>
          <w:i/>
        </w:rPr>
        <w:t>See</w:t>
      </w:r>
      <w:r>
        <w:t xml:space="preserve"> </w:t>
      </w:r>
      <w:r w:rsidRPr="00D25763">
        <w:t>2015 Sorenson Comments at 9.</w:t>
      </w:r>
    </w:p>
  </w:footnote>
  <w:footnote w:id="22">
    <w:p w:rsidR="00134604" w:rsidRDefault="00134604" w:rsidP="00134604">
      <w:pPr>
        <w:pStyle w:val="FootnoteText"/>
      </w:pPr>
      <w:r w:rsidRPr="00D25763">
        <w:rPr>
          <w:rStyle w:val="FootnoteReference"/>
        </w:rPr>
        <w:footnoteRef/>
      </w:r>
      <w:r w:rsidRPr="00D25763">
        <w:t xml:space="preserve"> </w:t>
      </w:r>
      <w:r w:rsidRPr="00191846">
        <w:rPr>
          <w:i/>
        </w:rPr>
        <w:t>See</w:t>
      </w:r>
      <w:r w:rsidRPr="00191846">
        <w:t xml:space="preserve"> </w:t>
      </w:r>
      <w:r w:rsidRPr="00D25763">
        <w:t>2015 Joint VRS Providers Proposal at 4-5</w:t>
      </w:r>
      <w:r>
        <w:t xml:space="preserve"> (requesting that the trial be initiated four months after the issuance of an order stabilizing rates).  As participation in the trial is voluntary, we do not adopt the providers’ suggestion that commencement of the trial be scheduled to coincide with the adoption of specific compensation rates.</w:t>
      </w:r>
    </w:p>
  </w:footnote>
  <w:footnote w:id="23">
    <w:p w:rsidR="00134604" w:rsidRPr="006477C1" w:rsidRDefault="00134604" w:rsidP="00134604">
      <w:pPr>
        <w:pStyle w:val="FootnoteText"/>
      </w:pPr>
      <w:r w:rsidRPr="006477C1">
        <w:rPr>
          <w:rStyle w:val="FootnoteReference"/>
        </w:rPr>
        <w:footnoteRef/>
      </w:r>
      <w:r w:rsidRPr="006477C1">
        <w:t xml:space="preserve"> </w:t>
      </w:r>
      <w:r>
        <w:t xml:space="preserve">Such notification may be sent by e-mail to TRSreports@fcc.gov.  We note that Convo recommends that providers’ plans for the trial be approved before it begins.  </w:t>
      </w:r>
      <w:r w:rsidRPr="006477C1">
        <w:t>2015 Convo Comments at 12-14.</w:t>
      </w:r>
      <w:r>
        <w:t xml:space="preserve">  We find it appropriate to allow providers discretion to tailor the details of providing this service to their individual circumstances </w:t>
      </w:r>
      <w:r w:rsidRPr="00EF11F0">
        <w:t xml:space="preserve">so long as </w:t>
      </w:r>
      <w:r>
        <w:t xml:space="preserve">they adhere to </w:t>
      </w:r>
      <w:r w:rsidRPr="00EF11F0">
        <w:t>the conditions set forth herein and the Commission’s rules governing TRS.</w:t>
      </w:r>
      <w:r>
        <w:t xml:space="preserve">  Accordingly, we do not require pre-approval for each provider’s plan for participation in the trial.</w:t>
      </w:r>
    </w:p>
  </w:footnote>
  <w:footnote w:id="24">
    <w:p w:rsidR="00134604" w:rsidRDefault="00134604" w:rsidP="00134604">
      <w:pPr>
        <w:pStyle w:val="FootnoteText"/>
      </w:pPr>
      <w:r>
        <w:rPr>
          <w:rStyle w:val="FootnoteReference"/>
        </w:rPr>
        <w:footnoteRef/>
      </w:r>
      <w:r>
        <w:t xml:space="preserve"> </w:t>
      </w:r>
      <w:r w:rsidRPr="00604E6F">
        <w:rPr>
          <w:i/>
        </w:rPr>
        <w:t>Id</w:t>
      </w:r>
      <w:r>
        <w:t>.</w:t>
      </w:r>
      <w:r w:rsidRPr="001B556C">
        <w:t xml:space="preserve"> at 12-13</w:t>
      </w:r>
      <w:r>
        <w:t xml:space="preserve"> (suggesting that the number of participating users be capped at 100 for each provider).</w:t>
      </w:r>
    </w:p>
  </w:footnote>
  <w:footnote w:id="25">
    <w:p w:rsidR="00134604" w:rsidRDefault="00134604" w:rsidP="00134604">
      <w:pPr>
        <w:pStyle w:val="FootnoteText"/>
      </w:pPr>
      <w:r>
        <w:rPr>
          <w:rStyle w:val="FootnoteReference"/>
        </w:rPr>
        <w:footnoteRef/>
      </w:r>
      <w:r>
        <w:t xml:space="preserve"> </w:t>
      </w:r>
      <w:r w:rsidRPr="00284A1A">
        <w:rPr>
          <w:i/>
        </w:rPr>
        <w:t>See</w:t>
      </w:r>
      <w:r>
        <w:t xml:space="preserve"> </w:t>
      </w:r>
      <w:r w:rsidRPr="00284A1A">
        <w:t>2015 Sorenson Reply Comments at 11</w:t>
      </w:r>
      <w:r>
        <w:t xml:space="preserve"> (arguing that limiting the number of users is unwarranted and will suppress participation in the trial)</w:t>
      </w:r>
      <w:r w:rsidRPr="00284A1A">
        <w:t>.</w:t>
      </w:r>
    </w:p>
  </w:footnote>
  <w:footnote w:id="26">
    <w:p w:rsidR="00134604" w:rsidRPr="006477C1" w:rsidRDefault="00134604" w:rsidP="00134604">
      <w:pPr>
        <w:pStyle w:val="FootnoteText"/>
      </w:pPr>
      <w:r w:rsidRPr="006477C1">
        <w:rPr>
          <w:rStyle w:val="FootnoteReference"/>
        </w:rPr>
        <w:footnoteRef/>
      </w:r>
      <w:r w:rsidRPr="006477C1">
        <w:t xml:space="preserve"> 2015 Sorenson Comments at 10</w:t>
      </w:r>
      <w:r>
        <w:t xml:space="preserve">-11 (requesting the Commission to fund the trial); </w:t>
      </w:r>
      <w:r w:rsidRPr="00EC72AC">
        <w:rPr>
          <w:i/>
        </w:rPr>
        <w:t>see also</w:t>
      </w:r>
      <w:r>
        <w:t xml:space="preserve"> </w:t>
      </w:r>
      <w:r w:rsidRPr="006477C1">
        <w:t>2017 Joint VRS Providers Proposal at 11</w:t>
      </w:r>
      <w:r>
        <w:t xml:space="preserve"> (four smaller VRS providers urging recovery of exogenous costs incurred as part of the trial)</w:t>
      </w:r>
      <w:r w:rsidRPr="006477C1">
        <w:t>.</w:t>
      </w:r>
    </w:p>
  </w:footnote>
  <w:footnote w:id="27">
    <w:p w:rsidR="00134604" w:rsidRPr="006477C1" w:rsidRDefault="00134604" w:rsidP="00134604">
      <w:pPr>
        <w:pStyle w:val="FootnoteText"/>
      </w:pPr>
      <w:r w:rsidRPr="006477C1">
        <w:rPr>
          <w:rStyle w:val="FootnoteReference"/>
        </w:rPr>
        <w:footnoteRef/>
      </w:r>
      <w:r w:rsidRPr="006477C1">
        <w:t xml:space="preserve"> Convo suggests a cap of $25,000 per provider for engineering costs but does not explain how it obtained that number.  2015 Convo Comments at 15.</w:t>
      </w:r>
    </w:p>
  </w:footnote>
  <w:footnote w:id="28">
    <w:p w:rsidR="00134604" w:rsidRPr="006477C1" w:rsidRDefault="00134604" w:rsidP="00134604">
      <w:pPr>
        <w:pStyle w:val="FootnoteText"/>
      </w:pPr>
      <w:r w:rsidRPr="006477C1">
        <w:rPr>
          <w:rStyle w:val="FootnoteReference"/>
        </w:rPr>
        <w:footnoteRef/>
      </w:r>
      <w:r w:rsidRPr="006477C1">
        <w:t xml:space="preserve"> </w:t>
      </w:r>
      <w:r>
        <w:t xml:space="preserve">2015 </w:t>
      </w:r>
      <w:r w:rsidRPr="006477C1">
        <w:t>Purple Reply Comments at 5 (estimating costs right now “would only be speculative and potentially uninformative or inaccurate”)</w:t>
      </w:r>
      <w:r>
        <w:t>, 7 (</w:t>
      </w:r>
      <w:r w:rsidRPr="006477C1">
        <w:t>stating that questions of the impact of skills-based routing on provider costs and the TRS Fund should be held until the end of the trial).</w:t>
      </w:r>
      <w:r>
        <w:t xml:space="preserve">  </w:t>
      </w:r>
    </w:p>
  </w:footnote>
  <w:footnote w:id="29">
    <w:p w:rsidR="00134604" w:rsidRDefault="00134604" w:rsidP="00134604">
      <w:pPr>
        <w:pStyle w:val="FootnoteText"/>
      </w:pPr>
      <w:r>
        <w:rPr>
          <w:rStyle w:val="FootnoteReference"/>
        </w:rPr>
        <w:footnoteRef/>
      </w:r>
      <w:r>
        <w:t xml:space="preserve"> </w:t>
      </w:r>
      <w:r w:rsidRPr="007871B4">
        <w:rPr>
          <w:i/>
        </w:rPr>
        <w:t xml:space="preserve">See Telecommunications Relay Services and Speech-to-Speech Services for Individuals with Hearing and Speech Disabilities, </w:t>
      </w:r>
      <w:r w:rsidRPr="007871B4">
        <w:t>Report and Order, Order on Reconsideration, and Further Notice of Proposed Rulemaking, 19 FCC Rcd 12475</w:t>
      </w:r>
      <w:r>
        <w:t>,</w:t>
      </w:r>
      <w:r w:rsidRPr="007871B4">
        <w:t xml:space="preserve"> 12547-48, paras. 189-190 (2004) (</w:t>
      </w:r>
      <w:r w:rsidRPr="007871B4">
        <w:rPr>
          <w:i/>
        </w:rPr>
        <w:t xml:space="preserve">2004 TRS </w:t>
      </w:r>
      <w:r>
        <w:rPr>
          <w:i/>
        </w:rPr>
        <w:t>R&amp;O</w:t>
      </w:r>
      <w:r>
        <w:t xml:space="preserve">); </w:t>
      </w:r>
      <w:r w:rsidRPr="007871B4">
        <w:rPr>
          <w:i/>
        </w:rPr>
        <w:t>Telecommunications Relay Services and Speech-to-Speech Services for Individuals with Hearing and Speech Disabilities</w:t>
      </w:r>
      <w:r>
        <w:t xml:space="preserve">, Memorandum Opinion and Order, </w:t>
      </w:r>
      <w:r w:rsidRPr="007871B4">
        <w:rPr>
          <w:iCs/>
        </w:rPr>
        <w:t>21 FCC Rcd 8063</w:t>
      </w:r>
      <w:r>
        <w:rPr>
          <w:iCs/>
        </w:rPr>
        <w:t>, 8071, para. 16</w:t>
      </w:r>
      <w:r w:rsidRPr="007871B4">
        <w:rPr>
          <w:i/>
          <w:iCs/>
        </w:rPr>
        <w:t xml:space="preserve"> </w:t>
      </w:r>
      <w:r>
        <w:t>(2006) (</w:t>
      </w:r>
      <w:r w:rsidRPr="00FD775F">
        <w:rPr>
          <w:i/>
        </w:rPr>
        <w:t xml:space="preserve">2006 TRS </w:t>
      </w:r>
      <w:r>
        <w:rPr>
          <w:i/>
        </w:rPr>
        <w:t xml:space="preserve">Rate </w:t>
      </w:r>
      <w:r w:rsidRPr="00FD775F">
        <w:rPr>
          <w:i/>
        </w:rPr>
        <w:t>Order</w:t>
      </w:r>
      <w:r>
        <w:t>) (</w:t>
      </w:r>
      <w:r w:rsidRPr="007871B4">
        <w:t>compensable costs must be directed to providing the service in compliance with applicable non-waived mandatory minimum standards</w:t>
      </w:r>
      <w:r>
        <w:t>).</w:t>
      </w:r>
      <w:r w:rsidRPr="007871B4">
        <w:t xml:space="preserve">  </w:t>
      </w:r>
    </w:p>
  </w:footnote>
  <w:footnote w:id="30">
    <w:p w:rsidR="00134604" w:rsidRPr="0004781F" w:rsidRDefault="00134604" w:rsidP="00134604">
      <w:pPr>
        <w:pStyle w:val="FootnoteText"/>
      </w:pPr>
      <w:r w:rsidRPr="0004781F">
        <w:rPr>
          <w:rStyle w:val="FootnoteReference"/>
        </w:rPr>
        <w:footnoteRef/>
      </w:r>
      <w:r w:rsidRPr="0004781F">
        <w:t xml:space="preserve"> 47 C</w:t>
      </w:r>
      <w:r>
        <w:t>FR</w:t>
      </w:r>
      <w:r w:rsidRPr="0004781F">
        <w:t xml:space="preserve"> § 1.3.</w:t>
      </w:r>
    </w:p>
  </w:footnote>
  <w:footnote w:id="31">
    <w:p w:rsidR="00134604" w:rsidRPr="0004781F" w:rsidRDefault="00134604" w:rsidP="00134604">
      <w:pPr>
        <w:pStyle w:val="FootnoteText"/>
      </w:pPr>
      <w:r w:rsidRPr="0004781F">
        <w:rPr>
          <w:rStyle w:val="FootnoteReference"/>
        </w:rPr>
        <w:footnoteRef/>
      </w:r>
      <w:r w:rsidRPr="0004781F">
        <w:t xml:space="preserve"> </w:t>
      </w:r>
      <w:r w:rsidRPr="0004781F">
        <w:rPr>
          <w:i/>
        </w:rPr>
        <w:t>See Northeast Cellular Tel. Co. v. FCC</w:t>
      </w:r>
      <w:r w:rsidRPr="0004781F">
        <w:t>, 897 F.2d 1164, 1166 (D.C. Cir. 1990).</w:t>
      </w:r>
    </w:p>
  </w:footnote>
  <w:footnote w:id="32">
    <w:p w:rsidR="00134604" w:rsidRPr="0004781F" w:rsidRDefault="00134604" w:rsidP="00134604">
      <w:pPr>
        <w:pStyle w:val="FootnoteText"/>
      </w:pPr>
      <w:r w:rsidRPr="0004781F">
        <w:rPr>
          <w:rStyle w:val="FootnoteReference"/>
        </w:rPr>
        <w:footnoteRef/>
      </w:r>
      <w:r w:rsidRPr="0004781F">
        <w:t xml:space="preserve"> </w:t>
      </w:r>
      <w:r w:rsidRPr="0004781F">
        <w:rPr>
          <w:i/>
        </w:rPr>
        <w:t>See WAIT Radio v. FCC</w:t>
      </w:r>
      <w:r w:rsidRPr="0004781F">
        <w:t xml:space="preserve">, 418 F.2d 1153, 1159 (D.C. Cir. 1969), </w:t>
      </w:r>
      <w:r w:rsidRPr="0004781F">
        <w:rPr>
          <w:i/>
        </w:rPr>
        <w:t>cert. denied</w:t>
      </w:r>
      <w:r w:rsidRPr="0004781F">
        <w:t xml:space="preserve">, 409 U.S. 1027 (1972); </w:t>
      </w:r>
      <w:r w:rsidRPr="0004781F">
        <w:rPr>
          <w:i/>
        </w:rPr>
        <w:t>Northeast Cellular</w:t>
      </w:r>
      <w:r w:rsidRPr="0004781F">
        <w:t>, 897 F.2d at 1166.</w:t>
      </w:r>
    </w:p>
  </w:footnote>
  <w:footnote w:id="33">
    <w:p w:rsidR="00134604" w:rsidRPr="0004781F" w:rsidRDefault="00134604" w:rsidP="00134604">
      <w:pPr>
        <w:pStyle w:val="FootnoteText"/>
      </w:pPr>
      <w:r w:rsidRPr="0004781F">
        <w:rPr>
          <w:rStyle w:val="FootnoteReference"/>
        </w:rPr>
        <w:footnoteRef/>
      </w:r>
      <w:r w:rsidRPr="0004781F">
        <w:t xml:space="preserve"> </w:t>
      </w:r>
      <w:r w:rsidRPr="0004781F">
        <w:rPr>
          <w:i/>
        </w:rPr>
        <w:t xml:space="preserve">See </w:t>
      </w:r>
      <w:r>
        <w:rPr>
          <w:i/>
        </w:rPr>
        <w:t>id</w:t>
      </w:r>
      <w:r w:rsidRPr="0004781F">
        <w:t>.</w:t>
      </w:r>
    </w:p>
  </w:footnote>
  <w:footnote w:id="34">
    <w:p w:rsidR="00134604" w:rsidRDefault="00134604" w:rsidP="00134604">
      <w:pPr>
        <w:pStyle w:val="FootnoteText"/>
      </w:pPr>
      <w:r>
        <w:rPr>
          <w:rStyle w:val="FootnoteReference"/>
        </w:rPr>
        <w:footnoteRef/>
      </w:r>
      <w:r>
        <w:t xml:space="preserve"> </w:t>
      </w:r>
      <w:r w:rsidRPr="007A4E48">
        <w:rPr>
          <w:i/>
          <w:iCs/>
        </w:rPr>
        <w:t xml:space="preserve">FCC Clarifies that Certain TRS Marketing and Call Handling Practices </w:t>
      </w:r>
      <w:r>
        <w:rPr>
          <w:i/>
          <w:iCs/>
        </w:rPr>
        <w:t>A</w:t>
      </w:r>
      <w:r w:rsidRPr="007A4E48">
        <w:rPr>
          <w:i/>
          <w:iCs/>
        </w:rPr>
        <w:t>re Improper</w:t>
      </w:r>
      <w:r w:rsidRPr="007A4E48">
        <w:t>, Public Notice, 20 FCC Rcd 1471, 147</w:t>
      </w:r>
      <w:r>
        <w:t>3</w:t>
      </w:r>
      <w:r w:rsidRPr="007A4E48">
        <w:t xml:space="preserve"> (2005)</w:t>
      </w:r>
      <w:r>
        <w:t xml:space="preserve"> (</w:t>
      </w:r>
      <w:r w:rsidRPr="00C33C20">
        <w:rPr>
          <w:i/>
        </w:rPr>
        <w:t>2005 Call Handling PN</w:t>
      </w:r>
      <w:r>
        <w:t>).</w:t>
      </w:r>
    </w:p>
  </w:footnote>
  <w:footnote w:id="35">
    <w:p w:rsidR="00134604" w:rsidRDefault="00134604" w:rsidP="00134604">
      <w:pPr>
        <w:pStyle w:val="FootnoteText"/>
      </w:pPr>
      <w:r>
        <w:rPr>
          <w:rStyle w:val="FootnoteReference"/>
        </w:rPr>
        <w:footnoteRef/>
      </w:r>
      <w:r>
        <w:t xml:space="preserve"> </w:t>
      </w:r>
      <w:r w:rsidRPr="00C261C6">
        <w:t>47 CFR § 64.604(</w:t>
      </w:r>
      <w:r>
        <w:t>b</w:t>
      </w:r>
      <w:r w:rsidRPr="00C261C6">
        <w:t>)(</w:t>
      </w:r>
      <w:r>
        <w:t>2</w:t>
      </w:r>
      <w:r w:rsidRPr="00C261C6">
        <w:t>)(i</w:t>
      </w:r>
      <w:r>
        <w:t>ii</w:t>
      </w:r>
      <w:r w:rsidRPr="00C261C6">
        <w:t>).</w:t>
      </w:r>
    </w:p>
  </w:footnote>
  <w:footnote w:id="36">
    <w:p w:rsidR="00134604" w:rsidRDefault="00134604" w:rsidP="00134604">
      <w:pPr>
        <w:pStyle w:val="FootnoteText"/>
      </w:pPr>
      <w:r>
        <w:rPr>
          <w:rStyle w:val="FootnoteReference"/>
        </w:rPr>
        <w:footnoteRef/>
      </w:r>
      <w:r>
        <w:t xml:space="preserve"> </w:t>
      </w:r>
      <w:r w:rsidRPr="00C75C5B">
        <w:rPr>
          <w:i/>
        </w:rPr>
        <w:t>Id</w:t>
      </w:r>
      <w:r>
        <w:t>. § 64.604(a)(1)(v).</w:t>
      </w:r>
    </w:p>
  </w:footnote>
  <w:footnote w:id="37">
    <w:p w:rsidR="00134604" w:rsidRDefault="00134604" w:rsidP="00134604">
      <w:pPr>
        <w:pStyle w:val="FootnoteText"/>
      </w:pPr>
      <w:r>
        <w:rPr>
          <w:rStyle w:val="FootnoteReference"/>
        </w:rPr>
        <w:footnoteRef/>
      </w:r>
      <w:r>
        <w:t xml:space="preserve"> </w:t>
      </w:r>
      <w:r w:rsidRPr="00C75C5B">
        <w:rPr>
          <w:i/>
        </w:rPr>
        <w:t>Id</w:t>
      </w:r>
      <w:r w:rsidRPr="00C75C5B">
        <w:t xml:space="preserve">. </w:t>
      </w:r>
      <w:r w:rsidRPr="00C261C6">
        <w:t>§ 64.604(a)(3)(i).</w:t>
      </w:r>
    </w:p>
  </w:footnote>
  <w:footnote w:id="38">
    <w:p w:rsidR="00134604" w:rsidRPr="00C33C20" w:rsidRDefault="00134604" w:rsidP="00134604">
      <w:pPr>
        <w:pStyle w:val="FootnoteText"/>
      </w:pPr>
      <w:r>
        <w:rPr>
          <w:rStyle w:val="FootnoteReference"/>
        </w:rPr>
        <w:footnoteRef/>
      </w:r>
      <w:r>
        <w:t xml:space="preserve"> </w:t>
      </w:r>
      <w:r w:rsidRPr="00C33C20">
        <w:rPr>
          <w:i/>
        </w:rPr>
        <w:t>2005 Call Handling PN</w:t>
      </w:r>
      <w:r>
        <w:t xml:space="preserve">, </w:t>
      </w:r>
      <w:r w:rsidRPr="00C33C20">
        <w:t xml:space="preserve">20 FCC Rcd </w:t>
      </w:r>
      <w:r>
        <w:t>at</w:t>
      </w:r>
      <w:r w:rsidRPr="00C33C20">
        <w:t xml:space="preserve"> 1473</w:t>
      </w:r>
      <w:r>
        <w:t xml:space="preserve"> (the practice of “selectively answer[ing] calls</w:t>
      </w:r>
      <w:r w:rsidRPr="00BE2022">
        <w:rPr>
          <w:sz w:val="22"/>
          <w:szCs w:val="22"/>
        </w:rPr>
        <w:t xml:space="preserve"> </w:t>
      </w:r>
      <w:r w:rsidRPr="00BE2022">
        <w:t>from preferred consumers or locations, rather than answer</w:t>
      </w:r>
      <w:r>
        <w:t>[ing]</w:t>
      </w:r>
      <w:r w:rsidRPr="00BE2022">
        <w:t xml:space="preserve"> the calls in the order they are received</w:t>
      </w:r>
      <w:r>
        <w:t xml:space="preserve"> . . . </w:t>
      </w:r>
      <w:r w:rsidRPr="00BE2022">
        <w:t>is inconsistent with the notion of functional equivalency</w:t>
      </w:r>
      <w:r>
        <w:t>”)</w:t>
      </w:r>
      <w:r w:rsidRPr="00BE2022">
        <w:t>.</w:t>
      </w:r>
      <w:r>
        <w:t xml:space="preserve"> </w:t>
      </w:r>
    </w:p>
  </w:footnote>
  <w:footnote w:id="39">
    <w:p w:rsidR="00134604" w:rsidRDefault="00134604" w:rsidP="00134604">
      <w:pPr>
        <w:pStyle w:val="FootnoteText"/>
      </w:pPr>
      <w:r>
        <w:rPr>
          <w:rStyle w:val="FootnoteReference"/>
        </w:rPr>
        <w:footnoteRef/>
      </w:r>
      <w:r>
        <w:t xml:space="preserve"> </w:t>
      </w:r>
      <w:r w:rsidRPr="00342895">
        <w:t xml:space="preserve">For example, a caller seeking a CA with legal expertise might be served more quickly than someone else seeking a CA with medical expertise if the former CA is available sooner, even if the latter request came sooner in the queue.  However, the “answer-in-the-order” rule will still apply within each subset of CA expertise, so that if two individuals both request the same type of specialized interpreting, each of their requests must be addressed in the order received.  Nor do we waive the related prohibitions disallowing </w:t>
      </w:r>
      <w:r w:rsidRPr="00342895">
        <w:rPr>
          <w:szCs w:val="22"/>
        </w:rPr>
        <w:t>advance reservations</w:t>
      </w:r>
      <w:r w:rsidRPr="00342895">
        <w:t xml:space="preserve"> and “call back” arrangements for VRS.  </w:t>
      </w:r>
      <w:r w:rsidRPr="00342895">
        <w:rPr>
          <w:i/>
        </w:rPr>
        <w:t>See</w:t>
      </w:r>
      <w:r w:rsidRPr="00342895">
        <w:t xml:space="preserve"> </w:t>
      </w:r>
      <w:r>
        <w:rPr>
          <w:i/>
        </w:rPr>
        <w:t>id.</w:t>
      </w:r>
      <w:r w:rsidRPr="00342895">
        <w:t xml:space="preserve"> at 1473-74.</w:t>
      </w:r>
    </w:p>
  </w:footnote>
  <w:footnote w:id="40">
    <w:p w:rsidR="00134604" w:rsidRDefault="00134604" w:rsidP="00134604">
      <w:pPr>
        <w:pStyle w:val="FootnoteText"/>
      </w:pPr>
      <w:r>
        <w:rPr>
          <w:rStyle w:val="FootnoteReference"/>
        </w:rPr>
        <w:footnoteRef/>
      </w:r>
      <w:r>
        <w:t xml:space="preserve"> </w:t>
      </w:r>
      <w:r w:rsidRPr="00E4362D">
        <w:t xml:space="preserve">Under Title III of the Americans with Disabilities Act, “public accommodations,” including legal services and health care providers, </w:t>
      </w:r>
      <w:r>
        <w:t xml:space="preserve">generally </w:t>
      </w:r>
      <w:r w:rsidRPr="00E4362D">
        <w:t xml:space="preserve">must provide auxiliary aids and services, such as qualified interpreters, when necessary to ensure effective communication with individuals with disabilities.  </w:t>
      </w:r>
      <w:r w:rsidRPr="00E4362D">
        <w:rPr>
          <w:i/>
          <w:iCs/>
        </w:rPr>
        <w:t>See</w:t>
      </w:r>
      <w:r w:rsidRPr="00E4362D">
        <w:t xml:space="preserve"> 42 U.S.C. §§ 12103(1) (defining “auxiliary a</w:t>
      </w:r>
      <w:r>
        <w:t xml:space="preserve">ids and services”), 12181(7) </w:t>
      </w:r>
      <w:r w:rsidRPr="00E4362D">
        <w:t>(defining “public accommodation”), 12182(b)(2)(A)(iii) (addressing the provision of auxiliary aids and services by public accommodations); 4</w:t>
      </w:r>
      <w:r>
        <w:t>2</w:t>
      </w:r>
      <w:r w:rsidRPr="00E4362D">
        <w:t xml:space="preserve"> CFR §§ 36.104 (defining “qualified interpreter”), 36.303.</w:t>
      </w:r>
      <w:r>
        <w:t xml:space="preserve"> </w:t>
      </w:r>
    </w:p>
  </w:footnote>
  <w:footnote w:id="41">
    <w:p w:rsidR="00134604" w:rsidRPr="00D25763" w:rsidRDefault="00134604" w:rsidP="00134604">
      <w:pPr>
        <w:pStyle w:val="FootnoteText"/>
      </w:pPr>
      <w:r w:rsidRPr="00D25763">
        <w:rPr>
          <w:rStyle w:val="FootnoteReference"/>
        </w:rPr>
        <w:footnoteRef/>
      </w:r>
      <w:r w:rsidRPr="00D25763">
        <w:t xml:space="preserve"> </w:t>
      </w:r>
      <w:r w:rsidRPr="00B21A60">
        <w:t>All parties commenting on this issue agree with this approach.</w:t>
      </w:r>
      <w:r>
        <w:t xml:space="preserve">  </w:t>
      </w:r>
      <w:r w:rsidRPr="00B21A60">
        <w:rPr>
          <w:i/>
        </w:rPr>
        <w:t>See, e.g.,</w:t>
      </w:r>
      <w:r w:rsidRPr="00B21A60">
        <w:t xml:space="preserve"> 20</w:t>
      </w:r>
      <w:r>
        <w:t>15</w:t>
      </w:r>
      <w:r w:rsidRPr="00B21A60">
        <w:t xml:space="preserve"> Joint VRS Providers Proposal at </w:t>
      </w:r>
      <w:r>
        <w:t>5</w:t>
      </w:r>
      <w:r w:rsidRPr="00B21A60">
        <w:t>; 2015 Consumer Groups Comments at 8.</w:t>
      </w:r>
      <w:r>
        <w:t xml:space="preserve">  Calls made to generalist CAs during the trial period will remain subject to the speed-of-answer requirements.</w:t>
      </w:r>
    </w:p>
  </w:footnote>
  <w:footnote w:id="42">
    <w:p w:rsidR="00134604" w:rsidRDefault="00134604" w:rsidP="00134604">
      <w:pPr>
        <w:pStyle w:val="FootnoteText"/>
      </w:pPr>
      <w:r>
        <w:rPr>
          <w:rStyle w:val="FootnoteReference"/>
        </w:rPr>
        <w:footnoteRef/>
      </w:r>
      <w:r>
        <w:t xml:space="preserve"> </w:t>
      </w:r>
      <w:r w:rsidRPr="00B272FD">
        <w:rPr>
          <w:i/>
        </w:rPr>
        <w:t>See, e.g.,</w:t>
      </w:r>
      <w:r w:rsidRPr="00B272FD">
        <w:t xml:space="preserve"> 2015 Sorenson Comments at 8-9 (stating that including these specialized calls in the speed-of-answer calculation might discourage providers from participating in the trial</w:t>
      </w:r>
      <w:r>
        <w:t xml:space="preserve"> </w:t>
      </w:r>
      <w:r w:rsidRPr="00B272FD">
        <w:t>due to the risk of losing revenue).</w:t>
      </w:r>
      <w:r>
        <w:t xml:space="preserve">  For example, a consumer seeking a medical-specialist CA to confer with a doctor’s office may need to wait for a CA skilled in medical terminology to become available, thereby </w:t>
      </w:r>
      <w:r w:rsidRPr="00D25763">
        <w:t>affecting speed-of-answer compliance</w:t>
      </w:r>
      <w:r>
        <w:t xml:space="preserve">.    </w:t>
      </w:r>
    </w:p>
  </w:footnote>
  <w:footnote w:id="43">
    <w:p w:rsidR="00134604" w:rsidRPr="006477C1" w:rsidRDefault="00134604" w:rsidP="00134604">
      <w:pPr>
        <w:pStyle w:val="FootnoteText"/>
      </w:pPr>
      <w:r w:rsidRPr="006477C1">
        <w:rPr>
          <w:rStyle w:val="FootnoteReference"/>
        </w:rPr>
        <w:footnoteRef/>
      </w:r>
      <w:r>
        <w:t xml:space="preserve"> </w:t>
      </w:r>
      <w:r w:rsidRPr="00B134BC">
        <w:rPr>
          <w:i/>
        </w:rPr>
        <w:t>See</w:t>
      </w:r>
      <w:r>
        <w:t xml:space="preserve"> </w:t>
      </w:r>
      <w:r w:rsidRPr="006477C1">
        <w:t>2015 ASL Services Comments at 10; 2015 Convo Comments at 11</w:t>
      </w:r>
      <w:r>
        <w:t xml:space="preserve"> (each generally supporting this approach);  </w:t>
      </w:r>
      <w:r w:rsidRPr="006477C1">
        <w:t>2015 Sorenson Comments at 8</w:t>
      </w:r>
      <w:r>
        <w:t xml:space="preserve"> (supporting the provision of wait times to consumers)</w:t>
      </w:r>
      <w:r w:rsidRPr="006477C1">
        <w:t xml:space="preserve">; </w:t>
      </w:r>
      <w:r w:rsidRPr="006477C1">
        <w:rPr>
          <w:i/>
        </w:rPr>
        <w:t>2015 VRS FNPRM</w:t>
      </w:r>
      <w:r w:rsidRPr="006477C1">
        <w:t>, 30 FCC Rcd at 12992, para. 48</w:t>
      </w:r>
      <w:r>
        <w:t xml:space="preserve"> (seeking comment on this feature).    </w:t>
      </w:r>
    </w:p>
  </w:footnote>
  <w:footnote w:id="44">
    <w:p w:rsidR="00134604" w:rsidRDefault="00134604" w:rsidP="00134604">
      <w:pPr>
        <w:pStyle w:val="FootnoteText"/>
      </w:pPr>
      <w:r>
        <w:rPr>
          <w:rStyle w:val="FootnoteReference"/>
        </w:rPr>
        <w:footnoteRef/>
      </w:r>
      <w:r>
        <w:t xml:space="preserve"> 47 CFR § 64.604(a)(1)(v).</w:t>
      </w:r>
    </w:p>
  </w:footnote>
  <w:footnote w:id="45">
    <w:p w:rsidR="00134604" w:rsidRPr="006477C1" w:rsidRDefault="00134604" w:rsidP="00134604">
      <w:pPr>
        <w:pStyle w:val="FootnoteText"/>
      </w:pPr>
      <w:r w:rsidRPr="006477C1">
        <w:rPr>
          <w:rStyle w:val="FootnoteReference"/>
        </w:rPr>
        <w:footnoteRef/>
      </w:r>
      <w:r w:rsidRPr="006477C1">
        <w:t xml:space="preserve"> </w:t>
      </w:r>
      <w:r w:rsidRPr="00C75C5B">
        <w:rPr>
          <w:i/>
        </w:rPr>
        <w:t>Id</w:t>
      </w:r>
      <w:r>
        <w:t xml:space="preserve">. </w:t>
      </w:r>
      <w:r w:rsidRPr="006477C1">
        <w:t>§ 64.604(a)(3)(i)</w:t>
      </w:r>
      <w:r>
        <w:t>.</w:t>
      </w:r>
    </w:p>
  </w:footnote>
  <w:footnote w:id="46">
    <w:p w:rsidR="00134604" w:rsidRPr="006477C1" w:rsidRDefault="00134604" w:rsidP="00134604">
      <w:pPr>
        <w:pStyle w:val="FootnoteText"/>
      </w:pPr>
      <w:r w:rsidRPr="006477C1">
        <w:rPr>
          <w:rStyle w:val="FootnoteReference"/>
        </w:rPr>
        <w:footnoteRef/>
      </w:r>
      <w:r w:rsidRPr="006477C1">
        <w:t xml:space="preserve"> </w:t>
      </w:r>
      <w:r w:rsidRPr="00E5068F">
        <w:t>While we leave details as to how this can be accomplished to providers, we expect that general calls following skills-based routed calls will be transferred to the generalist call queue by the specialist interpreter, after giving notice of such transfer to the caller.</w:t>
      </w:r>
      <w:r>
        <w:t xml:space="preserve">  </w:t>
      </w:r>
      <w:r w:rsidRPr="005C255A">
        <w:rPr>
          <w:i/>
        </w:rPr>
        <w:t>See</w:t>
      </w:r>
      <w:r>
        <w:t xml:space="preserve"> </w:t>
      </w:r>
      <w:r w:rsidRPr="006477C1">
        <w:t>2015 Sorenson Comments at 8</w:t>
      </w:r>
      <w:r>
        <w:t xml:space="preserve">.    </w:t>
      </w:r>
      <w:r w:rsidRPr="006477C1">
        <w:t xml:space="preserve">  </w:t>
      </w:r>
    </w:p>
  </w:footnote>
  <w:footnote w:id="47">
    <w:p w:rsidR="00134604" w:rsidRDefault="00134604" w:rsidP="00134604">
      <w:pPr>
        <w:pStyle w:val="FootnoteText"/>
      </w:pPr>
      <w:r>
        <w:rPr>
          <w:rStyle w:val="FootnoteReference"/>
        </w:rPr>
        <w:footnoteRef/>
      </w:r>
      <w:r>
        <w:t xml:space="preserve"> </w:t>
      </w:r>
      <w:r w:rsidRPr="004F65B0">
        <w:rPr>
          <w:i/>
        </w:rPr>
        <w:t>See</w:t>
      </w:r>
      <w:r w:rsidRPr="004F65B0">
        <w:t xml:space="preserve"> 2015 ASL Services Comments at 16; </w:t>
      </w:r>
      <w:r>
        <w:t xml:space="preserve">2015 </w:t>
      </w:r>
      <w:r w:rsidRPr="004F65B0">
        <w:t>Convo Comments at 14 (both advocating monthly reports from participating providers).</w:t>
      </w:r>
    </w:p>
  </w:footnote>
  <w:footnote w:id="48">
    <w:p w:rsidR="00134604" w:rsidRDefault="00134604" w:rsidP="00134604">
      <w:pPr>
        <w:pStyle w:val="FootnoteText"/>
      </w:pPr>
      <w:r>
        <w:rPr>
          <w:rStyle w:val="FootnoteReference"/>
        </w:rPr>
        <w:footnoteRef/>
      </w:r>
      <w:r>
        <w:t xml:space="preserve"> </w:t>
      </w:r>
      <w:r w:rsidRPr="006477C1">
        <w:t xml:space="preserve">2015 </w:t>
      </w:r>
      <w:r>
        <w:t>Consumer Groups</w:t>
      </w:r>
      <w:r w:rsidRPr="006477C1">
        <w:t xml:space="preserve"> Comments at 9</w:t>
      </w:r>
      <w:r>
        <w:t xml:space="preserve">; </w:t>
      </w:r>
      <w:r w:rsidRPr="00656C7F">
        <w:t xml:space="preserve">2015 </w:t>
      </w:r>
      <w:r>
        <w:t xml:space="preserve">Sorenson Comments at 9.      </w:t>
      </w:r>
    </w:p>
  </w:footnote>
  <w:footnote w:id="49">
    <w:p w:rsidR="00134604" w:rsidRDefault="00134604" w:rsidP="00134604">
      <w:pPr>
        <w:pStyle w:val="FootnoteText"/>
      </w:pPr>
      <w:r>
        <w:rPr>
          <w:rStyle w:val="FootnoteReference"/>
        </w:rPr>
        <w:footnoteRef/>
      </w:r>
      <w:r>
        <w:t xml:space="preserve"> </w:t>
      </w:r>
      <w:r w:rsidRPr="00656C7F">
        <w:rPr>
          <w:i/>
        </w:rPr>
        <w:t>See</w:t>
      </w:r>
      <w:r>
        <w:t xml:space="preserve"> </w:t>
      </w:r>
      <w:r w:rsidRPr="00656C7F">
        <w:t xml:space="preserve">2015 </w:t>
      </w:r>
      <w:r>
        <w:t>ZVRS Comments at 11</w:t>
      </w:r>
      <w:r w:rsidRPr="00254742">
        <w:t>.</w:t>
      </w:r>
      <w:r w:rsidRPr="00254742">
        <w:rPr>
          <w:snapToGrid w:val="0"/>
          <w:kern w:val="28"/>
        </w:rPr>
        <w:t xml:space="preserve">  Identifying skills</w:t>
      </w:r>
      <w:r>
        <w:rPr>
          <w:snapToGrid w:val="0"/>
          <w:kern w:val="28"/>
        </w:rPr>
        <w:t>-</w:t>
      </w:r>
      <w:r w:rsidRPr="00254742">
        <w:rPr>
          <w:snapToGrid w:val="0"/>
          <w:kern w:val="28"/>
        </w:rPr>
        <w:t xml:space="preserve">based calls in CDRs </w:t>
      </w:r>
      <w:r w:rsidRPr="00254742">
        <w:t>should not be burdensome, as CDRs currently must include the identification number for the CA handling the call</w:t>
      </w:r>
      <w:r>
        <w:t xml:space="preserve">.  </w:t>
      </w:r>
      <w:r w:rsidRPr="007C7818">
        <w:rPr>
          <w:i/>
        </w:rPr>
        <w:t>See</w:t>
      </w:r>
      <w:r w:rsidRPr="007C7818">
        <w:t xml:space="preserve"> 2015 ASL</w:t>
      </w:r>
      <w:r>
        <w:t xml:space="preserve"> Services</w:t>
      </w:r>
      <w:r w:rsidRPr="007C7818">
        <w:t xml:space="preserve"> Comments at 10 (stating that skill</w:t>
      </w:r>
      <w:r>
        <w:t>s</w:t>
      </w:r>
      <w:r w:rsidRPr="007C7818">
        <w:t xml:space="preserve">-based calls can be easily tracked by automatic </w:t>
      </w:r>
      <w:r>
        <w:t>CDRs</w:t>
      </w:r>
      <w:r w:rsidRPr="007C7818">
        <w:t>)</w:t>
      </w:r>
      <w:r>
        <w:t xml:space="preserve">.  This information </w:t>
      </w:r>
      <w:r w:rsidRPr="00254742">
        <w:t xml:space="preserve">will allow the Commission to compare changes in, e.g., the duration of calls routed to specific telephone numbers that may receive </w:t>
      </w:r>
      <w:r>
        <w:t>many</w:t>
      </w:r>
      <w:r w:rsidRPr="00254742">
        <w:t xml:space="preserve"> calls requiring specialized handling.  </w:t>
      </w:r>
      <w:r w:rsidRPr="00254742">
        <w:rPr>
          <w:i/>
        </w:rPr>
        <w:t>See</w:t>
      </w:r>
      <w:r w:rsidRPr="00254742">
        <w:t xml:space="preserve"> 2015 ZVRS Comments at 12 (urging the Commission to “compare the length of specialized calls that are routed via skills-based routing against the length of similar calls that are routed to the first available CA, regardless of skill”).</w:t>
      </w:r>
    </w:p>
  </w:footnote>
  <w:footnote w:id="50">
    <w:p w:rsidR="00134604" w:rsidRDefault="00134604" w:rsidP="00134604">
      <w:pPr>
        <w:pStyle w:val="FootnoteText"/>
      </w:pPr>
      <w:r>
        <w:rPr>
          <w:rStyle w:val="FootnoteReference"/>
        </w:rPr>
        <w:footnoteRef/>
      </w:r>
      <w:r>
        <w:t xml:space="preserve"> For example, this could occur (1) where no specialist was available at all, (2) where the caller was given a time estimate for the specialist queue and changed his or her mind, (3) where the caller was sent to the specialist queue and abandoned the queue, and (4) where the caller asked for a specialist but the nature of the call was deemed ineligible for specialist interpreting.  </w:t>
      </w:r>
    </w:p>
  </w:footnote>
  <w:footnote w:id="51">
    <w:p w:rsidR="00134604" w:rsidRDefault="00134604" w:rsidP="00134604">
      <w:pPr>
        <w:pStyle w:val="FootnoteText"/>
      </w:pPr>
      <w:r>
        <w:rPr>
          <w:rStyle w:val="FootnoteReference"/>
        </w:rPr>
        <w:footnoteRef/>
      </w:r>
      <w:r>
        <w:t xml:space="preserve"> The report should include any changes in the standards made during the trial.  </w:t>
      </w:r>
      <w:r w:rsidRPr="00254742">
        <w:rPr>
          <w:i/>
        </w:rPr>
        <w:t>See</w:t>
      </w:r>
      <w:r>
        <w:t xml:space="preserve"> </w:t>
      </w:r>
      <w:r w:rsidRPr="00254742">
        <w:t>2015 RID Comments at 9-10 (noting that there is a national certification for legal interpreting but none for medical and technical interpreting, and suggesting th</w:t>
      </w:r>
      <w:r>
        <w:t>at</w:t>
      </w:r>
      <w:r w:rsidRPr="00254742">
        <w:t xml:space="preserve"> providers submit information about how the skills of the specialist CAs are measured and assessed); 2015 MARIE Center Comments at 1 (recommending that the Commission carefully consider how skills will be assessed among CAs).</w:t>
      </w:r>
    </w:p>
  </w:footnote>
  <w:footnote w:id="52">
    <w:p w:rsidR="00134604" w:rsidRDefault="00134604" w:rsidP="00134604">
      <w:pPr>
        <w:pStyle w:val="FootnoteText"/>
      </w:pPr>
      <w:r>
        <w:rPr>
          <w:rStyle w:val="FootnoteReference"/>
        </w:rPr>
        <w:footnoteRef/>
      </w:r>
      <w:r>
        <w:t xml:space="preserve"> </w:t>
      </w:r>
      <w:r w:rsidRPr="006477C1">
        <w:t>2015 Sorenson Comments at 10</w:t>
      </w:r>
      <w:r>
        <w:t xml:space="preserve">; </w:t>
      </w:r>
      <w:r w:rsidRPr="006477C1">
        <w:t>2015 Convo Comments at 14-15</w:t>
      </w:r>
      <w:r>
        <w:t xml:space="preserve">; </w:t>
      </w:r>
      <w:r w:rsidRPr="006477C1">
        <w:t>2015 ASL Services Comments at 15</w:t>
      </w:r>
      <w:r>
        <w:t xml:space="preserve"> (noting these as likely costs during the trial).</w:t>
      </w:r>
    </w:p>
  </w:footnote>
  <w:footnote w:id="53">
    <w:p w:rsidR="00134604" w:rsidRDefault="00134604" w:rsidP="00134604">
      <w:pPr>
        <w:pStyle w:val="FootnoteText"/>
      </w:pPr>
      <w:r>
        <w:rPr>
          <w:rStyle w:val="FootnoteReference"/>
        </w:rPr>
        <w:footnoteRef/>
      </w:r>
      <w:r>
        <w:t xml:space="preserve"> This metric may be useful to assessing the extent to which </w:t>
      </w:r>
      <w:r w:rsidRPr="00E5068F">
        <w:t xml:space="preserve">callers requesting specialized CAs may be substituting VRS for in-person interpreting or </w:t>
      </w:r>
      <w:r>
        <w:t>video remote interpreting (</w:t>
      </w:r>
      <w:r w:rsidRPr="00E5068F">
        <w:t>VRI</w:t>
      </w:r>
      <w:r>
        <w:t>)</w:t>
      </w:r>
      <w:r w:rsidRPr="00E5068F">
        <w:t>, which uses a video connection to provide access to an interpreter at a remote location when an interpreter cannot be present in person.</w:t>
      </w:r>
      <w:r>
        <w:t xml:space="preserve">  </w:t>
      </w:r>
      <w:r w:rsidRPr="00E5068F">
        <w:t>In-person interpreting and VRI services generally are arranged in advance and paid for on a fee-for-service basis</w:t>
      </w:r>
      <w:r>
        <w:t xml:space="preserve">.  </w:t>
      </w:r>
      <w:r w:rsidRPr="00AC5CBD">
        <w:rPr>
          <w:i/>
        </w:rPr>
        <w:t>See</w:t>
      </w:r>
      <w:r>
        <w:t xml:space="preserve"> </w:t>
      </w:r>
      <w:r w:rsidRPr="0026371B">
        <w:rPr>
          <w:i/>
        </w:rPr>
        <w:t>2015 VRS FNPRM</w:t>
      </w:r>
      <w:r>
        <w:t xml:space="preserve">, 30 FCC Rcd at 12990 n.93, 12992, </w:t>
      </w:r>
      <w:r w:rsidRPr="006477C1">
        <w:t>para. 49</w:t>
      </w:r>
      <w:r>
        <w:t xml:space="preserve">.  Our understanding is that in most cases where such services are used in the legal, medical, or technical computer support context, the service is ordered by the </w:t>
      </w:r>
      <w:r w:rsidRPr="003E2C40">
        <w:t xml:space="preserve">legal, medical, or computer </w:t>
      </w:r>
      <w:r>
        <w:t xml:space="preserve">professional or their company and that in most cases, the professional is a hearing individual.  </w:t>
      </w:r>
    </w:p>
  </w:footnote>
  <w:footnote w:id="54">
    <w:p w:rsidR="00134604" w:rsidRDefault="00134604" w:rsidP="00134604">
      <w:pPr>
        <w:pStyle w:val="FootnoteText"/>
      </w:pPr>
      <w:r>
        <w:rPr>
          <w:rStyle w:val="FootnoteReference"/>
        </w:rPr>
        <w:footnoteRef/>
      </w:r>
      <w:r>
        <w:t xml:space="preserve"> </w:t>
      </w:r>
      <w:r w:rsidRPr="003E2C40">
        <w:rPr>
          <w:i/>
        </w:rPr>
        <w:t>Cf</w:t>
      </w:r>
      <w:r>
        <w:t>. 47 CFR § 64.604(c)(5)(iii)(D)(</w:t>
      </w:r>
      <w:r w:rsidRPr="00F97D1E">
        <w:rPr>
          <w:i/>
        </w:rPr>
        <w:t>6</w:t>
      </w:r>
      <w:r>
        <w:t xml:space="preserve">).  </w:t>
      </w:r>
    </w:p>
  </w:footnote>
  <w:footnote w:id="55">
    <w:p w:rsidR="00134604" w:rsidRDefault="00134604" w:rsidP="00134604">
      <w:pPr>
        <w:pStyle w:val="FootnoteText"/>
      </w:pPr>
      <w:r>
        <w:rPr>
          <w:rStyle w:val="FootnoteReference"/>
        </w:rPr>
        <w:footnoteRef/>
      </w:r>
      <w:r>
        <w:t xml:space="preserve"> </w:t>
      </w:r>
      <w:r w:rsidRPr="002F4765">
        <w:rPr>
          <w:i/>
        </w:rPr>
        <w:t>Id</w:t>
      </w:r>
      <w:r>
        <w:t xml:space="preserve">. § 64.604(a)(2); </w:t>
      </w:r>
      <w:r w:rsidRPr="00570216">
        <w:rPr>
          <w:i/>
        </w:rPr>
        <w:t>see</w:t>
      </w:r>
      <w:r>
        <w:t xml:space="preserve"> </w:t>
      </w:r>
      <w:r w:rsidRPr="00BB5E97">
        <w:t xml:space="preserve">2015 </w:t>
      </w:r>
      <w:r>
        <w:t>Convo Comments at 10 (raising concerns about the confidentiality of  information collected during the trial).</w:t>
      </w:r>
    </w:p>
  </w:footnote>
  <w:footnote w:id="56">
    <w:p w:rsidR="00134604" w:rsidRPr="006477C1" w:rsidRDefault="00134604" w:rsidP="00134604">
      <w:pPr>
        <w:pStyle w:val="FootnoteText"/>
      </w:pPr>
      <w:r w:rsidRPr="006477C1">
        <w:rPr>
          <w:rStyle w:val="FootnoteReference"/>
        </w:rPr>
        <w:footnoteRef/>
      </w:r>
      <w:r w:rsidRPr="006477C1">
        <w:t xml:space="preserve"> </w:t>
      </w:r>
      <w:r w:rsidRPr="00422393">
        <w:rPr>
          <w:i/>
        </w:rPr>
        <w:t>See generally</w:t>
      </w:r>
      <w:r>
        <w:t xml:space="preserve"> </w:t>
      </w:r>
      <w:r w:rsidRPr="006477C1">
        <w:t>2015 Sorenson Reply Comments at 9</w:t>
      </w:r>
      <w:r>
        <w:t xml:space="preserve"> (suggesting that the Commission work with providers to develop more specific data collection criteria).</w:t>
      </w:r>
    </w:p>
  </w:footnote>
  <w:footnote w:id="57">
    <w:p w:rsidR="00134604" w:rsidRPr="00C901A9" w:rsidRDefault="00134604" w:rsidP="00134604">
      <w:pPr>
        <w:pStyle w:val="FootnoteText"/>
        <w:rPr>
          <w:i/>
        </w:rPr>
      </w:pPr>
      <w:r w:rsidRPr="00C901A9">
        <w:rPr>
          <w:rStyle w:val="FootnoteReference"/>
        </w:rPr>
        <w:footnoteRef/>
      </w:r>
      <w:r w:rsidRPr="00C901A9">
        <w:t xml:space="preserve"> </w:t>
      </w:r>
      <w:r w:rsidRPr="00C901A9">
        <w:rPr>
          <w:i/>
        </w:rPr>
        <w:t>See 2015 VRS FNPRM</w:t>
      </w:r>
      <w:r w:rsidRPr="00C901A9">
        <w:t>, 30 FCC Rcd at 12992-93, paras. 51-55.</w:t>
      </w:r>
      <w:r>
        <w:t xml:space="preserve">  The role of a deaf interpreter, or as they are sometimes known, a certified deaf interpreter (</w:t>
      </w:r>
      <w:r w:rsidRPr="000D7C74">
        <w:t>CDI</w:t>
      </w:r>
      <w:r>
        <w:t xml:space="preserve">), is to act as an </w:t>
      </w:r>
      <w:r w:rsidRPr="00FF0211">
        <w:t xml:space="preserve">intermediary between a hearing ASL interpreter and the deaf party to a </w:t>
      </w:r>
      <w:r>
        <w:t>VRS</w:t>
      </w:r>
      <w:r w:rsidRPr="00FF0211">
        <w:t xml:space="preserve"> call.  The deaf interpreter provides assistance in understanding the deaf caller’s method of communication and in making the communications from the other parties to the call understandable to the hearing interpreter</w:t>
      </w:r>
      <w:r>
        <w:t xml:space="preserve"> and the deaf caller</w:t>
      </w:r>
      <w:r w:rsidRPr="00FF0211">
        <w:t>.</w:t>
      </w:r>
      <w:r w:rsidRPr="000D7C74">
        <w:t xml:space="preserve"> </w:t>
      </w:r>
    </w:p>
  </w:footnote>
  <w:footnote w:id="58">
    <w:p w:rsidR="00134604" w:rsidRPr="00C901A9" w:rsidRDefault="00134604" w:rsidP="00134604">
      <w:pPr>
        <w:spacing w:after="120"/>
        <w:rPr>
          <w:sz w:val="20"/>
        </w:rPr>
      </w:pPr>
      <w:r w:rsidRPr="00C901A9">
        <w:rPr>
          <w:rStyle w:val="FootnoteReference"/>
        </w:rPr>
        <w:footnoteRef/>
      </w:r>
      <w:r w:rsidRPr="00C901A9">
        <w:rPr>
          <w:sz w:val="20"/>
        </w:rPr>
        <w:t xml:space="preserve"> </w:t>
      </w:r>
      <w:r>
        <w:rPr>
          <w:i/>
          <w:sz w:val="20"/>
        </w:rPr>
        <w:t>Id.</w:t>
      </w:r>
      <w:r w:rsidRPr="00C901A9">
        <w:rPr>
          <w:sz w:val="20"/>
        </w:rPr>
        <w:t xml:space="preserve">, para. 51; </w:t>
      </w:r>
      <w:r w:rsidRPr="00C901A9">
        <w:rPr>
          <w:i/>
          <w:sz w:val="20"/>
        </w:rPr>
        <w:t xml:space="preserve">see also </w:t>
      </w:r>
      <w:r w:rsidRPr="00BB5E97">
        <w:rPr>
          <w:sz w:val="20"/>
        </w:rPr>
        <w:t xml:space="preserve">2015 </w:t>
      </w:r>
      <w:r w:rsidRPr="00C901A9">
        <w:rPr>
          <w:sz w:val="20"/>
        </w:rPr>
        <w:t xml:space="preserve">Consumer Groups Comments at 10 (communicating with the VRS CA alone can be difficult for VRS users who “have limited ASL skills and/or other disabilities”); </w:t>
      </w:r>
      <w:r w:rsidRPr="00BB5E97">
        <w:rPr>
          <w:sz w:val="20"/>
        </w:rPr>
        <w:t xml:space="preserve">2015 </w:t>
      </w:r>
      <w:r w:rsidRPr="00C901A9">
        <w:rPr>
          <w:sz w:val="20"/>
        </w:rPr>
        <w:t xml:space="preserve">Purple Comments at 9; </w:t>
      </w:r>
      <w:r w:rsidRPr="00BB5E97">
        <w:rPr>
          <w:sz w:val="20"/>
        </w:rPr>
        <w:t xml:space="preserve">2015 </w:t>
      </w:r>
      <w:r w:rsidRPr="00C901A9">
        <w:rPr>
          <w:sz w:val="20"/>
        </w:rPr>
        <w:t>RID Comments at 9 (deaf interpreters can benefit “</w:t>
      </w:r>
      <w:r>
        <w:rPr>
          <w:sz w:val="20"/>
        </w:rPr>
        <w:t>‘</w:t>
      </w:r>
      <w:r w:rsidRPr="00C901A9">
        <w:rPr>
          <w:sz w:val="20"/>
        </w:rPr>
        <w:t>individuals with challenging features of language such as minimal language skills or idiosyncratic signing styles</w:t>
      </w:r>
      <w:r>
        <w:rPr>
          <w:sz w:val="20"/>
        </w:rPr>
        <w:t>’</w:t>
      </w:r>
      <w:r w:rsidRPr="00C901A9">
        <w:rPr>
          <w:sz w:val="20"/>
        </w:rPr>
        <w:t xml:space="preserve">”); </w:t>
      </w:r>
      <w:r w:rsidRPr="00BB5E97">
        <w:rPr>
          <w:sz w:val="20"/>
        </w:rPr>
        <w:t xml:space="preserve">2015 </w:t>
      </w:r>
      <w:r w:rsidRPr="00C901A9">
        <w:rPr>
          <w:sz w:val="20"/>
        </w:rPr>
        <w:t xml:space="preserve">Sorenson Comments at 13 (supporting the use of deaf interpreters to achieve functionally equivalent services for VRS users “whose age, language proficiency, or disability makes communication with a standard interpreter difficult”); </w:t>
      </w:r>
      <w:r w:rsidRPr="00BB5E97">
        <w:rPr>
          <w:sz w:val="20"/>
        </w:rPr>
        <w:t xml:space="preserve">2015 </w:t>
      </w:r>
      <w:r w:rsidRPr="00C901A9">
        <w:rPr>
          <w:sz w:val="20"/>
        </w:rPr>
        <w:t xml:space="preserve">ZVRS Comments at 15.    </w:t>
      </w:r>
    </w:p>
  </w:footnote>
  <w:footnote w:id="59">
    <w:p w:rsidR="00134604" w:rsidRPr="00C901A9" w:rsidRDefault="00134604" w:rsidP="00134604">
      <w:pPr>
        <w:pStyle w:val="FootnoteText"/>
      </w:pPr>
      <w:r w:rsidRPr="00C901A9">
        <w:rPr>
          <w:rStyle w:val="FootnoteReference"/>
        </w:rPr>
        <w:footnoteRef/>
      </w:r>
      <w:r w:rsidRPr="00C901A9">
        <w:t xml:space="preserve"> </w:t>
      </w:r>
      <w:r w:rsidRPr="00C901A9">
        <w:rPr>
          <w:i/>
        </w:rPr>
        <w:t>2015 VRS FNPRM</w:t>
      </w:r>
      <w:r w:rsidRPr="00C901A9">
        <w:t>, 30 FCC Rcd at 12993, para. 52.</w:t>
      </w:r>
      <w:r>
        <w:t xml:space="preserve">  </w:t>
      </w:r>
    </w:p>
  </w:footnote>
  <w:footnote w:id="60">
    <w:p w:rsidR="00134604" w:rsidRDefault="00134604" w:rsidP="00134604">
      <w:pPr>
        <w:pStyle w:val="FootnoteText"/>
      </w:pPr>
      <w:r>
        <w:rPr>
          <w:rStyle w:val="FootnoteReference"/>
        </w:rPr>
        <w:footnoteRef/>
      </w:r>
      <w:r>
        <w:t xml:space="preserve"> </w:t>
      </w:r>
      <w:r w:rsidRPr="00882BFA">
        <w:rPr>
          <w:i/>
        </w:rPr>
        <w:t>Id.</w:t>
      </w:r>
      <w:r>
        <w:t>, para. 53.</w:t>
      </w:r>
    </w:p>
  </w:footnote>
  <w:footnote w:id="61">
    <w:p w:rsidR="00134604" w:rsidRPr="00C901A9" w:rsidRDefault="00134604" w:rsidP="00134604">
      <w:pPr>
        <w:pStyle w:val="FootnoteText"/>
      </w:pPr>
      <w:r w:rsidRPr="00C901A9">
        <w:rPr>
          <w:rStyle w:val="FootnoteReference"/>
        </w:rPr>
        <w:footnoteRef/>
      </w:r>
      <w:r w:rsidRPr="00C901A9">
        <w:t xml:space="preserve"> </w:t>
      </w:r>
      <w:r>
        <w:rPr>
          <w:i/>
        </w:rPr>
        <w:t>Id.</w:t>
      </w:r>
      <w:r w:rsidRPr="00C901A9">
        <w:t>, para. 55.</w:t>
      </w:r>
      <w:r>
        <w:t xml:space="preserve">  This includes data on the number of interpreters needed per call center, consumer satisfaction and service quality, and the potential for waste, fraud, and abuse. </w:t>
      </w:r>
    </w:p>
  </w:footnote>
  <w:footnote w:id="62">
    <w:p w:rsidR="00134604" w:rsidRPr="00C901A9" w:rsidRDefault="00134604" w:rsidP="00134604">
      <w:pPr>
        <w:pStyle w:val="FootnoteText"/>
      </w:pPr>
      <w:r w:rsidRPr="00C901A9">
        <w:rPr>
          <w:rStyle w:val="FootnoteReference"/>
        </w:rPr>
        <w:footnoteRef/>
      </w:r>
      <w:r w:rsidRPr="00C901A9">
        <w:t xml:space="preserve"> </w:t>
      </w:r>
      <w:r w:rsidRPr="00C901A9">
        <w:rPr>
          <w:i/>
        </w:rPr>
        <w:t>See, e.g.</w:t>
      </w:r>
      <w:r w:rsidRPr="00C901A9">
        <w:t xml:space="preserve">, </w:t>
      </w:r>
      <w:r w:rsidRPr="00BB5E97">
        <w:t xml:space="preserve">2015 </w:t>
      </w:r>
      <w:r w:rsidRPr="00C901A9">
        <w:t xml:space="preserve">Consumer </w:t>
      </w:r>
      <w:r w:rsidRPr="00FB655C">
        <w:t xml:space="preserve">Groups Comments at 10 (noting that “CDIs have a shared cultural experience that enables them to more easily match any style of communication that a deaf person presents”); 2015 Convo Comments at 8-10 (referencing studies of the National Consortium of Interpreter Education Centers (NCIEC) that indicate that deaf interpreters provide a level of cultural and linguistic bridging that is not always possible when hearing interpreters work alone, and a RID paper on </w:t>
      </w:r>
      <w:r>
        <w:t xml:space="preserve">ensuring quality communication access by use of </w:t>
      </w:r>
      <w:r w:rsidRPr="00FB655C">
        <w:t xml:space="preserve">a </w:t>
      </w:r>
      <w:r>
        <w:t>c</w:t>
      </w:r>
      <w:r w:rsidRPr="00FB655C">
        <w:t xml:space="preserve">ertified </w:t>
      </w:r>
      <w:r>
        <w:t>d</w:t>
      </w:r>
      <w:r w:rsidRPr="00FB655C">
        <w:t xml:space="preserve">eaf </w:t>
      </w:r>
      <w:r>
        <w:t>i</w:t>
      </w:r>
      <w:r w:rsidRPr="00FB655C">
        <w:t>nterpreter</w:t>
      </w:r>
      <w:hyperlink w:history="1"/>
      <w:r w:rsidRPr="00632718">
        <w:rPr>
          <w:rStyle w:val="Hyperlink"/>
          <w:rFonts w:eastAsia="ヒラギノ角ゴ Pro W3"/>
          <w:color w:val="auto"/>
          <w:u w:val="none"/>
        </w:rPr>
        <w:t>)</w:t>
      </w:r>
      <w:r w:rsidRPr="00FB655C">
        <w:t xml:space="preserve"> (1997); 2015 MARIE Center Comments at 2; </w:t>
      </w:r>
      <w:r w:rsidRPr="005844B3">
        <w:t>2015 Purple Comments at 9; 2015 RID Comments at 9-10; 2015</w:t>
      </w:r>
      <w:r w:rsidRPr="00BB5E97">
        <w:t xml:space="preserve"> </w:t>
      </w:r>
      <w:r w:rsidRPr="00C901A9">
        <w:t xml:space="preserve">Sorenson Comments at 12-16; </w:t>
      </w:r>
      <w:r w:rsidRPr="00BB5E97">
        <w:t xml:space="preserve">2015 </w:t>
      </w:r>
      <w:r w:rsidRPr="00C901A9">
        <w:t xml:space="preserve">ASL Services Comments at 16-17; </w:t>
      </w:r>
      <w:r w:rsidRPr="00BB5E97">
        <w:t xml:space="preserve">2015 </w:t>
      </w:r>
      <w:r w:rsidRPr="00C901A9">
        <w:t xml:space="preserve">VRSCA Reply Comments at 2; </w:t>
      </w:r>
      <w:r w:rsidRPr="00BB5E97">
        <w:t xml:space="preserve">2015 </w:t>
      </w:r>
      <w:r w:rsidRPr="00C901A9">
        <w:t xml:space="preserve">ZVRS Comments at 15-16; 2017 Joint VRS Providers Proposal at 2.  </w:t>
      </w:r>
    </w:p>
  </w:footnote>
  <w:footnote w:id="63">
    <w:p w:rsidR="00134604" w:rsidRPr="00C901A9" w:rsidRDefault="00134604" w:rsidP="00134604">
      <w:pPr>
        <w:pStyle w:val="FootnoteText"/>
      </w:pPr>
      <w:r w:rsidRPr="00C901A9">
        <w:rPr>
          <w:rStyle w:val="FootnoteReference"/>
        </w:rPr>
        <w:footnoteRef/>
      </w:r>
      <w:r w:rsidRPr="00C901A9">
        <w:t xml:space="preserve"> </w:t>
      </w:r>
      <w:r w:rsidRPr="00C901A9">
        <w:rPr>
          <w:i/>
        </w:rPr>
        <w:t>2015 VRS FNPRM</w:t>
      </w:r>
      <w:r w:rsidRPr="00C901A9">
        <w:t>, 30 FCC Rcd at 1299</w:t>
      </w:r>
      <w:r>
        <w:t>2-9</w:t>
      </w:r>
      <w:r w:rsidRPr="00C901A9">
        <w:t>3, para. 51</w:t>
      </w:r>
      <w:r>
        <w:t xml:space="preserve"> (</w:t>
      </w:r>
      <w:r w:rsidRPr="00FD775F">
        <w:rPr>
          <w:i/>
        </w:rPr>
        <w:t>citing</w:t>
      </w:r>
      <w:r>
        <w:t xml:space="preserve"> </w:t>
      </w:r>
      <w:r w:rsidRPr="00C901A9">
        <w:t>2015 Joint VRS Providers Proposal</w:t>
      </w:r>
      <w:r>
        <w:t xml:space="preserve"> at 6)</w:t>
      </w:r>
      <w:r w:rsidRPr="00C901A9">
        <w:t xml:space="preserve">.  </w:t>
      </w:r>
    </w:p>
  </w:footnote>
  <w:footnote w:id="64">
    <w:p w:rsidR="00134604" w:rsidRPr="00C901A9" w:rsidRDefault="00134604" w:rsidP="00134604">
      <w:pPr>
        <w:pStyle w:val="FootnoteText"/>
      </w:pPr>
      <w:r w:rsidRPr="00C901A9">
        <w:rPr>
          <w:rStyle w:val="FootnoteReference"/>
        </w:rPr>
        <w:footnoteRef/>
      </w:r>
      <w:r w:rsidRPr="00C901A9">
        <w:t xml:space="preserve"> 2017 Joint VRS Providers Proposal at 12</w:t>
      </w:r>
      <w:r>
        <w:t xml:space="preserve">; </w:t>
      </w:r>
      <w:r w:rsidRPr="00C901A9">
        <w:rPr>
          <w:iCs/>
        </w:rPr>
        <w:t>2015 Joint VRS Providers Proposal</w:t>
      </w:r>
      <w:r w:rsidRPr="00C901A9">
        <w:rPr>
          <w:i/>
          <w:iCs/>
        </w:rPr>
        <w:t xml:space="preserve"> </w:t>
      </w:r>
      <w:r w:rsidRPr="00C901A9">
        <w:t xml:space="preserve">at 6.  </w:t>
      </w:r>
    </w:p>
  </w:footnote>
  <w:footnote w:id="65">
    <w:p w:rsidR="00134604" w:rsidRPr="00C901A9" w:rsidRDefault="00134604" w:rsidP="00134604">
      <w:pPr>
        <w:pStyle w:val="FootnoteText"/>
      </w:pPr>
      <w:r w:rsidRPr="00C901A9">
        <w:rPr>
          <w:rStyle w:val="FootnoteReference"/>
        </w:rPr>
        <w:footnoteRef/>
      </w:r>
      <w:r w:rsidRPr="00C901A9">
        <w:t xml:space="preserve"> </w:t>
      </w:r>
      <w:r w:rsidRPr="00C901A9">
        <w:rPr>
          <w:i/>
        </w:rPr>
        <w:t>See, e.g.</w:t>
      </w:r>
      <w:r w:rsidRPr="00C901A9">
        <w:t xml:space="preserve">, </w:t>
      </w:r>
      <w:r w:rsidRPr="00BB5E97">
        <w:t xml:space="preserve">2015 </w:t>
      </w:r>
      <w:r w:rsidRPr="00C901A9">
        <w:t xml:space="preserve">Convo Comments at 9-10 (claiming that </w:t>
      </w:r>
      <w:r>
        <w:t>f</w:t>
      </w:r>
      <w:r w:rsidRPr="00C901A9">
        <w:t xml:space="preserve">ederal agencies use deaf interpreters “not only in support of effective communications, but also because they find the higher quality clearer and shorter interpreted communications as being cost effective”); </w:t>
      </w:r>
      <w:r w:rsidRPr="00BB5E97">
        <w:t xml:space="preserve">2015 </w:t>
      </w:r>
      <w:r w:rsidRPr="00C901A9">
        <w:t>ZVRS Comments at 15 (asserting that “a deaf interpreter will more quickly be able to interpret the user’s conversations than will a generalist CA acting alone”).</w:t>
      </w:r>
    </w:p>
  </w:footnote>
  <w:footnote w:id="66">
    <w:p w:rsidR="00134604" w:rsidRDefault="00134604" w:rsidP="00134604">
      <w:pPr>
        <w:pStyle w:val="FootnoteText"/>
      </w:pPr>
      <w:r>
        <w:rPr>
          <w:rStyle w:val="FootnoteReference"/>
        </w:rPr>
        <w:footnoteRef/>
      </w:r>
      <w:r>
        <w:t xml:space="preserve"> For example, the record is inconsistent on the projected demand for </w:t>
      </w:r>
      <w:r w:rsidRPr="00C901A9">
        <w:t>deaf interpreters</w:t>
      </w:r>
      <w:r>
        <w:t xml:space="preserve">, with some commenters believing the need for this service to be “great,” </w:t>
      </w:r>
      <w:r w:rsidRPr="00BB5E97">
        <w:t xml:space="preserve">2015 </w:t>
      </w:r>
      <w:r w:rsidRPr="00C901A9">
        <w:t>Sorenson Comments at 13</w:t>
      </w:r>
      <w:r>
        <w:t>, and others predicting that “</w:t>
      </w:r>
      <w:r w:rsidRPr="00C901A9">
        <w:t>the volume of calls requiring these specialized services is generally quite small</w:t>
      </w:r>
      <w:r>
        <w:t>,</w:t>
      </w:r>
      <w:r w:rsidRPr="00C901A9">
        <w:t>”</w:t>
      </w:r>
      <w:r>
        <w:t xml:space="preserve"> </w:t>
      </w:r>
      <w:r w:rsidRPr="00BB5E97">
        <w:t xml:space="preserve">2015 </w:t>
      </w:r>
      <w:r w:rsidRPr="00C901A9">
        <w:t>ZVRS Comments at 16</w:t>
      </w:r>
      <w:r>
        <w:t xml:space="preserve">; </w:t>
      </w:r>
      <w:r>
        <w:rPr>
          <w:i/>
        </w:rPr>
        <w:t xml:space="preserve">see </w:t>
      </w:r>
      <w:r w:rsidRPr="00632718">
        <w:rPr>
          <w:i/>
        </w:rPr>
        <w:t>also</w:t>
      </w:r>
      <w:r>
        <w:t xml:space="preserve"> </w:t>
      </w:r>
      <w:r w:rsidRPr="000D7C74">
        <w:t>2015 ASL Services Comments at 16 (stating they have not quantitatively tracked the need); 2015 Purple Comments at 9 (stating there is very little demand data).</w:t>
      </w:r>
    </w:p>
  </w:footnote>
  <w:footnote w:id="67">
    <w:p w:rsidR="00134604" w:rsidRDefault="00134604" w:rsidP="00134604">
      <w:pPr>
        <w:pStyle w:val="FootnoteText"/>
      </w:pPr>
      <w:r>
        <w:rPr>
          <w:rStyle w:val="FootnoteReference"/>
        </w:rPr>
        <w:footnoteRef/>
      </w:r>
      <w:r>
        <w:t xml:space="preserve"> Most commenters support the use of a trial period to gather additional information about the use of deaf interpreters.  </w:t>
      </w:r>
      <w:r w:rsidRPr="00052D6D">
        <w:rPr>
          <w:i/>
        </w:rPr>
        <w:t>See</w:t>
      </w:r>
      <w:r>
        <w:rPr>
          <w:i/>
        </w:rPr>
        <w:t>,</w:t>
      </w:r>
      <w:r w:rsidRPr="00052D6D">
        <w:rPr>
          <w:i/>
        </w:rPr>
        <w:t xml:space="preserve"> e.g.,</w:t>
      </w:r>
      <w:r>
        <w:t xml:space="preserve"> </w:t>
      </w:r>
      <w:r w:rsidRPr="00BB5E97">
        <w:t xml:space="preserve">2015 </w:t>
      </w:r>
      <w:r w:rsidRPr="00C901A9">
        <w:t>Consumer Groups Comments at 11</w:t>
      </w:r>
      <w:r>
        <w:t xml:space="preserve">; </w:t>
      </w:r>
      <w:r w:rsidRPr="00BB5E97">
        <w:t xml:space="preserve">2015 </w:t>
      </w:r>
      <w:r w:rsidRPr="00C901A9">
        <w:t>Convo Comments at 8-10 (suggesting</w:t>
      </w:r>
      <w:r>
        <w:t xml:space="preserve">, among other things, </w:t>
      </w:r>
      <w:r w:rsidRPr="00C901A9">
        <w:t>a</w:t>
      </w:r>
      <w:r>
        <w:t>n</w:t>
      </w:r>
      <w:r w:rsidRPr="00C901A9">
        <w:t xml:space="preserve"> examination of the impact that the use of deaf interpreters ha</w:t>
      </w:r>
      <w:r>
        <w:t>s</w:t>
      </w:r>
      <w:r w:rsidRPr="00C901A9">
        <w:t xml:space="preserve"> on the compensation rate); </w:t>
      </w:r>
      <w:r w:rsidRPr="00BB5E97">
        <w:t xml:space="preserve">2015 </w:t>
      </w:r>
      <w:r w:rsidRPr="00C901A9">
        <w:t xml:space="preserve">Purple Comments at 10; </w:t>
      </w:r>
      <w:r w:rsidRPr="00BB5E97">
        <w:t xml:space="preserve">2015 </w:t>
      </w:r>
      <w:r w:rsidRPr="00C901A9">
        <w:t>Sorenson Comments at 13; 2017 Joint VRS Providers Proposal at 12</w:t>
      </w:r>
      <w:r>
        <w:t xml:space="preserve">; </w:t>
      </w:r>
      <w:r w:rsidRPr="00BB5E97">
        <w:t xml:space="preserve">2015 </w:t>
      </w:r>
      <w:r w:rsidRPr="00C901A9">
        <w:t xml:space="preserve">ZVRS Reply Comments at 14.  </w:t>
      </w:r>
      <w:r w:rsidRPr="00C901A9">
        <w:rPr>
          <w:i/>
        </w:rPr>
        <w:t xml:space="preserve">But see </w:t>
      </w:r>
      <w:r w:rsidRPr="00BB5E97">
        <w:t xml:space="preserve">2015 </w:t>
      </w:r>
      <w:r>
        <w:t xml:space="preserve">RID Comments at 10 (urging moving forward without a trial); </w:t>
      </w:r>
      <w:r w:rsidRPr="00BB5E97">
        <w:t xml:space="preserve">2015 </w:t>
      </w:r>
      <w:r>
        <w:t>S</w:t>
      </w:r>
      <w:r w:rsidRPr="00C901A9">
        <w:t xml:space="preserve">orenson Reply </w:t>
      </w:r>
      <w:r w:rsidRPr="00C31296">
        <w:t xml:space="preserve">Comments at </w:t>
      </w:r>
      <w:r>
        <w:t>6</w:t>
      </w:r>
      <w:r w:rsidRPr="00C31296">
        <w:t xml:space="preserve"> (urg</w:t>
      </w:r>
      <w:r>
        <w:t>ing</w:t>
      </w:r>
      <w:r w:rsidRPr="00C31296">
        <w:t xml:space="preserve"> all costs associated with the trial </w:t>
      </w:r>
      <w:r>
        <w:t xml:space="preserve">to </w:t>
      </w:r>
      <w:r w:rsidRPr="00C31296">
        <w:t>be compensated</w:t>
      </w:r>
      <w:r>
        <w:t>)</w:t>
      </w:r>
      <w:r w:rsidRPr="00C31296">
        <w:t xml:space="preserve">.  </w:t>
      </w:r>
      <w:r>
        <w:t xml:space="preserve"> </w:t>
      </w:r>
    </w:p>
  </w:footnote>
  <w:footnote w:id="68">
    <w:p w:rsidR="00134604" w:rsidRDefault="00134604" w:rsidP="00134604">
      <w:pPr>
        <w:pStyle w:val="FootnoteText"/>
      </w:pPr>
      <w:r>
        <w:rPr>
          <w:rStyle w:val="FootnoteReference"/>
        </w:rPr>
        <w:footnoteRef/>
      </w:r>
      <w:r>
        <w:t xml:space="preserve"> </w:t>
      </w:r>
      <w:r w:rsidRPr="00F930E0">
        <w:t>Such notification may be sent by e-mail to TRSreports@fcc.gov.</w:t>
      </w:r>
    </w:p>
  </w:footnote>
  <w:footnote w:id="69">
    <w:p w:rsidR="00134604" w:rsidRDefault="00134604" w:rsidP="00134604">
      <w:pPr>
        <w:pStyle w:val="FootnoteText"/>
      </w:pPr>
      <w:r>
        <w:rPr>
          <w:rStyle w:val="FootnoteReference"/>
        </w:rPr>
        <w:footnoteRef/>
      </w:r>
      <w:r>
        <w:t xml:space="preserve"> </w:t>
      </w:r>
      <w:r w:rsidRPr="00031412">
        <w:rPr>
          <w:i/>
        </w:rPr>
        <w:t>See generally</w:t>
      </w:r>
      <w:r>
        <w:t xml:space="preserve"> </w:t>
      </w:r>
      <w:r w:rsidRPr="00BB5E97">
        <w:t xml:space="preserve">2015 </w:t>
      </w:r>
      <w:r>
        <w:t xml:space="preserve">Convo Comments at 9; </w:t>
      </w:r>
      <w:r w:rsidRPr="00BB5E97">
        <w:t xml:space="preserve">2015 </w:t>
      </w:r>
      <w:r w:rsidRPr="00C901A9">
        <w:t>Sorenson Comments at 13</w:t>
      </w:r>
      <w:r>
        <w:t xml:space="preserve">; </w:t>
      </w:r>
      <w:r w:rsidRPr="00BB5E97">
        <w:t xml:space="preserve">2015 </w:t>
      </w:r>
      <w:r w:rsidRPr="00C901A9">
        <w:t>ZVRS Comments at 16</w:t>
      </w:r>
      <w:r>
        <w:t xml:space="preserve"> (each supporting collection of some of the data sets listed)</w:t>
      </w:r>
      <w:r w:rsidRPr="00C901A9">
        <w:t>.</w:t>
      </w:r>
    </w:p>
  </w:footnote>
  <w:footnote w:id="70">
    <w:p w:rsidR="00134604" w:rsidRDefault="00134604" w:rsidP="00134604">
      <w:pPr>
        <w:pStyle w:val="FootnoteText"/>
      </w:pPr>
      <w:r>
        <w:rPr>
          <w:rStyle w:val="FootnoteReference"/>
        </w:rPr>
        <w:footnoteRef/>
      </w:r>
      <w:r>
        <w:t xml:space="preserve"> Note that this may be a shorter period than the duration of the entire call. </w:t>
      </w:r>
    </w:p>
  </w:footnote>
  <w:footnote w:id="71">
    <w:p w:rsidR="00134604" w:rsidRDefault="00134604" w:rsidP="00134604">
      <w:pPr>
        <w:pStyle w:val="FootnoteText"/>
      </w:pPr>
      <w:r>
        <w:rPr>
          <w:rStyle w:val="FootnoteReference"/>
        </w:rPr>
        <w:footnoteRef/>
      </w:r>
      <w:r>
        <w:t xml:space="preserve"> </w:t>
      </w:r>
      <w:r w:rsidRPr="00350F26">
        <w:t xml:space="preserve">For example, this could occur (1) where no </w:t>
      </w:r>
      <w:r>
        <w:t>deaf interpreter</w:t>
      </w:r>
      <w:r w:rsidRPr="00350F26">
        <w:t xml:space="preserve"> was available at all, (2) where the caller was given a time estimate for the </w:t>
      </w:r>
      <w:r>
        <w:t>availability of a deaf interpreter</w:t>
      </w:r>
      <w:r w:rsidRPr="00350F26">
        <w:t xml:space="preserve"> and changed his or her mind, (3) where the caller was </w:t>
      </w:r>
      <w:r>
        <w:t xml:space="preserve">waiting for a deaf interpreter </w:t>
      </w:r>
      <w:r w:rsidRPr="00350F26">
        <w:t xml:space="preserve">and abandoned the </w:t>
      </w:r>
      <w:r>
        <w:t>request</w:t>
      </w:r>
      <w:r w:rsidRPr="00350F26">
        <w:t xml:space="preserve">, and (4) where the caller asked for a </w:t>
      </w:r>
      <w:r>
        <w:t>deaf interpreter</w:t>
      </w:r>
      <w:r w:rsidRPr="00350F26">
        <w:t xml:space="preserve"> but the nature of the call was deemed ineligible for </w:t>
      </w:r>
      <w:r>
        <w:t>one</w:t>
      </w:r>
      <w:r w:rsidRPr="00350F26">
        <w:t xml:space="preserve">.  </w:t>
      </w:r>
    </w:p>
  </w:footnote>
  <w:footnote w:id="72">
    <w:p w:rsidR="00134604" w:rsidRDefault="00134604" w:rsidP="00134604">
      <w:pPr>
        <w:pStyle w:val="FootnoteText"/>
      </w:pPr>
      <w:r>
        <w:rPr>
          <w:rStyle w:val="FootnoteReference"/>
        </w:rPr>
        <w:footnoteRef/>
      </w:r>
      <w:r>
        <w:t xml:space="preserve"> </w:t>
      </w:r>
      <w:r w:rsidRPr="00214E3D">
        <w:t xml:space="preserve">For example, while some commenters recommend that these interpreters be subject to the same qualification requirements as their hearing counterparts </w:t>
      </w:r>
      <w:r>
        <w:t>(</w:t>
      </w:r>
      <w:r w:rsidRPr="00214E3D">
        <w:rPr>
          <w:i/>
        </w:rPr>
        <w:t xml:space="preserve">e.g., </w:t>
      </w:r>
      <w:r w:rsidRPr="00214E3D">
        <w:t>2015 ASL Services Comments at 17-18; 2015 RID Comments at 10 (seeking to ensure that all VRS interpreters have the necessary “knowledge, skills and abilities”)</w:t>
      </w:r>
      <w:r>
        <w:t>)</w:t>
      </w:r>
      <w:r w:rsidRPr="00214E3D">
        <w:t xml:space="preserve">, others suggest that the short supply of skilled deaf interpreters would make rigid qualification requirements difficult to meet </w:t>
      </w:r>
      <w:r>
        <w:t>(</w:t>
      </w:r>
      <w:r w:rsidRPr="00214E3D">
        <w:t>2015 Sorenson Comments at 14-15</w:t>
      </w:r>
      <w:r>
        <w:t>)</w:t>
      </w:r>
      <w:r w:rsidRPr="00214E3D">
        <w:t>.</w:t>
      </w:r>
      <w:r>
        <w:t xml:space="preserve">  </w:t>
      </w:r>
      <w:r w:rsidRPr="00214E3D">
        <w:t xml:space="preserve">The report should include any changes in the standards made during the trial.  </w:t>
      </w:r>
    </w:p>
  </w:footnote>
  <w:footnote w:id="73">
    <w:p w:rsidR="00134604" w:rsidRDefault="00134604" w:rsidP="00134604">
      <w:pPr>
        <w:pStyle w:val="FootnoteText"/>
      </w:pPr>
      <w:r>
        <w:rPr>
          <w:rStyle w:val="FootnoteReference"/>
        </w:rPr>
        <w:footnoteRef/>
      </w:r>
      <w:r>
        <w:t xml:space="preserve"> </w:t>
      </w:r>
      <w:r w:rsidRPr="00EF4536">
        <w:rPr>
          <w:i/>
        </w:rPr>
        <w:t>See</w:t>
      </w:r>
      <w:r>
        <w:t xml:space="preserve"> </w:t>
      </w:r>
      <w:r w:rsidRPr="00BB5E97">
        <w:t xml:space="preserve">2015 </w:t>
      </w:r>
      <w:r>
        <w:t xml:space="preserve">ASL Services </w:t>
      </w:r>
      <w:r w:rsidRPr="00C901A9">
        <w:t>Comments at 17</w:t>
      </w:r>
      <w:r>
        <w:t xml:space="preserve">; </w:t>
      </w:r>
      <w:r w:rsidRPr="00BB5E97">
        <w:t xml:space="preserve">2015 </w:t>
      </w:r>
      <w:r w:rsidRPr="00C901A9">
        <w:t>Sorenson Comments at 16</w:t>
      </w:r>
      <w:r>
        <w:t xml:space="preserve">; </w:t>
      </w:r>
      <w:r w:rsidRPr="00BB5E97">
        <w:t xml:space="preserve">2015 </w:t>
      </w:r>
      <w:r w:rsidRPr="00C901A9">
        <w:t xml:space="preserve">Convo Comments at 9; </w:t>
      </w:r>
      <w:r w:rsidRPr="00BB5E97">
        <w:t xml:space="preserve">2015 </w:t>
      </w:r>
      <w:r w:rsidRPr="00C901A9">
        <w:t>RID Comments at 10 (urging that deaf interpreters be compensated appropriately).</w:t>
      </w:r>
    </w:p>
  </w:footnote>
  <w:footnote w:id="74">
    <w:p w:rsidR="00134604" w:rsidRPr="002621BF" w:rsidRDefault="00134604" w:rsidP="00134604">
      <w:pPr>
        <w:pStyle w:val="FootnoteText"/>
      </w:pPr>
      <w:r w:rsidRPr="002621BF">
        <w:rPr>
          <w:rStyle w:val="FootnoteReference"/>
        </w:rPr>
        <w:footnoteRef/>
      </w:r>
      <w:r w:rsidRPr="002621BF">
        <w:t xml:space="preserve"> </w:t>
      </w:r>
      <w:r w:rsidRPr="005808FB">
        <w:rPr>
          <w:i/>
        </w:rPr>
        <w:t>See generally</w:t>
      </w:r>
      <w:r>
        <w:t xml:space="preserve"> </w:t>
      </w:r>
      <w:r w:rsidRPr="00BB5E97">
        <w:t xml:space="preserve">2015 </w:t>
      </w:r>
      <w:r w:rsidRPr="002621BF">
        <w:t>ZVRS Comments at 16.</w:t>
      </w:r>
    </w:p>
  </w:footnote>
  <w:footnote w:id="75">
    <w:p w:rsidR="00134604" w:rsidRDefault="00134604" w:rsidP="00134604">
      <w:pPr>
        <w:pStyle w:val="FootnoteText"/>
      </w:pPr>
      <w:r>
        <w:rPr>
          <w:rStyle w:val="FootnoteReference"/>
        </w:rPr>
        <w:footnoteRef/>
      </w:r>
      <w:r>
        <w:t xml:space="preserve"> </w:t>
      </w:r>
      <w:r w:rsidRPr="003E2C40">
        <w:rPr>
          <w:i/>
        </w:rPr>
        <w:t>Cf</w:t>
      </w:r>
      <w:r>
        <w:t>. 47 CFR § 64.604(c)(5)(iii)(D)(</w:t>
      </w:r>
      <w:r w:rsidRPr="00F97D1E">
        <w:rPr>
          <w:i/>
        </w:rPr>
        <w:t>6</w:t>
      </w:r>
      <w:r>
        <w:t xml:space="preserve">).  </w:t>
      </w:r>
    </w:p>
  </w:footnote>
  <w:footnote w:id="76">
    <w:p w:rsidR="00134604" w:rsidRDefault="00134604" w:rsidP="00134604">
      <w:pPr>
        <w:pStyle w:val="FootnoteText"/>
      </w:pPr>
      <w:r>
        <w:rPr>
          <w:rStyle w:val="FootnoteReference"/>
        </w:rPr>
        <w:footnoteRef/>
      </w:r>
      <w:r>
        <w:t xml:space="preserve"> 47 CFR § 64.604(a)(2); </w:t>
      </w:r>
      <w:r w:rsidRPr="00570216">
        <w:rPr>
          <w:i/>
        </w:rPr>
        <w:t>see</w:t>
      </w:r>
      <w:r>
        <w:t xml:space="preserve"> </w:t>
      </w:r>
      <w:r w:rsidRPr="00BB5E97">
        <w:t xml:space="preserve">2015 </w:t>
      </w:r>
      <w:r>
        <w:t>Convo Comments at 10 (raising concerns about the confidentiality of information collected during the trial).</w:t>
      </w:r>
    </w:p>
  </w:footnote>
  <w:footnote w:id="77">
    <w:p w:rsidR="00134604" w:rsidRPr="006477C1" w:rsidRDefault="00134604" w:rsidP="00134604">
      <w:pPr>
        <w:pStyle w:val="FootnoteText"/>
      </w:pPr>
      <w:r w:rsidRPr="006477C1">
        <w:rPr>
          <w:rStyle w:val="FootnoteReference"/>
        </w:rPr>
        <w:footnoteRef/>
      </w:r>
      <w:r w:rsidRPr="006477C1">
        <w:t xml:space="preserve"> </w:t>
      </w:r>
      <w:r w:rsidRPr="00422393">
        <w:rPr>
          <w:i/>
        </w:rPr>
        <w:t>See generally</w:t>
      </w:r>
      <w:r>
        <w:t xml:space="preserve"> </w:t>
      </w:r>
      <w:r w:rsidRPr="006477C1">
        <w:t>2015 Sorenson Reply Comments at 9</w:t>
      </w:r>
      <w:r>
        <w:t xml:space="preserve"> (suggesting that the Commission work with providers to develop more specific data collection criteria).</w:t>
      </w:r>
    </w:p>
  </w:footnote>
  <w:footnote w:id="78">
    <w:p w:rsidR="00134604" w:rsidRPr="002621BF" w:rsidRDefault="00134604" w:rsidP="00134604">
      <w:pPr>
        <w:pStyle w:val="FootnoteText"/>
      </w:pPr>
      <w:r w:rsidRPr="002621BF">
        <w:rPr>
          <w:rStyle w:val="FootnoteReference"/>
        </w:rPr>
        <w:footnoteRef/>
      </w:r>
      <w:r w:rsidRPr="002621BF">
        <w:t xml:space="preserve"> </w:t>
      </w:r>
      <w:r w:rsidRPr="00FD5FEB">
        <w:rPr>
          <w:i/>
        </w:rPr>
        <w:t>See</w:t>
      </w:r>
      <w:r>
        <w:t xml:space="preserve"> </w:t>
      </w:r>
      <w:r w:rsidRPr="00EF0410">
        <w:rPr>
          <w:i/>
        </w:rPr>
        <w:t>id</w:t>
      </w:r>
      <w:r>
        <w:t>.</w:t>
      </w:r>
      <w:r w:rsidRPr="002621BF">
        <w:t xml:space="preserve"> at 7.</w:t>
      </w:r>
    </w:p>
  </w:footnote>
  <w:footnote w:id="79">
    <w:p w:rsidR="00134604" w:rsidRPr="002621BF" w:rsidRDefault="00134604" w:rsidP="00134604">
      <w:pPr>
        <w:pStyle w:val="FootnoteText"/>
      </w:pPr>
      <w:r w:rsidRPr="002621BF">
        <w:rPr>
          <w:rStyle w:val="FootnoteReference"/>
        </w:rPr>
        <w:footnoteRef/>
      </w:r>
      <w:r w:rsidRPr="002621BF">
        <w:t xml:space="preserve"> </w:t>
      </w:r>
      <w:r w:rsidRPr="00BB5E97">
        <w:t xml:space="preserve">2015 </w:t>
      </w:r>
      <w:r w:rsidRPr="002621BF">
        <w:t xml:space="preserve">Sorenson Comments at 15 (explaining that a requirement to have deaf interpreters at every location would be inefficient and may not be possible); </w:t>
      </w:r>
      <w:r w:rsidRPr="00BB5E97">
        <w:t xml:space="preserve">2015 </w:t>
      </w:r>
      <w:r w:rsidRPr="002621BF">
        <w:t xml:space="preserve">ZVRS Comments at 16; </w:t>
      </w:r>
      <w:r w:rsidRPr="00BB5E97">
        <w:t xml:space="preserve">2015 </w:t>
      </w:r>
      <w:r w:rsidRPr="002621BF">
        <w:t xml:space="preserve">Convo Comments at 9-10; </w:t>
      </w:r>
      <w:r w:rsidRPr="00BB5E97">
        <w:t xml:space="preserve">2015 </w:t>
      </w:r>
      <w:r w:rsidRPr="002621BF">
        <w:t>Purple Comments at 10.</w:t>
      </w:r>
      <w:r w:rsidRPr="001E4CC2">
        <w:rPr>
          <w:snapToGrid w:val="0"/>
          <w:kern w:val="28"/>
          <w:sz w:val="22"/>
        </w:rPr>
        <w:t xml:space="preserve"> </w:t>
      </w:r>
      <w:r>
        <w:t xml:space="preserve"> </w:t>
      </w:r>
    </w:p>
  </w:footnote>
  <w:footnote w:id="80">
    <w:p w:rsidR="00134604" w:rsidRDefault="00134604" w:rsidP="00134604">
      <w:pPr>
        <w:pStyle w:val="FootnoteText"/>
      </w:pPr>
      <w:r>
        <w:rPr>
          <w:rStyle w:val="FootnoteReference"/>
        </w:rPr>
        <w:footnoteRef/>
      </w:r>
      <w:r>
        <w:t xml:space="preserve"> </w:t>
      </w:r>
      <w:r w:rsidRPr="004A539E">
        <w:rPr>
          <w:i/>
        </w:rPr>
        <w:t>See</w:t>
      </w:r>
      <w:r>
        <w:t xml:space="preserve"> </w:t>
      </w:r>
      <w:r w:rsidRPr="004A539E">
        <w:t>2015 Sorenson Comments at 15</w:t>
      </w:r>
      <w:r>
        <w:t xml:space="preserve"> (stating that “[w]</w:t>
      </w:r>
      <w:r w:rsidRPr="004A539E">
        <w:t>hen the need for a deaf interpreter is identified</w:t>
      </w:r>
      <w:r>
        <w:t xml:space="preserve"> during the course of the call, </w:t>
      </w:r>
      <w:r w:rsidRPr="004A539E">
        <w:t>the Commission should look only to the speed at which the call was initially answered</w:t>
      </w:r>
      <w:r>
        <w:t xml:space="preserve">”).  Similarly, we do not anticipate any issues arising regarding the ten-minute rule or the sequential answer rule, because the hearing CA’s ability to continue assisting a caller will not be affected by whether a deaf interpreter continues to be needed.  </w:t>
      </w:r>
      <w:r w:rsidRPr="004A539E">
        <w:rPr>
          <w:i/>
        </w:rPr>
        <w:t>See supra</w:t>
      </w:r>
      <w:r>
        <w:t xml:space="preserve"> paras. 13-14.</w:t>
      </w:r>
    </w:p>
  </w:footnote>
  <w:footnote w:id="81">
    <w:p w:rsidR="00134604" w:rsidRDefault="00134604" w:rsidP="00134604">
      <w:pPr>
        <w:pStyle w:val="FootnoteText"/>
      </w:pPr>
      <w:r>
        <w:rPr>
          <w:rStyle w:val="FootnoteReference"/>
        </w:rPr>
        <w:footnoteRef/>
      </w:r>
      <w:r>
        <w:t xml:space="preserve"> </w:t>
      </w:r>
      <w:r w:rsidRPr="004A539E">
        <w:rPr>
          <w:i/>
        </w:rPr>
        <w:t>See supra</w:t>
      </w:r>
      <w:r>
        <w:t xml:space="preserve"> paras. 10-12.</w:t>
      </w:r>
      <w:r w:rsidRPr="003F56ED">
        <w:rPr>
          <w:snapToGrid w:val="0"/>
          <w:kern w:val="28"/>
          <w:sz w:val="22"/>
        </w:rPr>
        <w:t xml:space="preserve"> </w:t>
      </w:r>
      <w:r>
        <w:rPr>
          <w:snapToGrid w:val="0"/>
          <w:kern w:val="28"/>
          <w:sz w:val="22"/>
        </w:rPr>
        <w:t xml:space="preserve"> </w:t>
      </w:r>
      <w:r w:rsidRPr="003F56ED">
        <w:t xml:space="preserve">As </w:t>
      </w:r>
      <w:r>
        <w:t>with skills-based routing</w:t>
      </w:r>
      <w:r w:rsidRPr="003F56ED">
        <w:t xml:space="preserve">, we are persuaded that </w:t>
      </w:r>
      <w:r>
        <w:t>the appropriate use of deaf interpreters on some</w:t>
      </w:r>
      <w:r w:rsidRPr="003F56ED">
        <w:t xml:space="preserve"> VRS calls may contribute to functional equivalence and increase the efficiency of VRS.  We conclude that, to enable the Commission to gather data on the costs and benefits of </w:t>
      </w:r>
      <w:r>
        <w:t>deaf interpreters</w:t>
      </w:r>
      <w:r w:rsidRPr="003F56ED">
        <w:t xml:space="preserve"> and </w:t>
      </w:r>
      <w:r>
        <w:t xml:space="preserve">to </w:t>
      </w:r>
      <w:r w:rsidRPr="003F56ED">
        <w:t xml:space="preserve">develop informed rules governing this practice, it will serve the public interest to conditionally waive </w:t>
      </w:r>
      <w:r>
        <w:t>answer-in-the-order-received and speed-of-answer rules under the conditions described above</w:t>
      </w:r>
      <w:r w:rsidRPr="003F56ED">
        <w:t xml:space="preserve">, for the duration of the trial.  </w:t>
      </w:r>
    </w:p>
  </w:footnote>
  <w:footnote w:id="82">
    <w:p w:rsidR="00134604" w:rsidRPr="002621BF" w:rsidRDefault="00134604" w:rsidP="00134604">
      <w:pPr>
        <w:pStyle w:val="FootnoteText"/>
      </w:pPr>
      <w:r w:rsidRPr="002621BF">
        <w:rPr>
          <w:rStyle w:val="FootnoteReference"/>
        </w:rPr>
        <w:footnoteRef/>
      </w:r>
      <w:r w:rsidRPr="002621BF">
        <w:t xml:space="preserve"> </w:t>
      </w:r>
      <w:r w:rsidRPr="00752A55">
        <w:rPr>
          <w:i/>
        </w:rPr>
        <w:t xml:space="preserve">See </w:t>
      </w:r>
      <w:r w:rsidRPr="00BB5E97">
        <w:t xml:space="preserve">2015 </w:t>
      </w:r>
      <w:r w:rsidRPr="002621BF">
        <w:t>ZVRS Comments at 16.</w:t>
      </w:r>
      <w:r>
        <w:t xml:space="preserve">  Where a deaf interpreter is not requested, but is deemed necessary by the provider or CA, the call may not be interrupted to wait for a deaf interpreter without the consumer’s consent, and any delay in connecting a call due to the unavailability of a deaf interpreter will count as waiting time for speed-of-answer purposes.  Of course, </w:t>
      </w:r>
      <w:r w:rsidRPr="003E3456">
        <w:t xml:space="preserve">emergency calls to 911 services </w:t>
      </w:r>
      <w:r>
        <w:t xml:space="preserve">must </w:t>
      </w:r>
      <w:r w:rsidRPr="003E3456">
        <w:t xml:space="preserve">continue to receive priority over other VRS calls, and </w:t>
      </w:r>
      <w:r>
        <w:t xml:space="preserve">must always be </w:t>
      </w:r>
      <w:r w:rsidRPr="003E3456">
        <w:t>placed</w:t>
      </w:r>
      <w:r>
        <w:t xml:space="preserve"> immediately regardless of any request or need for a deaf interpreter</w:t>
      </w:r>
      <w:r w:rsidRPr="003E3456">
        <w:t>.</w:t>
      </w:r>
      <w:r>
        <w:t xml:space="preserve">  </w:t>
      </w:r>
      <w:r w:rsidRPr="00F50C53">
        <w:rPr>
          <w:i/>
        </w:rPr>
        <w:t xml:space="preserve">See </w:t>
      </w:r>
      <w:r w:rsidRPr="00F50C53">
        <w:t>2015 Convo Comments at 9.</w:t>
      </w:r>
    </w:p>
  </w:footnote>
  <w:footnote w:id="83">
    <w:p w:rsidR="00134604" w:rsidRPr="00826DE5" w:rsidRDefault="00134604" w:rsidP="00134604">
      <w:pPr>
        <w:pStyle w:val="FootnoteText"/>
      </w:pPr>
      <w:r w:rsidRPr="002621BF">
        <w:rPr>
          <w:rStyle w:val="FootnoteReference"/>
        </w:rPr>
        <w:footnoteRef/>
      </w:r>
      <w:r w:rsidRPr="002621BF">
        <w:t xml:space="preserve"> 47 CFR § 64.604(b)(2)(iii) (2012).  In the </w:t>
      </w:r>
      <w:r w:rsidRPr="003D01B6">
        <w:rPr>
          <w:i/>
        </w:rPr>
        <w:t xml:space="preserve">2013 </w:t>
      </w:r>
      <w:r w:rsidRPr="002621BF">
        <w:rPr>
          <w:i/>
        </w:rPr>
        <w:t>VRS Reform Order</w:t>
      </w:r>
      <w:r w:rsidRPr="002621BF">
        <w:t>, the Commission amended the VRS speed-of-answer standard, requiring a gradual decrease, starting with a requirement for VRS providers to answer 85 percent of calls in 60 seconds, measured on a daily basis, and moving to a requirement that VRS providers answer 85 percent of calls in 30 seconds, measured</w:t>
      </w:r>
      <w:r w:rsidRPr="00B27AA5">
        <w:t xml:space="preserve"> on a daily basis</w:t>
      </w:r>
      <w:r>
        <w:t xml:space="preserve">.  2013 </w:t>
      </w:r>
      <w:r w:rsidRPr="00826DE5">
        <w:rPr>
          <w:i/>
          <w:iCs/>
        </w:rPr>
        <w:t>VRS Reform Order</w:t>
      </w:r>
      <w:r>
        <w:rPr>
          <w:i/>
          <w:iCs/>
        </w:rPr>
        <w:t xml:space="preserve">, </w:t>
      </w:r>
      <w:r w:rsidRPr="00826DE5">
        <w:t xml:space="preserve">28 FCC Rcd </w:t>
      </w:r>
      <w:r>
        <w:t>at</w:t>
      </w:r>
      <w:r w:rsidRPr="00826DE5">
        <w:t xml:space="preserve"> 8673, para. 141.</w:t>
      </w:r>
      <w:r>
        <w:t xml:space="preserve">  However, those benchmarks were vacated by the U.S. Court of Appeals for the District of Columbia Circuit, after which the prior 80/120 speed-of-answer requirement was reinstated.  </w:t>
      </w:r>
      <w:r w:rsidRPr="00071B5D">
        <w:rPr>
          <w:i/>
        </w:rPr>
        <w:t>See</w:t>
      </w:r>
      <w:r w:rsidRPr="00826DE5">
        <w:rPr>
          <w:i/>
        </w:rPr>
        <w:t xml:space="preserve"> Sorenson</w:t>
      </w:r>
      <w:r w:rsidRPr="00826DE5">
        <w:t>, 765 F.3d at 51-52</w:t>
      </w:r>
      <w:r>
        <w:t>.</w:t>
      </w:r>
    </w:p>
  </w:footnote>
  <w:footnote w:id="84">
    <w:p w:rsidR="00134604" w:rsidRPr="00371513" w:rsidRDefault="00134604" w:rsidP="00134604">
      <w:pPr>
        <w:pStyle w:val="FootnoteText"/>
      </w:pPr>
      <w:r>
        <w:rPr>
          <w:rStyle w:val="FootnoteReference"/>
        </w:rPr>
        <w:footnoteRef/>
      </w:r>
      <w:r>
        <w:t xml:space="preserve"> </w:t>
      </w:r>
      <w:r w:rsidRPr="00EF0410">
        <w:rPr>
          <w:i/>
        </w:rPr>
        <w:t>2015 VRS FNPRM</w:t>
      </w:r>
      <w:r w:rsidRPr="00EF0410">
        <w:t>,</w:t>
      </w:r>
      <w:r w:rsidRPr="00EF0410" w:rsidDel="00EF0410">
        <w:rPr>
          <w:i/>
        </w:rPr>
        <w:t xml:space="preserve"> </w:t>
      </w:r>
      <w:r>
        <w:t>30 FCC Rcd at 12987, para. 33.</w:t>
      </w:r>
    </w:p>
  </w:footnote>
  <w:footnote w:id="85">
    <w:p w:rsidR="00134604" w:rsidRPr="00826DE5" w:rsidRDefault="00134604" w:rsidP="00134604">
      <w:pPr>
        <w:pStyle w:val="FootnoteText"/>
      </w:pPr>
      <w:r>
        <w:rPr>
          <w:rStyle w:val="FootnoteReference"/>
        </w:rPr>
        <w:footnoteRef/>
      </w:r>
      <w:r>
        <w:t xml:space="preserve"> 2015 </w:t>
      </w:r>
      <w:r w:rsidRPr="00826DE5">
        <w:t>Consumer Groups Comments at 4.</w:t>
      </w:r>
    </w:p>
  </w:footnote>
  <w:footnote w:id="86">
    <w:p w:rsidR="00134604" w:rsidRPr="00DE1564" w:rsidRDefault="00134604" w:rsidP="00134604">
      <w:pPr>
        <w:pStyle w:val="FootnoteText"/>
      </w:pPr>
      <w:r w:rsidRPr="00DE1564">
        <w:rPr>
          <w:rStyle w:val="FootnoteReference"/>
        </w:rPr>
        <w:footnoteRef/>
      </w:r>
      <w:r w:rsidRPr="00DE1564">
        <w:t xml:space="preserve"> </w:t>
      </w:r>
      <w:r w:rsidRPr="00815C3E">
        <w:rPr>
          <w:i/>
        </w:rPr>
        <w:t>2015 VRS</w:t>
      </w:r>
      <w:r>
        <w:t xml:space="preserve"> </w:t>
      </w:r>
      <w:r w:rsidRPr="00D00DAE">
        <w:rPr>
          <w:i/>
        </w:rPr>
        <w:t>FNPRM</w:t>
      </w:r>
      <w:r w:rsidRPr="00DE1564">
        <w:t>, 30 FCC Rcd at 12988, para. 36.</w:t>
      </w:r>
      <w:r>
        <w:t xml:space="preserve">     </w:t>
      </w:r>
    </w:p>
  </w:footnote>
  <w:footnote w:id="87">
    <w:p w:rsidR="00134604" w:rsidRPr="00826DE5" w:rsidRDefault="00134604" w:rsidP="00134604">
      <w:pPr>
        <w:pStyle w:val="FootnoteText"/>
      </w:pPr>
      <w:r w:rsidRPr="00826DE5">
        <w:rPr>
          <w:rStyle w:val="FootnoteReference"/>
        </w:rPr>
        <w:footnoteRef/>
      </w:r>
      <w:r w:rsidRPr="00826DE5">
        <w:t xml:space="preserve"> </w:t>
      </w:r>
      <w:r w:rsidRPr="00D00DAE">
        <w:rPr>
          <w:i/>
        </w:rPr>
        <w:t>See</w:t>
      </w:r>
      <w:r>
        <w:t xml:space="preserve"> </w:t>
      </w:r>
      <w:r>
        <w:rPr>
          <w:i/>
        </w:rPr>
        <w:t>id.</w:t>
      </w:r>
      <w:r w:rsidRPr="00826DE5">
        <w:t>, para. 34</w:t>
      </w:r>
      <w:r>
        <w:t xml:space="preserve">; </w:t>
      </w:r>
      <w:r w:rsidRPr="00DE4F70">
        <w:t xml:space="preserve">2015 </w:t>
      </w:r>
      <w:r>
        <w:t xml:space="preserve">Purple Comments at 3-4 (conditioning its support for the proposed speed of answer on a rate freeze because of alleged efficiencies that would have to be created in light of declining FCC rates); </w:t>
      </w:r>
      <w:r w:rsidRPr="00DE4F70">
        <w:t xml:space="preserve">2015 </w:t>
      </w:r>
      <w:r w:rsidRPr="00826DE5">
        <w:t>Sorenson Reply Comments at 2-3 (</w:t>
      </w:r>
      <w:r>
        <w:t xml:space="preserve">questioning whether </w:t>
      </w:r>
      <w:r w:rsidRPr="00826DE5">
        <w:t xml:space="preserve">providers can meet </w:t>
      </w:r>
      <w:r>
        <w:t xml:space="preserve">the new standard </w:t>
      </w:r>
      <w:r w:rsidRPr="00826DE5">
        <w:t>if schedule</w:t>
      </w:r>
      <w:r>
        <w:t>d</w:t>
      </w:r>
      <w:r w:rsidRPr="00826DE5">
        <w:t xml:space="preserve"> rates cuts </w:t>
      </w:r>
      <w:r>
        <w:t xml:space="preserve">went </w:t>
      </w:r>
      <w:r w:rsidRPr="00826DE5">
        <w:t>into effect)</w:t>
      </w:r>
      <w:r>
        <w:t xml:space="preserve">; 2015 </w:t>
      </w:r>
      <w:r w:rsidRPr="00826DE5">
        <w:t>Consumer Groups Comments at 6</w:t>
      </w:r>
      <w:r>
        <w:t xml:space="preserve"> (urging higher compensation if costs increase to meet the proposed requirement).</w:t>
      </w:r>
    </w:p>
  </w:footnote>
  <w:footnote w:id="88">
    <w:p w:rsidR="00134604" w:rsidRPr="00DE1564" w:rsidRDefault="00134604" w:rsidP="00134604">
      <w:pPr>
        <w:pStyle w:val="FootnoteText"/>
      </w:pPr>
      <w:r w:rsidRPr="00DE1564">
        <w:rPr>
          <w:rStyle w:val="FootnoteReference"/>
        </w:rPr>
        <w:footnoteRef/>
      </w:r>
      <w:r w:rsidRPr="00DE1564">
        <w:t xml:space="preserve"> </w:t>
      </w:r>
      <w:r>
        <w:t xml:space="preserve">2015 </w:t>
      </w:r>
      <w:r w:rsidRPr="00DE1564">
        <w:t>Joint VRS Providers Proposal at 2-3</w:t>
      </w:r>
      <w:r>
        <w:t xml:space="preserve"> (adding that unrealistic speed-of-answer requirements create a stressful work environment, which increases interpreter turnover, and lowers the quality of interpreting); </w:t>
      </w:r>
      <w:r w:rsidRPr="007C1276">
        <w:rPr>
          <w:i/>
        </w:rPr>
        <w:t>see also</w:t>
      </w:r>
      <w:r>
        <w:rPr>
          <w:i/>
        </w:rPr>
        <w:t xml:space="preserve"> </w:t>
      </w:r>
      <w:r>
        <w:t>2017 Joint VRS Providers Proposal at 13.</w:t>
      </w:r>
    </w:p>
  </w:footnote>
  <w:footnote w:id="89">
    <w:p w:rsidR="00134604" w:rsidRDefault="00134604" w:rsidP="00134604">
      <w:pPr>
        <w:pStyle w:val="FootnoteText"/>
      </w:pPr>
      <w:r>
        <w:rPr>
          <w:rStyle w:val="FootnoteReference"/>
        </w:rPr>
        <w:footnoteRef/>
      </w:r>
      <w:r>
        <w:t xml:space="preserve"> 2017 Joint VRS Providers Proposal at 13.</w:t>
      </w:r>
    </w:p>
  </w:footnote>
  <w:footnote w:id="90">
    <w:p w:rsidR="00134604" w:rsidRDefault="00134604" w:rsidP="00134604">
      <w:pPr>
        <w:pStyle w:val="FootnoteText"/>
      </w:pPr>
      <w:r w:rsidRPr="00826DE5">
        <w:rPr>
          <w:rStyle w:val="FootnoteReference"/>
        </w:rPr>
        <w:footnoteRef/>
      </w:r>
      <w:r w:rsidRPr="00826DE5">
        <w:t xml:space="preserve"> </w:t>
      </w:r>
      <w:r>
        <w:t xml:space="preserve">2015 </w:t>
      </w:r>
      <w:r w:rsidRPr="00826DE5">
        <w:t>RID Comments at 7</w:t>
      </w:r>
      <w:r>
        <w:t>-8 (suggesting that research and development funds be allocated to assess the impact of the proposal on effective communication)</w:t>
      </w:r>
      <w:r w:rsidRPr="00826DE5">
        <w:t xml:space="preserve">; </w:t>
      </w:r>
      <w:r w:rsidRPr="00826DE5">
        <w:rPr>
          <w:i/>
        </w:rPr>
        <w:t>see also</w:t>
      </w:r>
      <w:r w:rsidRPr="00826DE5">
        <w:t xml:space="preserve"> </w:t>
      </w:r>
      <w:r>
        <w:t xml:space="preserve">2015 </w:t>
      </w:r>
      <w:r w:rsidRPr="00826DE5">
        <w:t xml:space="preserve">Spencer Comments at 1 (expressing concern that the lower </w:t>
      </w:r>
      <w:r>
        <w:t xml:space="preserve">speed of answer could </w:t>
      </w:r>
      <w:r w:rsidRPr="00826DE5">
        <w:t>increas</w:t>
      </w:r>
      <w:r>
        <w:t xml:space="preserve">e </w:t>
      </w:r>
      <w:r w:rsidRPr="00826DE5">
        <w:t>the</w:t>
      </w:r>
      <w:r>
        <w:t xml:space="preserve"> work load of interpreters, thereby “negatively impacting the consumer’s experience”); 2015 Video Relay Services Consumer Association (</w:t>
      </w:r>
      <w:r w:rsidRPr="00826DE5">
        <w:t>VRSCA</w:t>
      </w:r>
      <w:r>
        <w:t xml:space="preserve">) </w:t>
      </w:r>
      <w:r w:rsidRPr="00826DE5">
        <w:t>Reply Comments at 2 (agreeing with Consumer Groups and RID)</w:t>
      </w:r>
      <w:r>
        <w:t xml:space="preserve">.  </w:t>
      </w:r>
    </w:p>
  </w:footnote>
  <w:footnote w:id="91">
    <w:p w:rsidR="00134604" w:rsidRDefault="00134604" w:rsidP="00134604">
      <w:pPr>
        <w:pStyle w:val="FootnoteText"/>
      </w:pPr>
      <w:r>
        <w:rPr>
          <w:rStyle w:val="FootnoteReference"/>
        </w:rPr>
        <w:footnoteRef/>
      </w:r>
      <w:r>
        <w:t xml:space="preserve"> The record also supports continuing to determine the speed of answer on a monthly basis.  </w:t>
      </w:r>
      <w:r w:rsidRPr="00D00DAE">
        <w:rPr>
          <w:i/>
        </w:rPr>
        <w:t>2015</w:t>
      </w:r>
      <w:r>
        <w:rPr>
          <w:i/>
        </w:rPr>
        <w:t xml:space="preserve"> VRS</w:t>
      </w:r>
      <w:r w:rsidRPr="00D00DAE">
        <w:rPr>
          <w:i/>
        </w:rPr>
        <w:t xml:space="preserve"> FNPRM</w:t>
      </w:r>
      <w:r w:rsidRPr="00826DE5">
        <w:t>, 30 FCC Rcd at 12988, para. 35.</w:t>
      </w:r>
      <w:r>
        <w:t xml:space="preserve">  For example, </w:t>
      </w:r>
      <w:r w:rsidRPr="00826DE5">
        <w:t xml:space="preserve">Purple notes that </w:t>
      </w:r>
      <w:r>
        <w:t xml:space="preserve">this approach “mitigates fluctuations that could result from periods of extended power or Internet outages, weather problems, and erratic demand patterns (spikes).”  2015 </w:t>
      </w:r>
      <w:r w:rsidRPr="00826DE5">
        <w:t>Purple Comments at 4-5 (</w:t>
      </w:r>
      <w:r w:rsidRPr="00DE4F70">
        <w:rPr>
          <w:i/>
        </w:rPr>
        <w:t>citing</w:t>
      </w:r>
      <w:r>
        <w:t xml:space="preserve"> 2015</w:t>
      </w:r>
      <w:r w:rsidRPr="00826DE5">
        <w:t xml:space="preserve"> Joint VRS Providers Proposal at 3)</w:t>
      </w:r>
      <w:r>
        <w:t xml:space="preserve">; </w:t>
      </w:r>
      <w:r w:rsidRPr="00A87D74">
        <w:rPr>
          <w:i/>
        </w:rPr>
        <w:t>see also</w:t>
      </w:r>
      <w:r>
        <w:t xml:space="preserve"> 2015 </w:t>
      </w:r>
      <w:r w:rsidRPr="00826DE5">
        <w:t>ASL</w:t>
      </w:r>
      <w:r>
        <w:t xml:space="preserve"> Services </w:t>
      </w:r>
      <w:r w:rsidRPr="00826DE5">
        <w:t xml:space="preserve">Comments at 2-3; </w:t>
      </w:r>
      <w:r>
        <w:t xml:space="preserve">2015 </w:t>
      </w:r>
      <w:r w:rsidRPr="00826DE5">
        <w:t>ZVRS Comments at 8</w:t>
      </w:r>
      <w:r>
        <w:t xml:space="preserve"> (explaining that having to meet a daily requirement would require providers to staff at peak levels, which in turn would increase costs and create inefficiencies)</w:t>
      </w:r>
      <w:r w:rsidRPr="00826DE5">
        <w:t xml:space="preserve">; </w:t>
      </w:r>
      <w:r>
        <w:t xml:space="preserve">2015 </w:t>
      </w:r>
      <w:r w:rsidRPr="00826DE5">
        <w:t xml:space="preserve">Sorenson Comments at 4 (noting that a monthly calculation allows providers to account for spikes in demand); </w:t>
      </w:r>
      <w:r>
        <w:t xml:space="preserve">2015 </w:t>
      </w:r>
      <w:r w:rsidRPr="00826DE5">
        <w:t>Consumer Groups Comments at 5</w:t>
      </w:r>
      <w:r>
        <w:t>.  We agree that because demand fluctuates, it may be counterproductive to require the target speed of answer to be obtained each day.  Thus we do not revise this aspect of the speed of answer in this proceeding.</w:t>
      </w:r>
    </w:p>
  </w:footnote>
  <w:footnote w:id="92">
    <w:p w:rsidR="00134604" w:rsidRPr="00CF5E24" w:rsidRDefault="00134604" w:rsidP="00134604">
      <w:pPr>
        <w:pStyle w:val="FootnoteText"/>
      </w:pPr>
      <w:r w:rsidRPr="00F45417">
        <w:rPr>
          <w:rStyle w:val="FootnoteReference"/>
        </w:rPr>
        <w:footnoteRef/>
      </w:r>
      <w:r w:rsidRPr="00F45417">
        <w:t xml:space="preserve"> </w:t>
      </w:r>
      <w:r w:rsidRPr="00D00DAE">
        <w:rPr>
          <w:i/>
        </w:rPr>
        <w:t xml:space="preserve">2015 </w:t>
      </w:r>
      <w:r>
        <w:rPr>
          <w:i/>
        </w:rPr>
        <w:t xml:space="preserve">VRS </w:t>
      </w:r>
      <w:r w:rsidRPr="00D00DAE">
        <w:rPr>
          <w:i/>
        </w:rPr>
        <w:t>FNPRM</w:t>
      </w:r>
      <w:r>
        <w:t xml:space="preserve">, 30 FCC Rcd at 12986, para. 32; </w:t>
      </w:r>
      <w:r w:rsidRPr="004C3FAF">
        <w:rPr>
          <w:i/>
        </w:rPr>
        <w:t>2013 VRS Reform Order</w:t>
      </w:r>
      <w:r>
        <w:t xml:space="preserve">, 28 FCC Rcd at </w:t>
      </w:r>
      <w:r w:rsidRPr="00D1285E">
        <w:t>8</w:t>
      </w:r>
      <w:r>
        <w:t>671, para.</w:t>
      </w:r>
      <w:r w:rsidRPr="00D1285E">
        <w:t xml:space="preserve"> </w:t>
      </w:r>
      <w:r>
        <w:t xml:space="preserve">136; </w:t>
      </w:r>
      <w:r>
        <w:rPr>
          <w:i/>
        </w:rPr>
        <w:t>s</w:t>
      </w:r>
      <w:r w:rsidRPr="00B5114D">
        <w:rPr>
          <w:i/>
        </w:rPr>
        <w:t xml:space="preserve">ee also </w:t>
      </w:r>
      <w:r>
        <w:rPr>
          <w:i/>
        </w:rPr>
        <w:t xml:space="preserve">Telecommunications Relay Services and Speech-to-Speech Services for Individuals with Hearing and Speech Disabilities, </w:t>
      </w:r>
      <w:r w:rsidRPr="001019DA">
        <w:t>Report and Order and Further Notice of Proposed Rulemaking</w:t>
      </w:r>
      <w:r>
        <w:rPr>
          <w:i/>
        </w:rPr>
        <w:t>,</w:t>
      </w:r>
      <w:r w:rsidRPr="00697C53">
        <w:t xml:space="preserve"> 15 FCC Rcd </w:t>
      </w:r>
      <w:r>
        <w:t>5140,</w:t>
      </w:r>
      <w:r w:rsidRPr="00697C53">
        <w:t xml:space="preserve"> 51</w:t>
      </w:r>
      <w:r>
        <w:t>65-</w:t>
      </w:r>
      <w:r w:rsidRPr="00697C53">
        <w:t>66</w:t>
      </w:r>
      <w:r>
        <w:t>, para.</w:t>
      </w:r>
      <w:r w:rsidRPr="00697C53">
        <w:t xml:space="preserve"> 60</w:t>
      </w:r>
      <w:r w:rsidRPr="00F45417">
        <w:t xml:space="preserve"> </w:t>
      </w:r>
      <w:r>
        <w:t>(2000)</w:t>
      </w:r>
      <w:r w:rsidRPr="00F45417">
        <w:t xml:space="preserve"> </w:t>
      </w:r>
      <w:r>
        <w:t>(</w:t>
      </w:r>
      <w:r w:rsidRPr="00E80635">
        <w:rPr>
          <w:i/>
        </w:rPr>
        <w:t>2000 TRS Order</w:t>
      </w:r>
      <w:r>
        <w:t xml:space="preserve">) </w:t>
      </w:r>
      <w:r w:rsidRPr="00F45417">
        <w:t>(“For a TRS user, reaching a CA to place a relay call is the equivalent of picking up a phone and getting a dial tone.  Any interpretation of our rule that delays a customer’s ability to place a call through the relay center clearly compromises the functional equivalence of relay service</w:t>
      </w:r>
      <w:r>
        <w:t>.</w:t>
      </w:r>
      <w:r w:rsidRPr="00F45417">
        <w:t>”)</w:t>
      </w:r>
      <w:r>
        <w:t xml:space="preserve">; </w:t>
      </w:r>
      <w:r w:rsidRPr="00EF0410">
        <w:rPr>
          <w:i/>
        </w:rPr>
        <w:t>id</w:t>
      </w:r>
      <w:r>
        <w:t>. at</w:t>
      </w:r>
      <w:r w:rsidRPr="00F45417">
        <w:t xml:space="preserve"> </w:t>
      </w:r>
      <w:r w:rsidRPr="00CF5E24">
        <w:t>516</w:t>
      </w:r>
      <w:r>
        <w:t>6</w:t>
      </w:r>
      <w:r w:rsidRPr="00CF5E24">
        <w:t>, para. 63 (“Just like voice calls, TRS calls should be answered within a reasonable time period, regardless of the traffic load.”).</w:t>
      </w:r>
    </w:p>
  </w:footnote>
  <w:footnote w:id="93">
    <w:p w:rsidR="00134604" w:rsidRDefault="00134604" w:rsidP="00134604">
      <w:pPr>
        <w:pStyle w:val="FootnoteText"/>
      </w:pPr>
      <w:r>
        <w:rPr>
          <w:rStyle w:val="FootnoteReference"/>
        </w:rPr>
        <w:footnoteRef/>
      </w:r>
      <w:r>
        <w:t xml:space="preserve"> </w:t>
      </w:r>
      <w:r w:rsidRPr="005F70E0">
        <w:rPr>
          <w:i/>
          <w:iCs/>
        </w:rPr>
        <w:t>See</w:t>
      </w:r>
      <w:r w:rsidRPr="005F70E0">
        <w:t xml:space="preserve"> </w:t>
      </w:r>
      <w:r w:rsidRPr="005F70E0">
        <w:rPr>
          <w:i/>
        </w:rPr>
        <w:t>2004 TRS R&amp;O,</w:t>
      </w:r>
      <w:r w:rsidRPr="005F70E0">
        <w:t xml:space="preserve"> 19 FCC Rcd at 12523, para. 121 (noting that “competition should provide incentive for VRS providers to answer VRS calls as promptly as possible”).</w:t>
      </w:r>
    </w:p>
  </w:footnote>
  <w:footnote w:id="94">
    <w:p w:rsidR="00134604" w:rsidRPr="007A606E" w:rsidRDefault="00134604" w:rsidP="00134604">
      <w:pPr>
        <w:pStyle w:val="FootnoteText"/>
      </w:pPr>
      <w:r w:rsidRPr="00CE0B43">
        <w:rPr>
          <w:rStyle w:val="FootnoteReference"/>
        </w:rPr>
        <w:footnoteRef/>
      </w:r>
      <w:r w:rsidRPr="00CE0B43">
        <w:t xml:space="preserve"> </w:t>
      </w:r>
      <w:r w:rsidRPr="00CE0B43">
        <w:rPr>
          <w:i/>
        </w:rPr>
        <w:t>2015 VRS FNPRM</w:t>
      </w:r>
      <w:r w:rsidRPr="009D2C6A">
        <w:t>, 30 FCC Rcd at 12989, para. 40.</w:t>
      </w:r>
      <w:r w:rsidRPr="007A606E">
        <w:rPr>
          <w:snapToGrid w:val="0"/>
          <w:kern w:val="28"/>
        </w:rPr>
        <w:t xml:space="preserve">  </w:t>
      </w:r>
      <w:r w:rsidRPr="00CE0B43">
        <w:t xml:space="preserve">To ensure compliance with the Commission’s speed-of-answer rule, providers are required to report data about their speed-of-answer performance in </w:t>
      </w:r>
      <w:r w:rsidRPr="00F57714">
        <w:t>monthly call data reports submitted t</w:t>
      </w:r>
      <w:r w:rsidRPr="007A606E">
        <w:t>o the TRS Fund administrator.  47 CFR § 64.604(c)(5)(iii)(D)(</w:t>
      </w:r>
      <w:r w:rsidRPr="00E87E47">
        <w:rPr>
          <w:i/>
        </w:rPr>
        <w:t>3</w:t>
      </w:r>
      <w:r w:rsidRPr="007A606E">
        <w:t>).</w:t>
      </w:r>
    </w:p>
  </w:footnote>
  <w:footnote w:id="95">
    <w:p w:rsidR="00134604" w:rsidRDefault="00134604" w:rsidP="00134604">
      <w:pPr>
        <w:pStyle w:val="FootnoteText"/>
      </w:pPr>
      <w:r w:rsidRPr="00CE0B43">
        <w:rPr>
          <w:rStyle w:val="FootnoteReference"/>
        </w:rPr>
        <w:footnoteRef/>
      </w:r>
      <w:r w:rsidRPr="00CE0B43">
        <w:t xml:space="preserve"> </w:t>
      </w:r>
      <w:r w:rsidRPr="00CE0B43">
        <w:rPr>
          <w:i/>
        </w:rPr>
        <w:t>2015 VRS</w:t>
      </w:r>
      <w:r w:rsidRPr="002E6511">
        <w:rPr>
          <w:i/>
        </w:rPr>
        <w:t xml:space="preserve"> FNPRM</w:t>
      </w:r>
      <w:r>
        <w:t>, 30 FCC Rcd at 12989, para. 40.</w:t>
      </w:r>
    </w:p>
  </w:footnote>
  <w:footnote w:id="96">
    <w:p w:rsidR="00134604" w:rsidRDefault="00134604" w:rsidP="00134604">
      <w:pPr>
        <w:pStyle w:val="FootnoteText"/>
      </w:pPr>
      <w:r>
        <w:rPr>
          <w:rStyle w:val="FootnoteReference"/>
        </w:rPr>
        <w:footnoteRef/>
      </w:r>
      <w:r>
        <w:t xml:space="preserve"> 2015 Consumer Groups Comments at 6.</w:t>
      </w:r>
    </w:p>
  </w:footnote>
  <w:footnote w:id="97">
    <w:p w:rsidR="00134604" w:rsidRDefault="00134604" w:rsidP="00134604">
      <w:pPr>
        <w:pStyle w:val="FootnoteText"/>
      </w:pPr>
      <w:r>
        <w:rPr>
          <w:rStyle w:val="FootnoteReference"/>
        </w:rPr>
        <w:footnoteRef/>
      </w:r>
      <w:r>
        <w:t xml:space="preserve"> </w:t>
      </w:r>
      <w:r>
        <w:rPr>
          <w:i/>
        </w:rPr>
        <w:t>Id</w:t>
      </w:r>
      <w:r>
        <w:t>. at 6.</w:t>
      </w:r>
    </w:p>
  </w:footnote>
  <w:footnote w:id="98">
    <w:p w:rsidR="00134604" w:rsidRDefault="00134604" w:rsidP="00134604">
      <w:pPr>
        <w:pStyle w:val="FootnoteText"/>
      </w:pPr>
      <w:r>
        <w:rPr>
          <w:rStyle w:val="FootnoteReference"/>
        </w:rPr>
        <w:footnoteRef/>
      </w:r>
      <w:r>
        <w:t xml:space="preserve"> </w:t>
      </w:r>
      <w:r w:rsidRPr="00431BD7">
        <w:t xml:space="preserve">2015 </w:t>
      </w:r>
      <w:r>
        <w:t xml:space="preserve">Sorenson Comments at 7.  Convo also supports transparency and thus does not oppose the publishing of summaries of speed-of-answer performance.  But based on consumer inattention to published complaint logs, Convo questions whether the administrative work of publishing the providers’ speed of answer will lead to a measurable consumer response.  </w:t>
      </w:r>
      <w:r w:rsidRPr="00431BD7">
        <w:t xml:space="preserve">2015 </w:t>
      </w:r>
      <w:r>
        <w:t xml:space="preserve">Convo Comments at 16. </w:t>
      </w:r>
    </w:p>
  </w:footnote>
  <w:footnote w:id="99">
    <w:p w:rsidR="00134604" w:rsidRDefault="00134604" w:rsidP="00134604">
      <w:pPr>
        <w:pStyle w:val="FootnoteText"/>
      </w:pPr>
      <w:r>
        <w:rPr>
          <w:rStyle w:val="FootnoteReference"/>
        </w:rPr>
        <w:footnoteRef/>
      </w:r>
      <w:r>
        <w:t xml:space="preserve"> </w:t>
      </w:r>
      <w:r>
        <w:rPr>
          <w:i/>
          <w:iCs/>
        </w:rPr>
        <w:t>See</w:t>
      </w:r>
      <w:r>
        <w:t xml:space="preserve"> </w:t>
      </w:r>
      <w:r w:rsidRPr="005300FC">
        <w:rPr>
          <w:i/>
        </w:rPr>
        <w:t>generally</w:t>
      </w:r>
      <w:r>
        <w:t xml:space="preserve"> </w:t>
      </w:r>
      <w:r>
        <w:rPr>
          <w:i/>
        </w:rPr>
        <w:t>2004 TRS R&amp;</w:t>
      </w:r>
      <w:r w:rsidRPr="005300FC">
        <w:rPr>
          <w:i/>
        </w:rPr>
        <w:t>O</w:t>
      </w:r>
      <w:r>
        <w:t xml:space="preserve">, 19 FCC Rcd at 12523, para. 121. </w:t>
      </w:r>
    </w:p>
  </w:footnote>
  <w:footnote w:id="100">
    <w:p w:rsidR="00134604" w:rsidRDefault="00134604" w:rsidP="00134604">
      <w:pPr>
        <w:pStyle w:val="FootnoteText"/>
      </w:pPr>
      <w:r>
        <w:rPr>
          <w:rStyle w:val="FootnoteReference"/>
        </w:rPr>
        <w:footnoteRef/>
      </w:r>
      <w:r>
        <w:t xml:space="preserve"> The information published shall not identify individual callers or phone numbers.  Notification of the release of such information shall be made by Public Notice. </w:t>
      </w:r>
    </w:p>
  </w:footnote>
  <w:footnote w:id="101">
    <w:p w:rsidR="00134604" w:rsidRDefault="00134604" w:rsidP="00134604">
      <w:pPr>
        <w:pStyle w:val="FootnoteText"/>
      </w:pPr>
      <w:r>
        <w:rPr>
          <w:rStyle w:val="FootnoteReference"/>
        </w:rPr>
        <w:footnoteRef/>
      </w:r>
      <w:r>
        <w:t xml:space="preserve"> </w:t>
      </w:r>
      <w:r w:rsidRPr="00F70E45">
        <w:rPr>
          <w:i/>
        </w:rPr>
        <w:t>See</w:t>
      </w:r>
      <w:r>
        <w:t xml:space="preserve"> </w:t>
      </w:r>
      <w:r w:rsidRPr="00431BD7">
        <w:t xml:space="preserve">2015 </w:t>
      </w:r>
      <w:r w:rsidRPr="00F70E45">
        <w:t xml:space="preserve">Sorenson Comments at 7.  </w:t>
      </w:r>
    </w:p>
  </w:footnote>
  <w:footnote w:id="102">
    <w:p w:rsidR="00134604" w:rsidRDefault="00134604" w:rsidP="00134604">
      <w:pPr>
        <w:pStyle w:val="FootnoteText"/>
      </w:pPr>
      <w:r>
        <w:rPr>
          <w:rStyle w:val="FootnoteReference"/>
        </w:rPr>
        <w:footnoteRef/>
      </w:r>
      <w:r>
        <w:t xml:space="preserve"> </w:t>
      </w:r>
      <w:r w:rsidRPr="00371513">
        <w:rPr>
          <w:i/>
        </w:rPr>
        <w:t xml:space="preserve">2015 </w:t>
      </w:r>
      <w:r>
        <w:rPr>
          <w:i/>
        </w:rPr>
        <w:t xml:space="preserve">VRS </w:t>
      </w:r>
      <w:r w:rsidRPr="00371513">
        <w:rPr>
          <w:i/>
        </w:rPr>
        <w:t>FN</w:t>
      </w:r>
      <w:r>
        <w:rPr>
          <w:i/>
        </w:rPr>
        <w:t>P</w:t>
      </w:r>
      <w:r w:rsidRPr="00371513">
        <w:rPr>
          <w:i/>
        </w:rPr>
        <w:t>RM</w:t>
      </w:r>
      <w:r>
        <w:t>, 30 FCC Rcd at 12989, para. 42.</w:t>
      </w:r>
    </w:p>
  </w:footnote>
  <w:footnote w:id="103">
    <w:p w:rsidR="00134604" w:rsidRDefault="00134604" w:rsidP="00134604">
      <w:pPr>
        <w:pStyle w:val="FootnoteText"/>
      </w:pPr>
      <w:r>
        <w:rPr>
          <w:rStyle w:val="FootnoteReference"/>
        </w:rPr>
        <w:footnoteRef/>
      </w:r>
      <w:r>
        <w:t xml:space="preserve"> 47 CFR § </w:t>
      </w:r>
      <w:r w:rsidRPr="00DE1564">
        <w:t xml:space="preserve">64.604(b)(2)(iii)(B); </w:t>
      </w:r>
      <w:r w:rsidRPr="00DE1564">
        <w:rPr>
          <w:i/>
        </w:rPr>
        <w:t xml:space="preserve">see also </w:t>
      </w:r>
      <w:r w:rsidRPr="00431BD7">
        <w:t xml:space="preserve">2015 </w:t>
      </w:r>
      <w:r w:rsidRPr="00DE1564">
        <w:t>Sorenson Comments at 3 (supporting</w:t>
      </w:r>
      <w:r>
        <w:t xml:space="preserve"> the current rule).</w:t>
      </w:r>
    </w:p>
  </w:footnote>
  <w:footnote w:id="104">
    <w:p w:rsidR="00134604" w:rsidRPr="00F45417" w:rsidRDefault="00134604" w:rsidP="00134604">
      <w:pPr>
        <w:pStyle w:val="FootnoteText"/>
      </w:pPr>
      <w:r w:rsidRPr="00F45417">
        <w:rPr>
          <w:rStyle w:val="FootnoteReference"/>
        </w:rPr>
        <w:footnoteRef/>
      </w:r>
      <w:r w:rsidRPr="00F45417">
        <w:t xml:space="preserve"> </w:t>
      </w:r>
      <w:r w:rsidRPr="00DC0C9E">
        <w:rPr>
          <w:i/>
        </w:rPr>
        <w:t>Telecommunications Relay Services and Speech-to-Speech Services for Individuals with Hearing and Speech Disabilities</w:t>
      </w:r>
      <w:r w:rsidRPr="00F45417">
        <w:t xml:space="preserve">, </w:t>
      </w:r>
      <w:r>
        <w:t xml:space="preserve">Report and Order, </w:t>
      </w:r>
      <w:r w:rsidRPr="00F45417">
        <w:t xml:space="preserve">20 FCC Rcd </w:t>
      </w:r>
      <w:r>
        <w:t xml:space="preserve">13165, </w:t>
      </w:r>
      <w:r w:rsidRPr="00F45417">
        <w:t>13176</w:t>
      </w:r>
      <w:r>
        <w:t>, para.</w:t>
      </w:r>
      <w:r w:rsidRPr="00F45417">
        <w:t xml:space="preserve"> </w:t>
      </w:r>
      <w:r>
        <w:t>21 (2005) (</w:t>
      </w:r>
      <w:r w:rsidRPr="00086499">
        <w:rPr>
          <w:i/>
        </w:rPr>
        <w:t>2005 VRS Speed-of-Answer Order</w:t>
      </w:r>
      <w:r>
        <w:t>)</w:t>
      </w:r>
      <w:r w:rsidRPr="00F45417">
        <w:t>.</w:t>
      </w:r>
    </w:p>
  </w:footnote>
  <w:footnote w:id="105">
    <w:p w:rsidR="00134604" w:rsidRPr="00DE1564" w:rsidRDefault="00134604" w:rsidP="00134604">
      <w:pPr>
        <w:pStyle w:val="FootnoteText"/>
      </w:pPr>
      <w:r w:rsidRPr="00DE1564">
        <w:rPr>
          <w:rStyle w:val="FootnoteReference"/>
        </w:rPr>
        <w:footnoteRef/>
      </w:r>
      <w:r w:rsidRPr="00DE1564">
        <w:t xml:space="preserve"> </w:t>
      </w:r>
      <w:r w:rsidRPr="00371513">
        <w:rPr>
          <w:i/>
        </w:rPr>
        <w:t xml:space="preserve">2015 </w:t>
      </w:r>
      <w:r>
        <w:rPr>
          <w:i/>
        </w:rPr>
        <w:t xml:space="preserve">VRS </w:t>
      </w:r>
      <w:r w:rsidRPr="00371513">
        <w:rPr>
          <w:i/>
        </w:rPr>
        <w:t>FNPRM</w:t>
      </w:r>
      <w:r w:rsidRPr="00DE1564">
        <w:t>, 30 FCC Rcd at 12990, para. 42; 47 CFR § 64.604(b)(2)(ii) (2015).</w:t>
      </w:r>
    </w:p>
  </w:footnote>
  <w:footnote w:id="106">
    <w:p w:rsidR="00134604" w:rsidRPr="00DE1564" w:rsidRDefault="00134604" w:rsidP="00134604">
      <w:pPr>
        <w:pStyle w:val="FootnoteText"/>
      </w:pPr>
      <w:r w:rsidRPr="00DE1564">
        <w:rPr>
          <w:rStyle w:val="FootnoteReference"/>
        </w:rPr>
        <w:footnoteRef/>
      </w:r>
      <w:r w:rsidRPr="00DE1564">
        <w:t xml:space="preserve"> </w:t>
      </w:r>
      <w:r w:rsidRPr="00371513">
        <w:rPr>
          <w:i/>
        </w:rPr>
        <w:t xml:space="preserve">2015 </w:t>
      </w:r>
      <w:r>
        <w:rPr>
          <w:i/>
        </w:rPr>
        <w:t xml:space="preserve">VRS </w:t>
      </w:r>
      <w:r w:rsidRPr="00371513">
        <w:rPr>
          <w:i/>
        </w:rPr>
        <w:t>FNPRM</w:t>
      </w:r>
      <w:r w:rsidRPr="00DE1564">
        <w:t xml:space="preserve">, 30 FCC Rcd </w:t>
      </w:r>
      <w:r>
        <w:t xml:space="preserve">at </w:t>
      </w:r>
      <w:r w:rsidRPr="00DE1564">
        <w:t xml:space="preserve">12990, para. 42; </w:t>
      </w:r>
      <w:r>
        <w:t xml:space="preserve">FCC DAC, Recommendation of the Subcommittee on Relay and Equipment Distribution, at 2 (May 7, 2015) (DAC Recommendation), </w:t>
      </w:r>
      <w:hyperlink r:id="rId1" w:history="1">
        <w:r w:rsidRPr="003A02F7">
          <w:rPr>
            <w:rStyle w:val="Hyperlink"/>
          </w:rPr>
          <w:t>https://apps.fcc.gov/edocs_public/attachmatch/DOC-334156A1.pdf</w:t>
        </w:r>
      </w:hyperlink>
      <w:r w:rsidRPr="00DE1564">
        <w:t xml:space="preserve">. </w:t>
      </w:r>
    </w:p>
  </w:footnote>
  <w:footnote w:id="107">
    <w:p w:rsidR="00134604" w:rsidRPr="00DE1564" w:rsidRDefault="00134604" w:rsidP="00134604">
      <w:pPr>
        <w:pStyle w:val="FootnoteText"/>
      </w:pPr>
      <w:r w:rsidRPr="00DE1564">
        <w:rPr>
          <w:rStyle w:val="FootnoteReference"/>
        </w:rPr>
        <w:footnoteRef/>
      </w:r>
      <w:r w:rsidRPr="00DE1564">
        <w:t xml:space="preserve"> </w:t>
      </w:r>
      <w:r w:rsidRPr="00431BD7">
        <w:t xml:space="preserve">2015 </w:t>
      </w:r>
      <w:r w:rsidRPr="00DE1564">
        <w:t xml:space="preserve">Sorenson Comments at 3; </w:t>
      </w:r>
      <w:r>
        <w:t xml:space="preserve">2015 </w:t>
      </w:r>
      <w:r w:rsidRPr="00DE1564">
        <w:t xml:space="preserve">Convo Comments at 15-16; </w:t>
      </w:r>
      <w:r>
        <w:t xml:space="preserve">2015 </w:t>
      </w:r>
      <w:r w:rsidRPr="00DE1564">
        <w:t>Consumer Groups Comments at 6-7.</w:t>
      </w:r>
    </w:p>
  </w:footnote>
  <w:footnote w:id="108">
    <w:p w:rsidR="00134604" w:rsidRDefault="00134604" w:rsidP="00134604">
      <w:pPr>
        <w:pStyle w:val="FootnoteText"/>
      </w:pPr>
      <w:r>
        <w:rPr>
          <w:rStyle w:val="FootnoteReference"/>
        </w:rPr>
        <w:footnoteRef/>
      </w:r>
      <w:r>
        <w:t xml:space="preserve"> </w:t>
      </w:r>
      <w:r w:rsidRPr="00DC7855">
        <w:rPr>
          <w:i/>
        </w:rPr>
        <w:t>2015 VRS FNPRM</w:t>
      </w:r>
      <w:r>
        <w:t xml:space="preserve">, 30 FCC Rcd at 12996, para. 62; </w:t>
      </w:r>
      <w:r w:rsidRPr="00DC7855">
        <w:rPr>
          <w:i/>
        </w:rPr>
        <w:t>2013 VRS Reform FNPRM</w:t>
      </w:r>
      <w:r>
        <w:t>, 28 FCC Rcd at 8673, para. 140.</w:t>
      </w:r>
    </w:p>
  </w:footnote>
  <w:footnote w:id="109">
    <w:p w:rsidR="00134604" w:rsidRPr="00DE1564" w:rsidRDefault="00134604" w:rsidP="00134604">
      <w:pPr>
        <w:pStyle w:val="FootnoteText"/>
      </w:pPr>
      <w:r w:rsidRPr="005C4F84">
        <w:rPr>
          <w:rStyle w:val="FootnoteReference"/>
        </w:rPr>
        <w:footnoteRef/>
      </w:r>
      <w:r w:rsidRPr="00FE6C4B">
        <w:rPr>
          <w:i/>
        </w:rPr>
        <w:t xml:space="preserve">  See </w:t>
      </w:r>
      <w:r w:rsidRPr="00FE6C4B">
        <w:t xml:space="preserve">Appendix </w:t>
      </w:r>
      <w:r>
        <w:t>B</w:t>
      </w:r>
      <w:r w:rsidRPr="00DE1564">
        <w:t xml:space="preserve"> </w:t>
      </w:r>
      <w:r>
        <w:t xml:space="preserve">(Final Rules, amending </w:t>
      </w:r>
      <w:r w:rsidRPr="00DE1564">
        <w:t>47 CFR § 64.604(b)(2)(iii)(B)).</w:t>
      </w:r>
      <w:r>
        <w:t xml:space="preserve">  Thus, the current formula for assessing compliance will be amended to explicitly state that the call must be answered by a communications assistant, as follows: [(calls unanswered and disconnected by the caller in 45 seconds or less) + (calls answered by a communications assistant in 45 seconds or less)] divided by [all calls (unanswered and answered)].  We note that the DAC recommended this revision to the formula, and it is not opposed by any party.  </w:t>
      </w:r>
      <w:r w:rsidRPr="00DE1564">
        <w:rPr>
          <w:i/>
        </w:rPr>
        <w:t>See</w:t>
      </w:r>
      <w:r w:rsidRPr="00DE1564">
        <w:t xml:space="preserve"> DAC Recommendation </w:t>
      </w:r>
      <w:r>
        <w:t>at 1</w:t>
      </w:r>
      <w:r w:rsidRPr="00DE1564">
        <w:t xml:space="preserve">; </w:t>
      </w:r>
      <w:r w:rsidRPr="00815C3E">
        <w:rPr>
          <w:i/>
        </w:rPr>
        <w:t>2015 VRS FNPRM</w:t>
      </w:r>
      <w:r w:rsidRPr="00DE1564">
        <w:t>, 30 FCC Rcd at 12987, para. 33</w:t>
      </w:r>
      <w:r>
        <w:t xml:space="preserve"> (seeking comment on this formula).</w:t>
      </w:r>
    </w:p>
  </w:footnote>
  <w:footnote w:id="110">
    <w:p w:rsidR="00134604" w:rsidRDefault="00134604" w:rsidP="00134604">
      <w:pPr>
        <w:pStyle w:val="FootnoteText"/>
      </w:pPr>
      <w:r>
        <w:rPr>
          <w:rStyle w:val="FootnoteReference"/>
        </w:rPr>
        <w:footnoteRef/>
      </w:r>
      <w:r>
        <w:t xml:space="preserve"> </w:t>
      </w:r>
      <w:r w:rsidRPr="00371513">
        <w:rPr>
          <w:i/>
        </w:rPr>
        <w:t xml:space="preserve">2015 </w:t>
      </w:r>
      <w:r>
        <w:rPr>
          <w:i/>
        </w:rPr>
        <w:t xml:space="preserve">VRS </w:t>
      </w:r>
      <w:r w:rsidRPr="00371513">
        <w:rPr>
          <w:i/>
        </w:rPr>
        <w:t>FNPRM</w:t>
      </w:r>
      <w:r>
        <w:t xml:space="preserve">, 30 FCC Rcd at 12989, para. 41 &amp; n.86 (citing 2015 Joint </w:t>
      </w:r>
      <w:r w:rsidRPr="00DE1564">
        <w:t xml:space="preserve">VRS Providers Proposal </w:t>
      </w:r>
      <w:r w:rsidRPr="00B47F87">
        <w:t>at 3-4</w:t>
      </w:r>
      <w:r>
        <w:t xml:space="preserve"> (listing, as examples, “denial-of-service attacks, Internet outages not under the VRS provider’s control, periods of declared national or state emergencies covering more than 10% of a provider’s interpreting capacity, [and] delays caused by the TRS-User Registration Database [] of more than 1 second”)).</w:t>
      </w:r>
      <w:r w:rsidRPr="00B47F87">
        <w:t xml:space="preserve">  </w:t>
      </w:r>
    </w:p>
  </w:footnote>
  <w:footnote w:id="111">
    <w:p w:rsidR="00134604" w:rsidRDefault="00134604" w:rsidP="00134604">
      <w:pPr>
        <w:pStyle w:val="FootnoteText"/>
      </w:pPr>
      <w:r>
        <w:rPr>
          <w:rStyle w:val="FootnoteReference"/>
        </w:rPr>
        <w:footnoteRef/>
      </w:r>
      <w:r>
        <w:t xml:space="preserve"> 47 CFR § </w:t>
      </w:r>
      <w:r w:rsidRPr="00DE1564">
        <w:t>64.604(b)(</w:t>
      </w:r>
      <w:r>
        <w:t>4</w:t>
      </w:r>
      <w:r w:rsidRPr="00DE1564">
        <w:t>)</w:t>
      </w:r>
      <w:r>
        <w:t>.</w:t>
      </w:r>
    </w:p>
  </w:footnote>
  <w:footnote w:id="112">
    <w:p w:rsidR="00134604" w:rsidRDefault="00134604" w:rsidP="00134604">
      <w:pPr>
        <w:pStyle w:val="FootnoteText"/>
      </w:pPr>
      <w:r w:rsidRPr="00DE1564">
        <w:rPr>
          <w:rStyle w:val="FootnoteReference"/>
        </w:rPr>
        <w:footnoteRef/>
      </w:r>
      <w:r w:rsidRPr="00DE1564">
        <w:t xml:space="preserve"> </w:t>
      </w:r>
      <w:r>
        <w:t>This is consistent with the Commission’s past practice</w:t>
      </w:r>
      <w:r w:rsidRPr="00DE1564">
        <w:t xml:space="preserve"> permitt</w:t>
      </w:r>
      <w:r>
        <w:t>ing</w:t>
      </w:r>
      <w:r w:rsidRPr="00DE1564">
        <w:t xml:space="preserve"> ex</w:t>
      </w:r>
      <w:r>
        <w:t>emptions</w:t>
      </w:r>
      <w:r w:rsidRPr="00DE1564">
        <w:t xml:space="preserve"> for acts of God and other unpredictable circumstances in other situations.  </w:t>
      </w:r>
      <w:r w:rsidRPr="00DE1564">
        <w:rPr>
          <w:i/>
        </w:rPr>
        <w:t>E.g.</w:t>
      </w:r>
      <w:r w:rsidRPr="00DE1564">
        <w:t xml:space="preserve">, </w:t>
      </w:r>
      <w:r w:rsidRPr="00DE1564">
        <w:rPr>
          <w:i/>
        </w:rPr>
        <w:t>Third Periodic Review of the Commission’s Rules and Policies Affecting the Conversion to Digital Television</w:t>
      </w:r>
      <w:r w:rsidRPr="00DE1564">
        <w:t>, Report and Order, 23 FCC Rcd 2994, 3032, para. 78</w:t>
      </w:r>
      <w:r w:rsidRPr="00242F3E">
        <w:t xml:space="preserve"> (2007).</w:t>
      </w:r>
    </w:p>
  </w:footnote>
  <w:footnote w:id="113">
    <w:p w:rsidR="00134604" w:rsidRDefault="00134604" w:rsidP="00134604">
      <w:pPr>
        <w:pStyle w:val="FootnoteText"/>
      </w:pPr>
      <w:r>
        <w:rPr>
          <w:rStyle w:val="FootnoteReference"/>
        </w:rPr>
        <w:footnoteRef/>
      </w:r>
      <w:r>
        <w:t xml:space="preserve"> </w:t>
      </w:r>
      <w:r>
        <w:rPr>
          <w:i/>
        </w:rPr>
        <w:t xml:space="preserve">See </w:t>
      </w:r>
      <w:r w:rsidRPr="00831497">
        <w:t xml:space="preserve">Appendix </w:t>
      </w:r>
      <w:r>
        <w:t>B</w:t>
      </w:r>
      <w:r w:rsidRPr="00DE1564">
        <w:t xml:space="preserve"> </w:t>
      </w:r>
      <w:r>
        <w:t>(Final Rules)</w:t>
      </w:r>
      <w:r w:rsidRPr="00DE1564">
        <w:t xml:space="preserve"> </w:t>
      </w:r>
      <w:r>
        <w:t>(</w:t>
      </w:r>
      <w:r w:rsidRPr="001133E1">
        <w:rPr>
          <w:i/>
        </w:rPr>
        <w:t>amending</w:t>
      </w:r>
      <w:r>
        <w:t xml:space="preserve"> 47 CFR § </w:t>
      </w:r>
      <w:r w:rsidRPr="00E87E47">
        <w:t>64.604(c)(5)(iii)(L)(</w:t>
      </w:r>
      <w:r w:rsidRPr="00E87E47">
        <w:rPr>
          <w:i/>
        </w:rPr>
        <w:t>6</w:t>
      </w:r>
      <w:r w:rsidRPr="00E87E47">
        <w:t>))</w:t>
      </w:r>
      <w:r>
        <w:t>.  We expect that providers will not abuse this option and will only seek such waiver requests when absolutely essential.  Should the Commission determine that such waiver requests are frivolous or lack the support of concrete evidence of the alleged exigent circumstances, it may consider initiating an enforcement action against the provider for disregard of the Commission’s rules.</w:t>
      </w:r>
    </w:p>
  </w:footnote>
  <w:footnote w:id="114">
    <w:p w:rsidR="00134604" w:rsidRPr="00367732" w:rsidRDefault="00134604" w:rsidP="00134604">
      <w:pPr>
        <w:pStyle w:val="FootnoteText"/>
      </w:pPr>
      <w:r>
        <w:rPr>
          <w:rStyle w:val="FootnoteReference"/>
        </w:rPr>
        <w:footnoteRef/>
      </w:r>
      <w:r>
        <w:t xml:space="preserve"> </w:t>
      </w:r>
      <w:r>
        <w:rPr>
          <w:i/>
        </w:rPr>
        <w:t xml:space="preserve">2013 </w:t>
      </w:r>
      <w:r w:rsidRPr="00A927D3">
        <w:rPr>
          <w:i/>
        </w:rPr>
        <w:t xml:space="preserve">VRS Reform </w:t>
      </w:r>
      <w:r>
        <w:rPr>
          <w:i/>
        </w:rPr>
        <w:t>FNPRM</w:t>
      </w:r>
      <w:r w:rsidRPr="00A927D3">
        <w:t>, 28 FCC Rcd at 8713</w:t>
      </w:r>
      <w:r>
        <w:t>, para.</w:t>
      </w:r>
      <w:r w:rsidRPr="00A927D3">
        <w:t xml:space="preserve"> 243</w:t>
      </w:r>
      <w:r>
        <w:t xml:space="preserve">; </w:t>
      </w:r>
      <w:r>
        <w:rPr>
          <w:i/>
        </w:rPr>
        <w:t>2015 VRS FNPRM</w:t>
      </w:r>
      <w:r>
        <w:t xml:space="preserve">, 30 FCC Rcd at 12995-97, paras. 60-66. </w:t>
      </w:r>
    </w:p>
  </w:footnote>
  <w:footnote w:id="115">
    <w:p w:rsidR="00134604" w:rsidRDefault="00134604" w:rsidP="00134604">
      <w:pPr>
        <w:pStyle w:val="FootnoteText"/>
      </w:pPr>
      <w:r>
        <w:rPr>
          <w:rStyle w:val="FootnoteReference"/>
        </w:rPr>
        <w:footnoteRef/>
      </w:r>
      <w:r>
        <w:t xml:space="preserve"> </w:t>
      </w:r>
      <w:r>
        <w:rPr>
          <w:i/>
        </w:rPr>
        <w:t xml:space="preserve">See, e.g., 2013 </w:t>
      </w:r>
      <w:r w:rsidRPr="00CC598F">
        <w:rPr>
          <w:i/>
        </w:rPr>
        <w:t>VRS Reform Order</w:t>
      </w:r>
      <w:r w:rsidRPr="00CC598F">
        <w:t>, 28 FCC Rcd at 8659</w:t>
      </w:r>
      <w:r>
        <w:t>,</w:t>
      </w:r>
      <w:r w:rsidRPr="00CC598F">
        <w:t xml:space="preserve"> </w:t>
      </w:r>
      <w:r>
        <w:t xml:space="preserve">para. </w:t>
      </w:r>
      <w:r w:rsidRPr="00CC598F">
        <w:t xml:space="preserve">97 </w:t>
      </w:r>
      <w:r>
        <w:t xml:space="preserve">&amp; </w:t>
      </w:r>
      <w:r w:rsidRPr="00CC598F">
        <w:t xml:space="preserve">n.224 (noting that the provisioning of </w:t>
      </w:r>
      <w:r>
        <w:t xml:space="preserve">routing for </w:t>
      </w:r>
      <w:r w:rsidRPr="00CC598F">
        <w:t>point-to-point calls is appropria</w:t>
      </w:r>
      <w:r>
        <w:t xml:space="preserve">tely supported by the TRS Fund); </w:t>
      </w:r>
      <w:r w:rsidRPr="00CC598F">
        <w:rPr>
          <w:i/>
        </w:rPr>
        <w:t>Telecommunications Relay Services and Speech-to-Speech Services for Individuals with Hearing and Speech Disabilities</w:t>
      </w:r>
      <w:r>
        <w:rPr>
          <w:i/>
        </w:rPr>
        <w:t xml:space="preserve"> et al.</w:t>
      </w:r>
      <w:r w:rsidRPr="00CC598F">
        <w:t>, Second Report and Order and Order on Reconsideration, 24 FCC Rcd 791, 822</w:t>
      </w:r>
      <w:r>
        <w:t>,</w:t>
      </w:r>
      <w:r w:rsidRPr="00CC598F">
        <w:t xml:space="preserve"> </w:t>
      </w:r>
      <w:r>
        <w:t>para.</w:t>
      </w:r>
      <w:r w:rsidRPr="00CC598F">
        <w:t xml:space="preserve"> 67 (2008)</w:t>
      </w:r>
      <w:r>
        <w:t xml:space="preserve"> (</w:t>
      </w:r>
      <w:r>
        <w:rPr>
          <w:i/>
        </w:rPr>
        <w:t>Second TRS Numbering Order</w:t>
      </w:r>
      <w:r>
        <w:t>) (noting that “p</w:t>
      </w:r>
      <w:r w:rsidRPr="00FB3528">
        <w:t>oint-to-point services even more directly support</w:t>
      </w:r>
      <w:r>
        <w:t>”</w:t>
      </w:r>
      <w:r w:rsidRPr="00FB3528">
        <w:t xml:space="preserve"> the purposes of section 225</w:t>
      </w:r>
      <w:r>
        <w:t xml:space="preserve"> because</w:t>
      </w:r>
      <w:r w:rsidRPr="00FB3528">
        <w:t xml:space="preserve"> </w:t>
      </w:r>
      <w:r>
        <w:t>“</w:t>
      </w:r>
      <w:r w:rsidRPr="00FB3528">
        <w:t>they are more rapid in that they involve direct, rather than interpreted, communication</w:t>
      </w:r>
      <w:r>
        <w:t>,” and</w:t>
      </w:r>
      <w:r w:rsidRPr="00FB3528">
        <w:t xml:space="preserve"> </w:t>
      </w:r>
      <w:r>
        <w:t>“</w:t>
      </w:r>
      <w:r w:rsidRPr="00FB3528">
        <w:t>they are more efficient in that they do not trigger the costs involved with interpretation or unnecessary routing</w:t>
      </w:r>
      <w:r>
        <w:t xml:space="preserve"> . . .”)</w:t>
      </w:r>
      <w:r w:rsidRPr="00CC598F">
        <w:t>.</w:t>
      </w:r>
    </w:p>
  </w:footnote>
  <w:footnote w:id="116">
    <w:p w:rsidR="00134604" w:rsidRDefault="00134604" w:rsidP="00134604">
      <w:pPr>
        <w:pStyle w:val="FootnoteText"/>
      </w:pPr>
      <w:r>
        <w:rPr>
          <w:rStyle w:val="FootnoteReference"/>
        </w:rPr>
        <w:footnoteRef/>
      </w:r>
      <w:r>
        <w:t xml:space="preserve"> </w:t>
      </w:r>
      <w:r>
        <w:rPr>
          <w:i/>
        </w:rPr>
        <w:t>2015 VRS FNPRM</w:t>
      </w:r>
      <w:r>
        <w:t>, 30 FCC Rcd at 12995-97, paras. 60-66.</w:t>
      </w:r>
    </w:p>
  </w:footnote>
  <w:footnote w:id="117">
    <w:p w:rsidR="00134604" w:rsidRDefault="00134604" w:rsidP="00134604">
      <w:pPr>
        <w:pStyle w:val="FootnoteText"/>
      </w:pPr>
      <w:r>
        <w:rPr>
          <w:rStyle w:val="FootnoteReference"/>
        </w:rPr>
        <w:footnoteRef/>
      </w:r>
      <w:r>
        <w:t xml:space="preserve"> </w:t>
      </w:r>
      <w:r w:rsidRPr="006B1E18">
        <w:rPr>
          <w:i/>
        </w:rPr>
        <w:t>Second TRS Numbering Order</w:t>
      </w:r>
      <w:r w:rsidRPr="006B1E18">
        <w:t xml:space="preserve">, 24 FCC Rcd </w:t>
      </w:r>
      <w:r>
        <w:t>at 807, para. 34 (“only individuals with a hearing or speech disability will be eligible to obtain [iTRS] numbers”).</w:t>
      </w:r>
    </w:p>
  </w:footnote>
  <w:footnote w:id="118">
    <w:p w:rsidR="00134604" w:rsidRDefault="00134604" w:rsidP="00134604">
      <w:pPr>
        <w:pStyle w:val="FootnoteText"/>
      </w:pPr>
      <w:r>
        <w:rPr>
          <w:rStyle w:val="FootnoteReference"/>
        </w:rPr>
        <w:footnoteRef/>
      </w:r>
      <w:r>
        <w:t xml:space="preserve"> 2015 Consumer Groups Comments at 12-14; 2015 ASL Services Comments 19-20; 2015 Convo Comments at 17-19; 2015 ZVRS Comments at 13-15; 2015 Purple Comments at 12-13; 2015 Sorenson Comments at 11-12; 2015 VRSCA Reply Comments at 2; 2015 Spencer Comments at 3.</w:t>
      </w:r>
    </w:p>
  </w:footnote>
  <w:footnote w:id="119">
    <w:p w:rsidR="00134604" w:rsidRDefault="00134604" w:rsidP="00134604">
      <w:pPr>
        <w:pStyle w:val="FootnoteText"/>
      </w:pPr>
      <w:r>
        <w:rPr>
          <w:rStyle w:val="FootnoteReference"/>
        </w:rPr>
        <w:footnoteRef/>
      </w:r>
      <w:r>
        <w:t xml:space="preserve"> 2015 RID Comments at 11-12.</w:t>
      </w:r>
    </w:p>
  </w:footnote>
  <w:footnote w:id="120">
    <w:p w:rsidR="00134604" w:rsidRDefault="00134604" w:rsidP="00134604">
      <w:pPr>
        <w:pStyle w:val="FootnoteText"/>
      </w:pPr>
      <w:r>
        <w:rPr>
          <w:rStyle w:val="FootnoteReference"/>
        </w:rPr>
        <w:footnoteRef/>
      </w:r>
      <w:r>
        <w:t xml:space="preserve"> 2015 Consumer Groups Comments at 13-14</w:t>
      </w:r>
      <w:r w:rsidRPr="00A927D3">
        <w:t>;</w:t>
      </w:r>
      <w:r>
        <w:t xml:space="preserve"> </w:t>
      </w:r>
      <w:r w:rsidRPr="007E457C">
        <w:rPr>
          <w:i/>
        </w:rPr>
        <w:t>see also</w:t>
      </w:r>
      <w:r>
        <w:t xml:space="preserve"> 2015 Convo Comments at 17; 2015 ZVRS Comments at 14; 2015 RID Comments at 12; 2015 Sorenson Comments at 11;</w:t>
      </w:r>
      <w:r w:rsidRPr="00A927D3">
        <w:t xml:space="preserve"> </w:t>
      </w:r>
      <w:r>
        <w:t xml:space="preserve">2015 </w:t>
      </w:r>
      <w:r w:rsidRPr="00A927D3">
        <w:t>VRSCA Reply Comments at</w:t>
      </w:r>
      <w:r>
        <w:t xml:space="preserve"> 2; 2015 Spencer Comments at 3; </w:t>
      </w:r>
      <w:r>
        <w:rPr>
          <w:i/>
        </w:rPr>
        <w:t>2015 VRS FNPRM</w:t>
      </w:r>
      <w:r>
        <w:t xml:space="preserve">, 30 FCC Rcd at 12995 n.116 (listing multiple commenters who requested the Commission to allow such use of ten-digit numbers).  Sorenson asks the Commission to first eliminate a “security hole” in the present database, claiming that the “reverse lookup” function, which allows a provider to see which iTRS numbers are associated with a particular IP address, would allow a provider to use this function to look up the iTRS numbers associated with a competitor’s server-based routing IP address to find out the phone numbers served by the competitor.  2015 Sorenson Comments at 11.  Regardless of the merits of this issue, we do not believe that it needs to be addressed prior to assigning iTRS numbers to hearing individuals, as the record does not indicate that a significant competitive advantage would accrue to a provider from performing reverse lookup to identify numbers assigned to hearing individuals.  In any event, our customer proprietary network information (CPNI) rules prohibit a provider from using reverse lookup information for marketing to a competitor’s customers.  47 CFR § 64.5105(b).  </w:t>
      </w:r>
    </w:p>
  </w:footnote>
  <w:footnote w:id="121">
    <w:p w:rsidR="00134604" w:rsidRDefault="00134604" w:rsidP="00134604">
      <w:pPr>
        <w:pStyle w:val="FootnoteText"/>
      </w:pPr>
      <w:r>
        <w:rPr>
          <w:rStyle w:val="FootnoteReference"/>
        </w:rPr>
        <w:footnoteRef/>
      </w:r>
      <w:r>
        <w:t xml:space="preserve"> </w:t>
      </w:r>
      <w:r>
        <w:rPr>
          <w:i/>
        </w:rPr>
        <w:t>2015 VRS FNPRM</w:t>
      </w:r>
      <w:r>
        <w:t>, 30 FCC Rcd at 12996, para. 62 (seeking comment on whether a mandate would be appropriate)</w:t>
      </w:r>
      <w:r w:rsidRPr="00A927D3">
        <w:t>.</w:t>
      </w:r>
    </w:p>
  </w:footnote>
  <w:footnote w:id="122">
    <w:p w:rsidR="00134604" w:rsidRDefault="00134604" w:rsidP="00134604">
      <w:pPr>
        <w:pStyle w:val="FootnoteText"/>
      </w:pPr>
      <w:r>
        <w:rPr>
          <w:rStyle w:val="FootnoteReference"/>
        </w:rPr>
        <w:footnoteRef/>
      </w:r>
      <w:r>
        <w:t xml:space="preserve"> Calls to 911 made using these iTRS numbers would automatically be transferred to a VRS CA.  Because hearing individuals are able to call 911 directly, we see no benefit in enabling these numbers to support emergency call handling by these individuals through VRS.</w:t>
      </w:r>
    </w:p>
  </w:footnote>
  <w:footnote w:id="123">
    <w:p w:rsidR="00134604" w:rsidRPr="00127E52" w:rsidRDefault="00134604" w:rsidP="00134604">
      <w:pPr>
        <w:pStyle w:val="FootnoteText"/>
      </w:pPr>
      <w:r>
        <w:rPr>
          <w:rStyle w:val="FootnoteReference"/>
        </w:rPr>
        <w:footnoteRef/>
      </w:r>
      <w:r>
        <w:t xml:space="preserve"> In the </w:t>
      </w:r>
      <w:r>
        <w:rPr>
          <w:i/>
        </w:rPr>
        <w:t>2015 VRS FNPRM,</w:t>
      </w:r>
      <w:r>
        <w:t xml:space="preserve"> the Commission defined</w:t>
      </w:r>
      <w:r w:rsidRPr="00C13383">
        <w:t xml:space="preserve"> “back</w:t>
      </w:r>
      <w:r>
        <w:t>-</w:t>
      </w:r>
      <w:r w:rsidRPr="00C13383">
        <w:t xml:space="preserve">office services,” </w:t>
      </w:r>
      <w:r>
        <w:t>as</w:t>
      </w:r>
      <w:r w:rsidRPr="00C13383">
        <w:t xml:space="preserve"> </w:t>
      </w:r>
      <w:r>
        <w:t>“</w:t>
      </w:r>
      <w:r w:rsidRPr="00C13383">
        <w:t xml:space="preserve">verification of the hearing person’s identity by the provider or the TRS-URD, the placement of the user in the iTRS database, and any other </w:t>
      </w:r>
      <w:r>
        <w:t>similar tasks necessary to the provision of this service</w:t>
      </w:r>
      <w:r w:rsidRPr="00C13383">
        <w:t>.</w:t>
      </w:r>
      <w:r>
        <w:t xml:space="preserve">”  </w:t>
      </w:r>
      <w:r>
        <w:rPr>
          <w:i/>
        </w:rPr>
        <w:t>2015 VRS FNPRM</w:t>
      </w:r>
      <w:r>
        <w:t xml:space="preserve">, 30 FCC Rcd at 12996, n.125.  The Commission has determined that some costs relating to assignment of numbers to registered VRS users are compensable from the TRS Fund.  </w:t>
      </w:r>
      <w:r w:rsidRPr="00493461">
        <w:rPr>
          <w:i/>
        </w:rPr>
        <w:t>Second TRS Numbering Order</w:t>
      </w:r>
      <w:r w:rsidRPr="00493461">
        <w:t>, 24 FCC Rcd at 81</w:t>
      </w:r>
      <w:r>
        <w:t>3</w:t>
      </w:r>
      <w:r w:rsidRPr="00493461">
        <w:t>-1</w:t>
      </w:r>
      <w:r>
        <w:t>4</w:t>
      </w:r>
      <w:r w:rsidRPr="00493461">
        <w:t>, paras. 4</w:t>
      </w:r>
      <w:r>
        <w:t>7</w:t>
      </w:r>
      <w:r w:rsidRPr="00493461">
        <w:t>-</w:t>
      </w:r>
      <w:r>
        <w:t>51.</w:t>
      </w:r>
    </w:p>
  </w:footnote>
  <w:footnote w:id="124">
    <w:p w:rsidR="00134604" w:rsidRPr="00127E52" w:rsidRDefault="00134604" w:rsidP="00134604">
      <w:pPr>
        <w:pStyle w:val="FootnoteText"/>
      </w:pPr>
      <w:r>
        <w:rPr>
          <w:rStyle w:val="FootnoteReference"/>
        </w:rPr>
        <w:footnoteRef/>
      </w:r>
      <w:r>
        <w:t xml:space="preserve"> </w:t>
      </w:r>
      <w:r>
        <w:rPr>
          <w:i/>
        </w:rPr>
        <w:t>See</w:t>
      </w:r>
      <w:r w:rsidRPr="00A76480">
        <w:rPr>
          <w:i/>
        </w:rPr>
        <w:t>, e.g.,</w:t>
      </w:r>
      <w:r>
        <w:t xml:space="preserve"> 2015 Sorenson Comments at 11-12;  2015 Sorenson Reply Comments at 13 (indicating costs to implement numbering and safeguards); 2015 Purple Comments at 12 (noting network service costs); 2015 ASL Services Comments at 19 (noting costs to procure numbers); 2015 Convo Comments at 18; 2015 ZVRS Comments at 14. </w:t>
      </w:r>
    </w:p>
  </w:footnote>
  <w:footnote w:id="125">
    <w:p w:rsidR="00134604" w:rsidRPr="00CF2543" w:rsidRDefault="00134604" w:rsidP="00134604">
      <w:pPr>
        <w:pStyle w:val="FootnoteText"/>
      </w:pPr>
      <w:r>
        <w:rPr>
          <w:rStyle w:val="FootnoteReference"/>
        </w:rPr>
        <w:footnoteRef/>
      </w:r>
      <w:r>
        <w:t xml:space="preserve"> N</w:t>
      </w:r>
      <w:r w:rsidRPr="007F0C74">
        <w:t xml:space="preserve">o providers have </w:t>
      </w:r>
      <w:r>
        <w:t>submitted</w:t>
      </w:r>
      <w:r w:rsidRPr="007F0C74">
        <w:t xml:space="preserve"> specific estimates </w:t>
      </w:r>
      <w:r>
        <w:t>for or documentation of such</w:t>
      </w:r>
      <w:r w:rsidRPr="007F0C74">
        <w:t xml:space="preserve"> expenses, despite the Commission’s invitation to do so.</w:t>
      </w:r>
      <w:r>
        <w:t xml:space="preserve">  </w:t>
      </w:r>
      <w:r>
        <w:rPr>
          <w:i/>
        </w:rPr>
        <w:t>Compare 2015 VRS FNPRM</w:t>
      </w:r>
      <w:r>
        <w:t xml:space="preserve">, 30 FCC Rcd at 12996, para. 63 (inviting submission of cost data relating to iTRS number assignments to hearing individuals), </w:t>
      </w:r>
      <w:r>
        <w:rPr>
          <w:i/>
        </w:rPr>
        <w:t>with</w:t>
      </w:r>
      <w:r>
        <w:t xml:space="preserve"> 2015 ASL Services Comments at 19; 2015 Purple Comments at 12-13; 2015 ZVRS Comments at 14; 2015 Sorenson Comments at 11-12; 2015 Sorenson Reply Comments at 13.  Nor has any provider suggested why such expenses cannot be recovered in the same manner as the costs for number assignment to registered VRS users.</w:t>
      </w:r>
    </w:p>
  </w:footnote>
  <w:footnote w:id="126">
    <w:p w:rsidR="00134604" w:rsidRDefault="00134604" w:rsidP="00134604">
      <w:pPr>
        <w:pStyle w:val="FootnoteText"/>
      </w:pPr>
      <w:r>
        <w:rPr>
          <w:rStyle w:val="FootnoteReference"/>
        </w:rPr>
        <w:footnoteRef/>
      </w:r>
      <w:r>
        <w:t xml:space="preserve"> We do not agree with Sorenson that because point-to-point calls are not compensable, self-certification is unnecessary.  </w:t>
      </w:r>
      <w:r>
        <w:rPr>
          <w:i/>
        </w:rPr>
        <w:t>See</w:t>
      </w:r>
      <w:r>
        <w:t xml:space="preserve"> 2015 Sorenson Comments at 12.  Self-certification helps the user understand the valid uses of the iTRS numbers.  </w:t>
      </w:r>
      <w:r>
        <w:rPr>
          <w:i/>
        </w:rPr>
        <w:t>S</w:t>
      </w:r>
      <w:r w:rsidRPr="00A15355">
        <w:rPr>
          <w:i/>
        </w:rPr>
        <w:t>ee</w:t>
      </w:r>
      <w:r>
        <w:rPr>
          <w:i/>
        </w:rPr>
        <w:t xml:space="preserve"> </w:t>
      </w:r>
      <w:r>
        <w:t>47 CFR</w:t>
      </w:r>
      <w:r w:rsidRPr="00CA1E47">
        <w:t xml:space="preserve"> </w:t>
      </w:r>
      <w:r w:rsidRPr="00A15355">
        <w:t>§</w:t>
      </w:r>
      <w:r>
        <w:t xml:space="preserve"> </w:t>
      </w:r>
      <w:r w:rsidRPr="00A15355">
        <w:t>64.611(a)(</w:t>
      </w:r>
      <w:r>
        <w:t>3</w:t>
      </w:r>
      <w:r w:rsidRPr="00A15355">
        <w:t xml:space="preserve">) </w:t>
      </w:r>
      <w:r>
        <w:t xml:space="preserve">(self-certification rule for VRS users).  However, given that iTRS numbers distributed to hearing persons will be designated in the TRS-URD and the TRS Numbering Directory as numbers for which VRS calls are non-compensable, that such individuals must sign a self-certification on the proper use of these numbers, based on the current record we find that the certification and other requirements described above will be sufficient and do not believe additional safeguards are necessary at this time.  </w:t>
      </w:r>
      <w:r>
        <w:rPr>
          <w:i/>
        </w:rPr>
        <w:t>S</w:t>
      </w:r>
      <w:r w:rsidRPr="00A15355">
        <w:rPr>
          <w:i/>
        </w:rPr>
        <w:t>ee</w:t>
      </w:r>
      <w:r>
        <w:t xml:space="preserve"> 47 CFR</w:t>
      </w:r>
      <w:r w:rsidRPr="00CA1E47">
        <w:t xml:space="preserve"> </w:t>
      </w:r>
      <w:r w:rsidRPr="00A15355">
        <w:t>§</w:t>
      </w:r>
      <w:r>
        <w:t xml:space="preserve"> </w:t>
      </w:r>
      <w:r w:rsidRPr="00A15355">
        <w:t>64.611</w:t>
      </w:r>
      <w:r>
        <w:t xml:space="preserve">(a)(4).   </w:t>
      </w:r>
    </w:p>
  </w:footnote>
  <w:footnote w:id="127">
    <w:p w:rsidR="00134604" w:rsidRDefault="00134604" w:rsidP="00134604">
      <w:pPr>
        <w:pStyle w:val="FootnoteText"/>
      </w:pPr>
      <w:r>
        <w:rPr>
          <w:rStyle w:val="FootnoteReference"/>
        </w:rPr>
        <w:footnoteRef/>
      </w:r>
      <w:r>
        <w:t xml:space="preserve"> </w:t>
      </w:r>
      <w:r w:rsidRPr="0038644E">
        <w:rPr>
          <w:i/>
        </w:rPr>
        <w:t>S</w:t>
      </w:r>
      <w:r>
        <w:rPr>
          <w:i/>
        </w:rPr>
        <w:t xml:space="preserve">ee </w:t>
      </w:r>
      <w:r>
        <w:t xml:space="preserve">2015 Convo Comments at 18-19 (supporting such requirements but positing that self-certification could be dropped after implementation of the TRS-URD); 2015 Purple Comments at 13 (supporting registration); 2015 ZVRS Comments at 14; 2015 ASL Services Comments at 19.  </w:t>
      </w:r>
    </w:p>
  </w:footnote>
  <w:footnote w:id="128">
    <w:p w:rsidR="00134604" w:rsidRDefault="00134604" w:rsidP="00134604">
      <w:pPr>
        <w:pStyle w:val="FootnoteText"/>
      </w:pPr>
      <w:r>
        <w:rPr>
          <w:rStyle w:val="FootnoteReference"/>
        </w:rPr>
        <w:footnoteRef/>
      </w:r>
      <w:r>
        <w:t xml:space="preserve"> </w:t>
      </w:r>
      <w:r>
        <w:rPr>
          <w:i/>
        </w:rPr>
        <w:t>2015 VRS FNPRM</w:t>
      </w:r>
      <w:r>
        <w:t xml:space="preserve">, 30 FCC Rcd at 12997, para. 66.  We note that commenters generally support the adoption of procedures to ensure that hearing individuals who are assigned iTRS numbers will be prevented from making VRS calls.  </w:t>
      </w:r>
      <w:r w:rsidRPr="003948FA">
        <w:rPr>
          <w:i/>
        </w:rPr>
        <w:t>See</w:t>
      </w:r>
      <w:r>
        <w:rPr>
          <w:i/>
        </w:rPr>
        <w:t>,</w:t>
      </w:r>
      <w:r w:rsidRPr="003948FA">
        <w:rPr>
          <w:i/>
        </w:rPr>
        <w:t xml:space="preserve"> e.g.</w:t>
      </w:r>
      <w:r>
        <w:t xml:space="preserve">, 2015 Convo Comments at 18; 2015 Purple Comments at 12; 2015 Spencer Comments at 3; 2015 Sorenson Comments at 12; 2015 Sorenson Reply Comments at 13.  We reject, however, Purple’s proposal to require VRS providers to obtain from such individuals the iTRS number associated with a registered VRS user that the hearing person intends to call, because we do not understand how obtaining this information would achieve Purple’s stated objective of preventing hearing people from making point-to-point calls to each other, and find this proposal unnecessarily restrictive for people with disabilities seeking to use iTRS numbers to facilitate their telephone communication with hearing people.  </w:t>
      </w:r>
      <w:r w:rsidRPr="007F0BBE">
        <w:rPr>
          <w:i/>
        </w:rPr>
        <w:t>See</w:t>
      </w:r>
      <w:r>
        <w:t xml:space="preserve"> 2015 Purple Comments at 13.  We also reject the suggestion that an eligible VRS user be permitted to use a hearing person’s videophone to make a VRS call if the eligible user self-certifies eligibility.  </w:t>
      </w:r>
      <w:r w:rsidRPr="00E67009">
        <w:rPr>
          <w:i/>
        </w:rPr>
        <w:t xml:space="preserve">See </w:t>
      </w:r>
      <w:r>
        <w:t xml:space="preserve">2015 Sorenson Comments at 12; 2015 ASL Services Comments at 19-20; 2015 ZVRS Comments at 13.  Until such time that there is a means for VRS users to log into such phones with a unique identifier that can verify their registered status, we are concerned that this practice could open up these phones to fraud and abuse.  Finally, we reject a suggestion by ZVRS to allow hearing people to place 911 calls using an iTRS number.  2015 ZVRS Comments at 15.  These numbers are for the sole use of hearing individuals to communicate with registered VRS users, and hearing individuals have many other options available to them for contacting 911.  </w:t>
      </w:r>
      <w:r>
        <w:rPr>
          <w:i/>
        </w:rPr>
        <w:t>See</w:t>
      </w:r>
      <w:r>
        <w:t xml:space="preserve"> 2015 Sorenson Reply Comments at 14 (opposing use of these numbers for 911 purposes).</w:t>
      </w:r>
    </w:p>
  </w:footnote>
  <w:footnote w:id="129">
    <w:p w:rsidR="00134604" w:rsidRDefault="00134604" w:rsidP="00134604">
      <w:pPr>
        <w:pStyle w:val="FootnoteText"/>
      </w:pPr>
      <w:r>
        <w:rPr>
          <w:rStyle w:val="FootnoteReference"/>
        </w:rPr>
        <w:footnoteRef/>
      </w:r>
      <w:r>
        <w:t xml:space="preserve"> </w:t>
      </w:r>
      <w:r w:rsidRPr="003E2C40">
        <w:rPr>
          <w:i/>
        </w:rPr>
        <w:t>Cf</w:t>
      </w:r>
      <w:r>
        <w:t>. 47 CFR § 64.604(c)(5)(iii)(D)(</w:t>
      </w:r>
      <w:r w:rsidRPr="00F97D1E">
        <w:rPr>
          <w:i/>
        </w:rPr>
        <w:t>6</w:t>
      </w:r>
      <w:r>
        <w:t xml:space="preserve">).  </w:t>
      </w:r>
    </w:p>
  </w:footnote>
  <w:footnote w:id="130">
    <w:p w:rsidR="00134604" w:rsidRDefault="00134604" w:rsidP="00134604">
      <w:pPr>
        <w:pStyle w:val="FootnoteText"/>
      </w:pPr>
      <w:r>
        <w:rPr>
          <w:rStyle w:val="FootnoteReference"/>
        </w:rPr>
        <w:footnoteRef/>
      </w:r>
      <w:r>
        <w:t xml:space="preserve"> </w:t>
      </w:r>
      <w:r w:rsidRPr="00F431FF">
        <w:rPr>
          <w:i/>
        </w:rPr>
        <w:t>Id</w:t>
      </w:r>
      <w:r>
        <w:t>. § 64.604(a)(2).</w:t>
      </w:r>
    </w:p>
  </w:footnote>
  <w:footnote w:id="131">
    <w:p w:rsidR="00134604" w:rsidRPr="00F22FEE" w:rsidRDefault="00134604" w:rsidP="00134604">
      <w:pPr>
        <w:pStyle w:val="FootnoteText"/>
      </w:pPr>
      <w:r w:rsidRPr="00F22FEE">
        <w:rPr>
          <w:rStyle w:val="FootnoteReference"/>
        </w:rPr>
        <w:footnoteRef/>
      </w:r>
      <w:r w:rsidRPr="00F22FEE">
        <w:t xml:space="preserve"> </w:t>
      </w:r>
      <w:r w:rsidRPr="009B66E5">
        <w:t xml:space="preserve">This is a limitation on the minutes handled at-home that will be subject to compensation; however, </w:t>
      </w:r>
      <w:r>
        <w:t xml:space="preserve">exceeding this limit during the pilot program period </w:t>
      </w:r>
      <w:r w:rsidRPr="009B66E5">
        <w:t>will</w:t>
      </w:r>
      <w:r>
        <w:t xml:space="preserve"> not</w:t>
      </w:r>
      <w:r w:rsidRPr="009B66E5">
        <w:t xml:space="preserve"> result in penalties and forfeitures.  </w:t>
      </w:r>
      <w:r w:rsidRPr="00F22FEE">
        <w:t>We concur with ZVRS that at-home workstations for VRS CAs should complement rather than replace the functions performed at call centers.  2015 ZVRS Comments at 3.  Further, by limit</w:t>
      </w:r>
      <w:r>
        <w:t>ing</w:t>
      </w:r>
      <w:r w:rsidRPr="00F22FEE">
        <w:t xml:space="preserve"> the amount of calls that can be handled to </w:t>
      </w:r>
      <w:r>
        <w:t xml:space="preserve">30 </w:t>
      </w:r>
      <w:r w:rsidRPr="00F22FEE">
        <w:t>percent</w:t>
      </w:r>
      <w:r>
        <w:t xml:space="preserve"> of total monthly minutes</w:t>
      </w:r>
      <w:r w:rsidRPr="00F22FEE">
        <w:t xml:space="preserve">, we are ensured that VRS providers will process at least twice as many minutes at call centers rather than at home, while leaving significant flexibility for at-home call handling throughout the night.  Given the relatively high level at which this </w:t>
      </w:r>
      <w:r w:rsidRPr="00E10BFD">
        <w:t xml:space="preserve">cap has been set, we expect there will be little likelihood of any provider exceeding the cap in a given month.  </w:t>
      </w:r>
      <w:r w:rsidRPr="00F22FEE">
        <w:rPr>
          <w:i/>
        </w:rPr>
        <w:t>See</w:t>
      </w:r>
      <w:r w:rsidRPr="00F22FEE">
        <w:t xml:space="preserve"> ZVRS Waiver Petition at 7; 2015 Consumer Groups Comments at 11-12; 2015 ASL Services Comments at 18. </w:t>
      </w:r>
      <w:r>
        <w:t xml:space="preserve"> To provide additional flexibility for VRS providers who may be concerned about their ability to effectively monitor the use of at-home interpreting in a given month, the limit is stated as the greater of two quantities:  (1) 30 percent of the total minutes for which compensation is payable in the month in question; and (2) 30 percent of the average monthly minutes for which compensation was paid to the provider in the 12 months ending October 31, 2017.  </w:t>
      </w:r>
      <w:r w:rsidRPr="00F22FEE">
        <w:t xml:space="preserve">This will allow an opportunity to evaluate the success of this program without significant risk to VRS providers’ operations or the TRS Fund.  </w:t>
      </w:r>
      <w:r w:rsidRPr="00E10BFD">
        <w:t>Providers that are concerned about the possibility of having compensation withheld should plan their at-home programs carefully in this regard.  In exceptional circumstances, as with speed-of-answer compliance, the Commission will entertain requests to waive the cap, if warranted by the facts presented.</w:t>
      </w:r>
    </w:p>
  </w:footnote>
  <w:footnote w:id="132">
    <w:p w:rsidR="00134604" w:rsidRPr="002A1B94" w:rsidRDefault="00134604" w:rsidP="00134604">
      <w:pPr>
        <w:pStyle w:val="FootnoteText"/>
      </w:pPr>
      <w:r>
        <w:rPr>
          <w:rStyle w:val="FootnoteReference"/>
        </w:rPr>
        <w:footnoteRef/>
      </w:r>
      <w:r>
        <w:t xml:space="preserve"> </w:t>
      </w:r>
      <w:r>
        <w:rPr>
          <w:i/>
        </w:rPr>
        <w:t>See Structure and Practices of the Video Relay Services Program</w:t>
      </w:r>
      <w:r>
        <w:t xml:space="preserve">, Report and Order and Further Notice of Proposed Rulemaking, 26 FCC Rcd </w:t>
      </w:r>
      <w:r w:rsidRPr="00085722">
        <w:t>5545, 5554-59, paras.</w:t>
      </w:r>
      <w:r>
        <w:t xml:space="preserve"> </w:t>
      </w:r>
      <w:r w:rsidRPr="00085722">
        <w:t>13-20 (2011) (</w:t>
      </w:r>
      <w:r w:rsidRPr="00085722">
        <w:rPr>
          <w:i/>
        </w:rPr>
        <w:t>2011</w:t>
      </w:r>
      <w:r w:rsidRPr="00085722">
        <w:t xml:space="preserve"> </w:t>
      </w:r>
      <w:r w:rsidRPr="00085722">
        <w:rPr>
          <w:i/>
        </w:rPr>
        <w:t>VRS Call Practices Order</w:t>
      </w:r>
      <w:r w:rsidRPr="00085722">
        <w:t xml:space="preserve">) </w:t>
      </w:r>
      <w:r>
        <w:t>(</w:t>
      </w:r>
      <w:r w:rsidRPr="00085722">
        <w:t>codified at 47 CFR § 64.604(b)(4)(iii)</w:t>
      </w:r>
      <w:r>
        <w:t>)</w:t>
      </w:r>
      <w:r w:rsidRPr="00085722">
        <w:t xml:space="preserve">.  </w:t>
      </w:r>
      <w:r>
        <w:t xml:space="preserve">Previously, </w:t>
      </w:r>
      <w:r w:rsidRPr="00085722">
        <w:t xml:space="preserve">as many as </w:t>
      </w:r>
      <w:r>
        <w:t xml:space="preserve">50 </w:t>
      </w:r>
      <w:r w:rsidRPr="00085722">
        <w:t>companies, operating as “white label companies” under FCC-certified VRS companies, had been providing VRS with little or no direct accountability to the Commission.  In addition, the Commission was concerned about whether</w:t>
      </w:r>
      <w:r w:rsidRPr="00085722" w:rsidDel="008F24B5">
        <w:t xml:space="preserve"> </w:t>
      </w:r>
      <w:r w:rsidRPr="00085722">
        <w:t>work-from-home arrangement</w:t>
      </w:r>
      <w:r>
        <w:t>s</w:t>
      </w:r>
      <w:r w:rsidRPr="00085722">
        <w:t xml:space="preserve"> could meet the Commission’s mandatory minimum standards on matters such as redundancy, call confidentiality, and service quality requirements.  </w:t>
      </w:r>
      <w:r w:rsidRPr="00085722">
        <w:rPr>
          <w:i/>
        </w:rPr>
        <w:t xml:space="preserve">Id. </w:t>
      </w:r>
      <w:r w:rsidRPr="00085722">
        <w:t>at 5556-57,</w:t>
      </w:r>
      <w:r>
        <w:t xml:space="preserve"> </w:t>
      </w:r>
      <w:r w:rsidRPr="00085722">
        <w:t xml:space="preserve">paras. 16-17.  </w:t>
      </w:r>
      <w:r>
        <w:t>In adopting the ban</w:t>
      </w:r>
      <w:r w:rsidRPr="00085722">
        <w:t xml:space="preserve">, the Commission stated that it remained open to revisiting its findings, if it could determine that at-home interpreting can be accomplished in a manner that meets the TRS mandatory minimum standards and is sufficiently monitored to prevent fraudulent practices.  </w:t>
      </w:r>
      <w:r w:rsidRPr="00085722">
        <w:rPr>
          <w:i/>
        </w:rPr>
        <w:t>Id.</w:t>
      </w:r>
      <w:r w:rsidRPr="00085722">
        <w:t xml:space="preserve"> at 5558-59, para. 20.</w:t>
      </w:r>
    </w:p>
  </w:footnote>
  <w:footnote w:id="133">
    <w:p w:rsidR="00134604" w:rsidRDefault="00134604" w:rsidP="00134604">
      <w:pPr>
        <w:pStyle w:val="FootnoteText"/>
      </w:pPr>
      <w:r>
        <w:rPr>
          <w:rStyle w:val="FootnoteReference"/>
        </w:rPr>
        <w:footnoteRef/>
      </w:r>
      <w:r>
        <w:t xml:space="preserve"> </w:t>
      </w:r>
      <w:r>
        <w:rPr>
          <w:i/>
        </w:rPr>
        <w:t>See</w:t>
      </w:r>
      <w:r>
        <w:t xml:space="preserve"> Petition of CSDVRS, LLC dba ZVRS for Temporary Waiver, CG Docket No. 10-51 (filed Aug. 12, 2011) (ZVRS Waiver Petition).</w:t>
      </w:r>
    </w:p>
  </w:footnote>
  <w:footnote w:id="134">
    <w:p w:rsidR="00134604" w:rsidRPr="00085722" w:rsidRDefault="00134604" w:rsidP="00134604">
      <w:pPr>
        <w:pStyle w:val="FootnoteText"/>
      </w:pPr>
      <w:r>
        <w:rPr>
          <w:rStyle w:val="FootnoteReference"/>
        </w:rPr>
        <w:footnoteRef/>
      </w:r>
      <w:r>
        <w:t xml:space="preserve"> </w:t>
      </w:r>
      <w:r w:rsidRPr="00071C04">
        <w:rPr>
          <w:i/>
        </w:rPr>
        <w:t xml:space="preserve">2013 </w:t>
      </w:r>
      <w:r w:rsidRPr="00071C04">
        <w:rPr>
          <w:i/>
          <w:iCs/>
        </w:rPr>
        <w:t>VRS Reform Order</w:t>
      </w:r>
      <w:r>
        <w:rPr>
          <w:iCs/>
        </w:rPr>
        <w:t>,</w:t>
      </w:r>
      <w:r w:rsidRPr="00071C04">
        <w:rPr>
          <w:iCs/>
        </w:rPr>
        <w:t xml:space="preserve"> 28 FCC </w:t>
      </w:r>
      <w:r w:rsidRPr="00085722">
        <w:rPr>
          <w:iCs/>
        </w:rPr>
        <w:t>Rcd at 8725, para. 282,</w:t>
      </w:r>
    </w:p>
  </w:footnote>
  <w:footnote w:id="135">
    <w:p w:rsidR="00134604" w:rsidRPr="00085722" w:rsidRDefault="00134604" w:rsidP="00134604">
      <w:pPr>
        <w:pStyle w:val="FootnoteText"/>
      </w:pPr>
      <w:r w:rsidRPr="00085722">
        <w:rPr>
          <w:rStyle w:val="FootnoteReference"/>
        </w:rPr>
        <w:footnoteRef/>
      </w:r>
      <w:r w:rsidRPr="00085722">
        <w:t xml:space="preserve"> </w:t>
      </w:r>
      <w:r w:rsidRPr="00085722">
        <w:rPr>
          <w:i/>
          <w:iCs/>
        </w:rPr>
        <w:t>2015 VRS FNPRM</w:t>
      </w:r>
      <w:r w:rsidRPr="00085722">
        <w:rPr>
          <w:iCs/>
        </w:rPr>
        <w:t>,</w:t>
      </w:r>
      <w:r w:rsidRPr="00085722">
        <w:rPr>
          <w:i/>
          <w:iCs/>
        </w:rPr>
        <w:t xml:space="preserve"> </w:t>
      </w:r>
      <w:r w:rsidRPr="00085722">
        <w:rPr>
          <w:iCs/>
        </w:rPr>
        <w:t xml:space="preserve">30 FCC Rcd at 12994-95, para. 59.  </w:t>
      </w:r>
    </w:p>
  </w:footnote>
  <w:footnote w:id="136">
    <w:p w:rsidR="00134604" w:rsidRDefault="00134604" w:rsidP="00134604">
      <w:pPr>
        <w:pStyle w:val="FootnoteText"/>
      </w:pPr>
      <w:r w:rsidRPr="00085722">
        <w:rPr>
          <w:rStyle w:val="FootnoteReference"/>
        </w:rPr>
        <w:footnoteRef/>
      </w:r>
      <w:r w:rsidRPr="00085722">
        <w:t xml:space="preserve"> </w:t>
      </w:r>
      <w:r w:rsidRPr="00085722">
        <w:rPr>
          <w:i/>
        </w:rPr>
        <w:t xml:space="preserve">2013 </w:t>
      </w:r>
      <w:r w:rsidRPr="00085722">
        <w:rPr>
          <w:i/>
          <w:iCs/>
        </w:rPr>
        <w:t xml:space="preserve">VRS Reform Order, </w:t>
      </w:r>
      <w:r w:rsidRPr="00085722">
        <w:t xml:space="preserve">28 FCC Rcd at 8725, para. 282; </w:t>
      </w:r>
      <w:r w:rsidRPr="00085722">
        <w:rPr>
          <w:i/>
        </w:rPr>
        <w:t>2015 VRS FNPRM</w:t>
      </w:r>
      <w:r w:rsidRPr="00085722">
        <w:t>, 30 FCC Rcd at 12994, para. 59.</w:t>
      </w:r>
      <w:r>
        <w:t xml:space="preserve">  </w:t>
      </w:r>
    </w:p>
  </w:footnote>
  <w:footnote w:id="137">
    <w:p w:rsidR="00134604" w:rsidRPr="00085722" w:rsidRDefault="00134604" w:rsidP="00134604">
      <w:pPr>
        <w:pStyle w:val="FootnoteText"/>
      </w:pPr>
      <w:r>
        <w:rPr>
          <w:rStyle w:val="FootnoteReference"/>
        </w:rPr>
        <w:footnoteRef/>
      </w:r>
      <w:r>
        <w:t xml:space="preserve"> These include the prohibition against having white label providers operate call center functions, changes to the VRS certification requirements, strengthened oversight of VRS through the collection of call data records, requirements for on-site visits, improved auditing, and the imminent implementation of the TRS user registration database (TRS-URD).  </w:t>
      </w:r>
      <w:r w:rsidRPr="008E546D">
        <w:rPr>
          <w:i/>
        </w:rPr>
        <w:t>See</w:t>
      </w:r>
      <w:r>
        <w:rPr>
          <w:i/>
        </w:rPr>
        <w:t>, e.g.,</w:t>
      </w:r>
      <w:r>
        <w:t xml:space="preserve"> 47 CFR §§ </w:t>
      </w:r>
      <w:r w:rsidRPr="008E546D">
        <w:t>64.604(c)(5)(iii)(D)(</w:t>
      </w:r>
      <w:r w:rsidRPr="00F05987">
        <w:rPr>
          <w:i/>
        </w:rPr>
        <w:t>4</w:t>
      </w:r>
      <w:r w:rsidRPr="008E546D">
        <w:t xml:space="preserve">), </w:t>
      </w:r>
      <w:r w:rsidRPr="00F05987">
        <w:t>(</w:t>
      </w:r>
      <w:r w:rsidRPr="00F05987">
        <w:rPr>
          <w:i/>
        </w:rPr>
        <w:t>6</w:t>
      </w:r>
      <w:r>
        <w:t>),</w:t>
      </w:r>
      <w:r w:rsidRPr="008E546D">
        <w:t xml:space="preserve"> (F)(</w:t>
      </w:r>
      <w:r w:rsidRPr="00F05987">
        <w:rPr>
          <w:i/>
        </w:rPr>
        <w:t>2</w:t>
      </w:r>
      <w:r w:rsidRPr="008E546D">
        <w:t>), (N)(</w:t>
      </w:r>
      <w:r w:rsidRPr="00F05987">
        <w:rPr>
          <w:i/>
        </w:rPr>
        <w:t>1</w:t>
      </w:r>
      <w:r w:rsidRPr="008E546D">
        <w:t>)</w:t>
      </w:r>
      <w:r>
        <w:t xml:space="preserve">, </w:t>
      </w:r>
      <w:r w:rsidRPr="008E546D">
        <w:t>64.606</w:t>
      </w:r>
      <w:r>
        <w:t xml:space="preserve">, 64.611, 64.615; </w:t>
      </w:r>
      <w:r w:rsidRPr="008E546D">
        <w:rPr>
          <w:i/>
        </w:rPr>
        <w:t xml:space="preserve">2011 VRS Call Practices </w:t>
      </w:r>
      <w:r w:rsidRPr="00085722">
        <w:rPr>
          <w:i/>
        </w:rPr>
        <w:t xml:space="preserve">Order, </w:t>
      </w:r>
      <w:r w:rsidRPr="00085722">
        <w:t>26 FCC Rcd at 5574-75, 558</w:t>
      </w:r>
      <w:r>
        <w:t>1</w:t>
      </w:r>
      <w:r w:rsidRPr="00085722">
        <w:t>-8</w:t>
      </w:r>
      <w:r>
        <w:t>2</w:t>
      </w:r>
      <w:r w:rsidRPr="00085722">
        <w:t xml:space="preserve">, </w:t>
      </w:r>
      <w:r>
        <w:t xml:space="preserve">5584, </w:t>
      </w:r>
      <w:r w:rsidRPr="00085722">
        <w:t xml:space="preserve">paras. 57-61, 78-79, 84; </w:t>
      </w:r>
      <w:r w:rsidRPr="00A96B84">
        <w:rPr>
          <w:i/>
        </w:rPr>
        <w:t>Structure and Practices of the Video Relay Service Program</w:t>
      </w:r>
      <w:r w:rsidRPr="00A96B84">
        <w:t>, Second Report and Order and Order</w:t>
      </w:r>
      <w:r>
        <w:t xml:space="preserve">, </w:t>
      </w:r>
      <w:r w:rsidRPr="00085722">
        <w:t xml:space="preserve">26 FCC Rcd </w:t>
      </w:r>
      <w:r>
        <w:t xml:space="preserve">10898, </w:t>
      </w:r>
      <w:r w:rsidRPr="00085722">
        <w:t>10899-900, para. 3</w:t>
      </w:r>
      <w:r>
        <w:t xml:space="preserve"> (2011)</w:t>
      </w:r>
      <w:r w:rsidRPr="00085722">
        <w:t xml:space="preserve">; </w:t>
      </w:r>
      <w:r w:rsidRPr="00085722">
        <w:rPr>
          <w:i/>
        </w:rPr>
        <w:t>2013 VRS Reform Order</w:t>
      </w:r>
      <w:r w:rsidRPr="00085722">
        <w:t xml:space="preserve">, 28 FCC Rcd at 6847-56, paras. 68-86. </w:t>
      </w:r>
    </w:p>
  </w:footnote>
  <w:footnote w:id="138">
    <w:p w:rsidR="00134604" w:rsidRDefault="00134604" w:rsidP="00134604">
      <w:pPr>
        <w:pStyle w:val="FootnoteText"/>
      </w:pPr>
      <w:r w:rsidRPr="00085722">
        <w:rPr>
          <w:rStyle w:val="FootnoteReference"/>
        </w:rPr>
        <w:footnoteRef/>
      </w:r>
      <w:r w:rsidRPr="00085722">
        <w:t xml:space="preserve"> </w:t>
      </w:r>
      <w:r w:rsidRPr="0045557D">
        <w:rPr>
          <w:i/>
        </w:rPr>
        <w:t>See</w:t>
      </w:r>
      <w:r>
        <w:t xml:space="preserve"> </w:t>
      </w:r>
      <w:r w:rsidRPr="00085722">
        <w:t>2015 ZVRS Comments at 6-8; 2015 ZVRS Reply Comments at 6-8; 2015 Consumer Groups Comments at 12; 2015 RID Comments at 10-11; 2015</w:t>
      </w:r>
      <w:r w:rsidRPr="00B30B77">
        <w:t xml:space="preserve"> ASL Services Comments at 18-19.</w:t>
      </w:r>
    </w:p>
  </w:footnote>
  <w:footnote w:id="139">
    <w:p w:rsidR="00134604" w:rsidRPr="00085722" w:rsidRDefault="00134604" w:rsidP="00134604">
      <w:pPr>
        <w:pStyle w:val="FootnoteText"/>
      </w:pPr>
      <w:r>
        <w:rPr>
          <w:rStyle w:val="FootnoteReference"/>
        </w:rPr>
        <w:footnoteRef/>
      </w:r>
      <w:r>
        <w:t xml:space="preserve"> </w:t>
      </w:r>
      <w:r w:rsidRPr="00A348FC">
        <w:t xml:space="preserve">There is considerable support in the record </w:t>
      </w:r>
      <w:r>
        <w:t xml:space="preserve">for </w:t>
      </w:r>
      <w:r w:rsidRPr="00A348FC">
        <w:t>this rule change.</w:t>
      </w:r>
      <w:r>
        <w:t xml:space="preserve">  </w:t>
      </w:r>
      <w:r>
        <w:rPr>
          <w:i/>
        </w:rPr>
        <w:t>See e.g.</w:t>
      </w:r>
      <w:r>
        <w:t>, 2015 Consumer Groups Comments at 11-12;</w:t>
      </w:r>
      <w:r w:rsidRPr="00FD76EB">
        <w:t xml:space="preserve"> </w:t>
      </w:r>
      <w:r>
        <w:t>2015 ZVRS Comments at 2-7; 2015 ASL Services Comments</w:t>
      </w:r>
      <w:r w:rsidDel="00B30B77">
        <w:t xml:space="preserve"> </w:t>
      </w:r>
      <w:r>
        <w:t>at 18</w:t>
      </w:r>
      <w:r w:rsidRPr="00046BEE">
        <w:t>.</w:t>
      </w:r>
      <w:r>
        <w:t xml:space="preserve">  We thus disagree with those commenters who continue to doubt </w:t>
      </w:r>
      <w:r w:rsidRPr="00085722">
        <w:t>that the recent advances in technology and available safeguards will ensure VRS providers can meet the Commission’s TRS mandatory minimum standards.  2015 Sorenson Comments at 17-19; 2015 Convo Comments at 19; 2015 Purple Comments at 11.</w:t>
      </w:r>
    </w:p>
  </w:footnote>
  <w:footnote w:id="140">
    <w:p w:rsidR="00134604" w:rsidRPr="00085722" w:rsidRDefault="00134604" w:rsidP="00134604">
      <w:pPr>
        <w:pStyle w:val="FootnoteText"/>
      </w:pPr>
      <w:r w:rsidRPr="00085722">
        <w:rPr>
          <w:rStyle w:val="FootnoteReference"/>
        </w:rPr>
        <w:footnoteRef/>
      </w:r>
      <w:r w:rsidRPr="00085722">
        <w:t xml:space="preserve"> </w:t>
      </w:r>
      <w:r w:rsidRPr="0045557D">
        <w:rPr>
          <w:i/>
        </w:rPr>
        <w:t>See</w:t>
      </w:r>
      <w:r>
        <w:t xml:space="preserve"> </w:t>
      </w:r>
      <w:r w:rsidRPr="00085722">
        <w:t>2015 ZVRS Reply Comments at 6-7.</w:t>
      </w:r>
    </w:p>
  </w:footnote>
  <w:footnote w:id="141">
    <w:p w:rsidR="00134604" w:rsidRPr="00085722" w:rsidRDefault="00134604" w:rsidP="00134604">
      <w:pPr>
        <w:pStyle w:val="FootnoteText"/>
      </w:pPr>
      <w:r w:rsidRPr="00085722">
        <w:rPr>
          <w:rStyle w:val="FootnoteReference"/>
        </w:rPr>
        <w:footnoteRef/>
      </w:r>
      <w:r w:rsidRPr="00085722">
        <w:t xml:space="preserve"> </w:t>
      </w:r>
      <w:r w:rsidRPr="00085722">
        <w:rPr>
          <w:i/>
        </w:rPr>
        <w:t xml:space="preserve">See </w:t>
      </w:r>
      <w:r w:rsidRPr="00A96B84">
        <w:rPr>
          <w:i/>
        </w:rPr>
        <w:t>id</w:t>
      </w:r>
      <w:r>
        <w:t>.</w:t>
      </w:r>
      <w:r w:rsidRPr="00085722">
        <w:t xml:space="preserve"> at 8.</w:t>
      </w:r>
    </w:p>
  </w:footnote>
  <w:footnote w:id="142">
    <w:p w:rsidR="00134604" w:rsidRDefault="00134604" w:rsidP="00134604">
      <w:pPr>
        <w:pStyle w:val="FootnoteText"/>
      </w:pPr>
      <w:r w:rsidRPr="00085722">
        <w:rPr>
          <w:rStyle w:val="FootnoteReference"/>
        </w:rPr>
        <w:footnoteRef/>
      </w:r>
      <w:r w:rsidRPr="00085722">
        <w:t xml:space="preserve"> Some interpreters who would be available for at-home interpreting may be unable to travel to a VRS provider’s call centers due to lack of proximity, inadequate public transportation options, </w:t>
      </w:r>
      <w:r>
        <w:t>or</w:t>
      </w:r>
      <w:r w:rsidRPr="00085722">
        <w:t xml:space="preserve"> physical limitations.  </w:t>
      </w:r>
      <w:r w:rsidRPr="00085722">
        <w:rPr>
          <w:i/>
        </w:rPr>
        <w:t xml:space="preserve">See </w:t>
      </w:r>
      <w:r w:rsidRPr="00085722">
        <w:t>2015 RID Comments at 11; 2015 ZVRS Comments at 4-5</w:t>
      </w:r>
      <w:r>
        <w:t xml:space="preserve">. </w:t>
      </w:r>
    </w:p>
  </w:footnote>
  <w:footnote w:id="143">
    <w:p w:rsidR="00134604" w:rsidRDefault="00134604" w:rsidP="00134604">
      <w:pPr>
        <w:pStyle w:val="FootnoteText"/>
      </w:pPr>
      <w:r>
        <w:rPr>
          <w:rStyle w:val="FootnoteReference"/>
        </w:rPr>
        <w:footnoteRef/>
      </w:r>
      <w:r>
        <w:t xml:space="preserve"> </w:t>
      </w:r>
      <w:r>
        <w:rPr>
          <w:i/>
        </w:rPr>
        <w:t xml:space="preserve">See </w:t>
      </w:r>
      <w:r>
        <w:t>2015 ZVRS Comments at 5; 2015 RID Comments at 11.</w:t>
      </w:r>
    </w:p>
  </w:footnote>
  <w:footnote w:id="144">
    <w:p w:rsidR="00134604" w:rsidRDefault="00134604" w:rsidP="00134604">
      <w:pPr>
        <w:pStyle w:val="FootnoteText"/>
      </w:pPr>
      <w:r>
        <w:rPr>
          <w:rStyle w:val="FootnoteReference"/>
        </w:rPr>
        <w:footnoteRef/>
      </w:r>
      <w:r>
        <w:t xml:space="preserve"> </w:t>
      </w:r>
      <w:r w:rsidRPr="0045557D">
        <w:rPr>
          <w:i/>
        </w:rPr>
        <w:t>See</w:t>
      </w:r>
      <w:r>
        <w:t xml:space="preserve"> 2015 ZVRS Comments at 4-5. </w:t>
      </w:r>
    </w:p>
  </w:footnote>
  <w:footnote w:id="145">
    <w:p w:rsidR="00134604" w:rsidRDefault="00134604" w:rsidP="00134604">
      <w:pPr>
        <w:pStyle w:val="FootnoteText"/>
      </w:pPr>
      <w:r w:rsidRPr="00085722">
        <w:rPr>
          <w:rStyle w:val="FootnoteReference"/>
        </w:rPr>
        <w:footnoteRef/>
      </w:r>
      <w:r w:rsidRPr="00085722">
        <w:t xml:space="preserve"> The Commission</w:t>
      </w:r>
      <w:r>
        <w:t>’s</w:t>
      </w:r>
      <w:r w:rsidRPr="00085722">
        <w:t xml:space="preserve"> rules require strict confidentiality for all relay calls to ensure a private calling experience that is functionally equivalent to the caller privacy of non-relay users. </w:t>
      </w:r>
      <w:r>
        <w:t xml:space="preserve"> </w:t>
      </w:r>
      <w:r w:rsidRPr="00085722">
        <w:t xml:space="preserve">47 C.F.R. § 64.604(a)(2); </w:t>
      </w:r>
      <w:r w:rsidRPr="00085722">
        <w:rPr>
          <w:i/>
        </w:rPr>
        <w:t>see</w:t>
      </w:r>
      <w:r w:rsidRPr="00085722">
        <w:t xml:space="preserve"> </w:t>
      </w:r>
      <w:r w:rsidRPr="00085722">
        <w:rPr>
          <w:rStyle w:val="FootnoteTextChar1"/>
          <w:i/>
        </w:rPr>
        <w:t>Telecommunications Services for Individuals with Hearing and Speech Disabilities and the Americans with Disabilities Act,</w:t>
      </w:r>
      <w:r w:rsidRPr="00085722">
        <w:rPr>
          <w:rStyle w:val="FootnoteTextChar1"/>
        </w:rPr>
        <w:t xml:space="preserve"> Report and Order and Request for Comments, 6 FCC Rcd 4657, 4659, para. 13 (1991); </w:t>
      </w:r>
      <w:r w:rsidRPr="00E80635">
        <w:rPr>
          <w:i/>
        </w:rPr>
        <w:t>2000 TRS Order</w:t>
      </w:r>
      <w:r>
        <w:t xml:space="preserve">, </w:t>
      </w:r>
      <w:r w:rsidRPr="00085722">
        <w:rPr>
          <w:rStyle w:val="FootnoteTextChar1"/>
        </w:rPr>
        <w:t xml:space="preserve">15 FCC Rcd </w:t>
      </w:r>
      <w:r>
        <w:rPr>
          <w:rStyle w:val="FootnoteTextChar1"/>
        </w:rPr>
        <w:t xml:space="preserve">at </w:t>
      </w:r>
      <w:r w:rsidRPr="00085722">
        <w:rPr>
          <w:rStyle w:val="FootnoteTextChar1"/>
        </w:rPr>
        <w:t>5164, para. 54.</w:t>
      </w:r>
    </w:p>
  </w:footnote>
  <w:footnote w:id="146">
    <w:p w:rsidR="00134604" w:rsidRDefault="00134604" w:rsidP="00134604">
      <w:pPr>
        <w:pStyle w:val="FootnoteText"/>
      </w:pPr>
      <w:r>
        <w:rPr>
          <w:rStyle w:val="FootnoteReference"/>
        </w:rPr>
        <w:footnoteRef/>
      </w:r>
      <w:r>
        <w:t xml:space="preserve"> Some commenters suggest relying on ZVRS’s previous </w:t>
      </w:r>
      <w:r w:rsidRPr="007C0D7C">
        <w:t xml:space="preserve">at-home interpreting program, as detailed in the </w:t>
      </w:r>
      <w:r w:rsidRPr="007C0D7C">
        <w:rPr>
          <w:i/>
        </w:rPr>
        <w:t>ZVRS Waiver Petition</w:t>
      </w:r>
      <w:r w:rsidRPr="007C0D7C">
        <w:t xml:space="preserve">, as a useful model for implementing safeguards.  </w:t>
      </w:r>
      <w:r w:rsidRPr="007C0D7C">
        <w:rPr>
          <w:i/>
        </w:rPr>
        <w:t xml:space="preserve">See </w:t>
      </w:r>
      <w:r w:rsidRPr="007C0D7C">
        <w:t>2015 Consumer Group Comments at 11-12; 2015 ASL Services Comments at 18; 2015 ZVRS Comments at 4-5.  We</w:t>
      </w:r>
      <w:r>
        <w:t xml:space="preserve"> draw on several of these practices in this order.</w:t>
      </w:r>
    </w:p>
  </w:footnote>
  <w:footnote w:id="147">
    <w:p w:rsidR="00134604" w:rsidRDefault="00134604" w:rsidP="00134604">
      <w:pPr>
        <w:pStyle w:val="FootnoteText"/>
      </w:pPr>
      <w:r>
        <w:rPr>
          <w:rStyle w:val="FootnoteReference"/>
        </w:rPr>
        <w:footnoteRef/>
      </w:r>
      <w:r>
        <w:t xml:space="preserve"> </w:t>
      </w:r>
      <w:r w:rsidRPr="004B12E3">
        <w:t xml:space="preserve">Sorenson </w:t>
      </w:r>
      <w:r>
        <w:t xml:space="preserve">questions the extent </w:t>
      </w:r>
      <w:r w:rsidRPr="004B12E3">
        <w:t xml:space="preserve">that technical and structural safeguards </w:t>
      </w:r>
      <w:r>
        <w:t xml:space="preserve">can </w:t>
      </w:r>
      <w:r w:rsidRPr="004B12E3">
        <w:t>deter the potential for fraud</w:t>
      </w:r>
      <w:r>
        <w:t xml:space="preserve">.  2015 Sorenson Comments at 16-17.  However, </w:t>
      </w:r>
      <w:r w:rsidRPr="004B12E3">
        <w:t>we agree with ZVRS that if safeguards are properly implemented and maintained</w:t>
      </w:r>
      <w:r>
        <w:t>,</w:t>
      </w:r>
      <w:r w:rsidRPr="004B12E3">
        <w:t xml:space="preserve"> VRS providers should be able to ensure an equivalent level of oversight </w:t>
      </w:r>
      <w:r>
        <w:t xml:space="preserve">to that it exercises in </w:t>
      </w:r>
      <w:r w:rsidRPr="004B12E3">
        <w:t xml:space="preserve">the call center environment </w:t>
      </w:r>
      <w:r>
        <w:t xml:space="preserve">for the purpose of </w:t>
      </w:r>
      <w:r w:rsidRPr="004B12E3">
        <w:t>deterring fraud</w:t>
      </w:r>
      <w:r>
        <w:t xml:space="preserve">.  2015 ZVRS Reply Comments at 5.  </w:t>
      </w:r>
    </w:p>
  </w:footnote>
  <w:footnote w:id="148">
    <w:p w:rsidR="00134604" w:rsidRDefault="00134604" w:rsidP="00134604">
      <w:pPr>
        <w:pStyle w:val="FootnoteText"/>
      </w:pPr>
      <w:r>
        <w:rPr>
          <w:rStyle w:val="FootnoteReference"/>
        </w:rPr>
        <w:footnoteRef/>
      </w:r>
      <w:r>
        <w:t xml:space="preserve"> </w:t>
      </w:r>
      <w:r w:rsidRPr="0045557D">
        <w:rPr>
          <w:i/>
        </w:rPr>
        <w:t>See</w:t>
      </w:r>
      <w:r>
        <w:t xml:space="preserve"> ZVRS Waiver Petition at 2.</w:t>
      </w:r>
    </w:p>
  </w:footnote>
  <w:footnote w:id="149">
    <w:p w:rsidR="00134604" w:rsidRDefault="00134604" w:rsidP="00134604">
      <w:pPr>
        <w:pStyle w:val="FootnoteText"/>
      </w:pPr>
      <w:r>
        <w:rPr>
          <w:rStyle w:val="FootnoteReference"/>
        </w:rPr>
        <w:footnoteRef/>
      </w:r>
      <w:r>
        <w:t xml:space="preserve"> </w:t>
      </w:r>
      <w:r w:rsidRPr="0045557D">
        <w:rPr>
          <w:i/>
        </w:rPr>
        <w:t>See</w:t>
      </w:r>
      <w:r>
        <w:t xml:space="preserve"> ZVRS Waiver Petition at 2; 2015 Consumer Group Comments at 12 (supporting ZVRS’s previous practice of allowing a CA to join the at-home program after three years of call center performance); 2015 ZVRS Reply Comments at 4; </w:t>
      </w:r>
      <w:r>
        <w:rPr>
          <w:i/>
        </w:rPr>
        <w:t>cf.</w:t>
      </w:r>
      <w:r>
        <w:t xml:space="preserve"> 2015 ASL Services Comments at 18 (supporting a minimum pre-employment period for CAs).  Although ZVRS reports that all CAs in its original at-home call handling program (prior to the Commission ban) were certified members of the Registry of Interpreters for the Deaf, given the Commission’s previous finding that interpreter certification is not always an effective indicator of an interpreter’s skills and expertise, we do not impose this requirement.  </w:t>
      </w:r>
      <w:r w:rsidRPr="00EB4963">
        <w:rPr>
          <w:i/>
        </w:rPr>
        <w:t>See</w:t>
      </w:r>
      <w:r>
        <w:t xml:space="preserve"> </w:t>
      </w:r>
      <w:r w:rsidRPr="00EB4963">
        <w:rPr>
          <w:i/>
        </w:rPr>
        <w:t>2013 VRS Reform Order</w:t>
      </w:r>
      <w:r>
        <w:rPr>
          <w:i/>
        </w:rPr>
        <w:t xml:space="preserve">, </w:t>
      </w:r>
      <w:r w:rsidRPr="00B65531">
        <w:t>28 FCC Rcd at 8689-90, paras. 177-78 &amp; n. 458</w:t>
      </w:r>
      <w:r>
        <w:t xml:space="preserve">.  ZVRS also reports that its CAs were admitted into the at-home interpreting program only after a screening process to ensure a minimum level of “proven integrity and ethical decision-making ability.”  ZVRS Waiver Petition at 6.  We expect all VRS CAs to comport themselves in an ethical manner, regardless of their location. </w:t>
      </w:r>
    </w:p>
  </w:footnote>
  <w:footnote w:id="150">
    <w:p w:rsidR="00134604" w:rsidRDefault="00134604" w:rsidP="00134604">
      <w:pPr>
        <w:pStyle w:val="FootnoteText"/>
      </w:pPr>
      <w:r>
        <w:rPr>
          <w:rStyle w:val="FootnoteReference"/>
        </w:rPr>
        <w:footnoteRef/>
      </w:r>
      <w:r>
        <w:t xml:space="preserve"> </w:t>
      </w:r>
      <w:r w:rsidRPr="0045557D">
        <w:rPr>
          <w:i/>
        </w:rPr>
        <w:t>See</w:t>
      </w:r>
      <w:r w:rsidRPr="0045557D">
        <w:t xml:space="preserve"> </w:t>
      </w:r>
      <w:r>
        <w:t>2015 RID Comments at 11; 2015 ASL Services Comments at 18.</w:t>
      </w:r>
    </w:p>
  </w:footnote>
  <w:footnote w:id="151">
    <w:p w:rsidR="00134604" w:rsidRPr="009D47CC" w:rsidRDefault="00134604" w:rsidP="00134604">
      <w:pPr>
        <w:pStyle w:val="FootnoteText"/>
      </w:pPr>
      <w:r>
        <w:rPr>
          <w:rStyle w:val="FootnoteReference"/>
        </w:rPr>
        <w:footnoteRef/>
      </w:r>
      <w:r>
        <w:t xml:space="preserve"> Fraud prevention rules include rules pertaining to </w:t>
      </w:r>
      <w:r w:rsidRPr="00250D91">
        <w:t>privacy scree</w:t>
      </w:r>
      <w:r>
        <w:t>n</w:t>
      </w:r>
      <w:r w:rsidRPr="00250D91">
        <w:t xml:space="preserve">s, idle calls, CA compensation and whistle blowing.  </w:t>
      </w:r>
      <w:r w:rsidRPr="00250D91">
        <w:rPr>
          <w:i/>
        </w:rPr>
        <w:t>See</w:t>
      </w:r>
      <w:r w:rsidRPr="00250D91">
        <w:t xml:space="preserve"> 47 CFR § 64.604(a)(6), (c)(5)(iii)</w:t>
      </w:r>
      <w:r>
        <w:t xml:space="preserve">(M), </w:t>
      </w:r>
      <w:r w:rsidRPr="00250D91">
        <w:t>(N)(</w:t>
      </w:r>
      <w:r w:rsidRPr="0045557D">
        <w:rPr>
          <w:i/>
        </w:rPr>
        <w:t>3</w:t>
      </w:r>
      <w:r w:rsidRPr="00CF5D24">
        <w:t>).</w:t>
      </w:r>
      <w:r>
        <w:t xml:space="preserve">  Providers must retain </w:t>
      </w:r>
      <w:r w:rsidRPr="00E839DE">
        <w:t xml:space="preserve">such documents </w:t>
      </w:r>
      <w:r>
        <w:t>for the duration of the pilot program, and provide them to the Commission upon request</w:t>
      </w:r>
      <w:r w:rsidRPr="00E839DE">
        <w:t xml:space="preserve">. </w:t>
      </w:r>
      <w:r>
        <w:t xml:space="preserve"> </w:t>
      </w:r>
      <w:r w:rsidRPr="00B50961">
        <w:rPr>
          <w:i/>
        </w:rPr>
        <w:t>See generally</w:t>
      </w:r>
      <w:r w:rsidRPr="00E839DE">
        <w:t xml:space="preserve"> 2015 ZVRS Comments at 6 (</w:t>
      </w:r>
      <w:r w:rsidRPr="00AE1769">
        <w:t>suggesting such certifications</w:t>
      </w:r>
      <w:r>
        <w:t xml:space="preserve">).  </w:t>
      </w:r>
    </w:p>
  </w:footnote>
  <w:footnote w:id="152">
    <w:p w:rsidR="00134604" w:rsidRDefault="00134604" w:rsidP="00134604">
      <w:pPr>
        <w:pStyle w:val="FootnoteText"/>
      </w:pPr>
      <w:r>
        <w:rPr>
          <w:rStyle w:val="FootnoteReference"/>
        </w:rPr>
        <w:footnoteRef/>
      </w:r>
      <w:r>
        <w:t xml:space="preserve"> </w:t>
      </w:r>
      <w:r w:rsidRPr="0045557D">
        <w:rPr>
          <w:i/>
        </w:rPr>
        <w:t>See</w:t>
      </w:r>
      <w:r w:rsidRPr="0045557D">
        <w:t xml:space="preserve"> </w:t>
      </w:r>
      <w:r>
        <w:t>2015 RID Comments at 11; 2015 ASL Services Comments at 18 (supporting CA training); 2015 Consumer Groups Comments at 12 (supporting adoption of controls necessary to ensure VRS calls are handled properly and securely).</w:t>
      </w:r>
    </w:p>
  </w:footnote>
  <w:footnote w:id="153">
    <w:p w:rsidR="00134604" w:rsidRPr="00B160AC" w:rsidRDefault="00134604" w:rsidP="00134604">
      <w:pPr>
        <w:pStyle w:val="FootnoteText"/>
        <w:rPr>
          <w:i/>
        </w:rPr>
      </w:pPr>
      <w:r>
        <w:rPr>
          <w:rStyle w:val="FootnoteReference"/>
        </w:rPr>
        <w:footnoteRef/>
      </w:r>
      <w:r>
        <w:t xml:space="preserve"> </w:t>
      </w:r>
      <w:r>
        <w:rPr>
          <w:i/>
        </w:rPr>
        <w:t>See</w:t>
      </w:r>
      <w:r>
        <w:t xml:space="preserve"> </w:t>
      </w:r>
      <w:r>
        <w:rPr>
          <w:i/>
        </w:rPr>
        <w:t>2011 VRS Call Practices Order</w:t>
      </w:r>
      <w:r>
        <w:t>, 26 FCC Rcd at 5557-58, para. 19.</w:t>
      </w:r>
    </w:p>
  </w:footnote>
  <w:footnote w:id="154">
    <w:p w:rsidR="00134604" w:rsidRPr="007142C7" w:rsidRDefault="00134604" w:rsidP="00134604">
      <w:pPr>
        <w:pStyle w:val="FootnoteText"/>
      </w:pPr>
      <w:r>
        <w:rPr>
          <w:rStyle w:val="FootnoteReference"/>
        </w:rPr>
        <w:footnoteRef/>
      </w:r>
      <w:r>
        <w:t xml:space="preserve"> </w:t>
      </w:r>
      <w:r w:rsidRPr="00744F0A">
        <w:rPr>
          <w:i/>
        </w:rPr>
        <w:t>Cf</w:t>
      </w:r>
      <w:r>
        <w:t xml:space="preserve">. 2015 ZVRS Waiver Petition at 6; 2015 ASL Services Comments at 18-19 (each suggesting that interpreters be removed from the at-home program for noncompliance); 2015 Consumer Groups Comments at 12.  </w:t>
      </w:r>
    </w:p>
  </w:footnote>
  <w:footnote w:id="155">
    <w:p w:rsidR="00134604" w:rsidRDefault="00134604" w:rsidP="00134604">
      <w:pPr>
        <w:pStyle w:val="FootnoteText"/>
      </w:pPr>
      <w:r>
        <w:rPr>
          <w:rStyle w:val="FootnoteReference"/>
        </w:rPr>
        <w:footnoteRef/>
      </w:r>
      <w:r>
        <w:t xml:space="preserve"> </w:t>
      </w:r>
      <w:r w:rsidRPr="0045557D">
        <w:rPr>
          <w:i/>
        </w:rPr>
        <w:t>See</w:t>
      </w:r>
      <w:r w:rsidRPr="0045557D">
        <w:t xml:space="preserve"> </w:t>
      </w:r>
      <w:r>
        <w:t>2015 RID Comments at 10-11 (noting the importance of establishing expectations for at-home CAs).</w:t>
      </w:r>
    </w:p>
  </w:footnote>
  <w:footnote w:id="156">
    <w:p w:rsidR="00134604" w:rsidRPr="00E45028" w:rsidRDefault="00134604" w:rsidP="00134604">
      <w:pPr>
        <w:pStyle w:val="FootnoteText"/>
      </w:pPr>
      <w:r>
        <w:rPr>
          <w:rStyle w:val="FootnoteReference"/>
        </w:rPr>
        <w:footnoteRef/>
      </w:r>
      <w:r>
        <w:t xml:space="preserve"> </w:t>
      </w:r>
      <w:r>
        <w:rPr>
          <w:i/>
        </w:rPr>
        <w:t>See</w:t>
      </w:r>
      <w:r>
        <w:t xml:space="preserve"> 2015 ZVRS Reply Comments at 8 (discussing call center architecture allowing for call center redundancy capabilities to apply equally to at-home workstations). </w:t>
      </w:r>
    </w:p>
  </w:footnote>
  <w:footnote w:id="157">
    <w:p w:rsidR="00134604" w:rsidRDefault="00134604" w:rsidP="00134604">
      <w:pPr>
        <w:pStyle w:val="FootnoteText"/>
      </w:pPr>
      <w:r>
        <w:rPr>
          <w:rStyle w:val="FootnoteReference"/>
        </w:rPr>
        <w:footnoteRef/>
      </w:r>
      <w:r>
        <w:t xml:space="preserve"> </w:t>
      </w:r>
      <w:r w:rsidRPr="0045557D">
        <w:rPr>
          <w:i/>
        </w:rPr>
        <w:t>See</w:t>
      </w:r>
      <w:r w:rsidRPr="0045557D">
        <w:t xml:space="preserve"> </w:t>
      </w:r>
      <w:r>
        <w:t>2015 ZVRS Comments at 6; 2015 Consumer Groups Comments at 12; 2015 ASL Services Comments at 18-19.</w:t>
      </w:r>
    </w:p>
  </w:footnote>
  <w:footnote w:id="158">
    <w:p w:rsidR="00134604" w:rsidRPr="00571C4C" w:rsidRDefault="00134604" w:rsidP="00134604">
      <w:pPr>
        <w:pStyle w:val="FootnoteText"/>
      </w:pPr>
      <w:r>
        <w:rPr>
          <w:rStyle w:val="FootnoteReference"/>
        </w:rPr>
        <w:footnoteRef/>
      </w:r>
      <w:r>
        <w:t xml:space="preserve"> </w:t>
      </w:r>
      <w:r>
        <w:rPr>
          <w:i/>
        </w:rPr>
        <w:t xml:space="preserve">See </w:t>
      </w:r>
      <w:r>
        <w:t>2015</w:t>
      </w:r>
      <w:r>
        <w:rPr>
          <w:i/>
        </w:rPr>
        <w:t xml:space="preserve"> </w:t>
      </w:r>
      <w:r>
        <w:t xml:space="preserve">ZVRS Reply Comments at 8.  This safeguard will address concerns raised by Convo and Sorenson that CAs working from home may be unable to handle emergency calls or fulfill quality standards that require teaming with another CA, in-person monitoring, and access to call center technology.  </w:t>
      </w:r>
      <w:r w:rsidRPr="009521CB">
        <w:rPr>
          <w:i/>
        </w:rPr>
        <w:t xml:space="preserve">See </w:t>
      </w:r>
      <w:r>
        <w:t xml:space="preserve">2015 Convo Comments at 19; 2015 Sorenson Comments at 18.  ZVRS further recommends a requirement for the at-home workspace to mimic the appearance of the VRS provider’s </w:t>
      </w:r>
      <w:r w:rsidRPr="00CF5D24">
        <w:t>call center in lighting and color to create a uniform VRS experience regardless of location.  2015 ZVRS Comments at 7.  While creating such an environment may be helpful, we decline to require this standard as it does not appear necessary</w:t>
      </w:r>
      <w:r>
        <w:t xml:space="preserve"> to reduce fraud or ensure that calls handled from such locations are in compliance with the Commission’s mandatory minimum standards.</w:t>
      </w:r>
    </w:p>
  </w:footnote>
  <w:footnote w:id="159">
    <w:p w:rsidR="00134604" w:rsidRPr="009B1CE9" w:rsidRDefault="00134604" w:rsidP="00134604">
      <w:pPr>
        <w:pStyle w:val="FootnoteText"/>
      </w:pPr>
      <w:r>
        <w:rPr>
          <w:rStyle w:val="FootnoteReference"/>
        </w:rPr>
        <w:footnoteRef/>
      </w:r>
      <w:r>
        <w:t xml:space="preserve"> </w:t>
      </w:r>
      <w:r>
        <w:rPr>
          <w:i/>
        </w:rPr>
        <w:t>See</w:t>
      </w:r>
      <w:r>
        <w:t xml:space="preserve"> 47 CFR §§ 64.604(b), 64.605.</w:t>
      </w:r>
    </w:p>
  </w:footnote>
  <w:footnote w:id="160">
    <w:p w:rsidR="00134604" w:rsidRPr="00E82209" w:rsidRDefault="00134604" w:rsidP="00134604">
      <w:pPr>
        <w:pStyle w:val="FootnoteText"/>
      </w:pPr>
      <w:r>
        <w:rPr>
          <w:rStyle w:val="FootnoteReference"/>
        </w:rPr>
        <w:footnoteRef/>
      </w:r>
      <w:r>
        <w:t xml:space="preserve"> </w:t>
      </w:r>
      <w:r>
        <w:rPr>
          <w:i/>
        </w:rPr>
        <w:t xml:space="preserve">See </w:t>
      </w:r>
      <w:r>
        <w:t xml:space="preserve">2015 ZVRS Reply Comments at 8.  We believe that these safeguards will address the concerns of some commenters about ensuring that the home environment has redundancy features, including reliable Internet services, and the ability to handle all 911 calls.  </w:t>
      </w:r>
      <w:r w:rsidRPr="0045557D">
        <w:rPr>
          <w:i/>
        </w:rPr>
        <w:t>See</w:t>
      </w:r>
      <w:r w:rsidRPr="0045557D">
        <w:t xml:space="preserve"> </w:t>
      </w:r>
      <w:r>
        <w:rPr>
          <w:i/>
        </w:rPr>
        <w:t>2011 VRS Call Practices Order</w:t>
      </w:r>
      <w:r>
        <w:t>, 26 FCC Rcd at 5557, para. 18; 2015 Convo Comments at 19; 2015 Sorenson Comments at 17.  ZVRS asserts that residential broadband service can exceed the benchmarks expected in agreements for business-level Internet service and that average latency and packet loss rates for consumer broadband service are below the levels at which the quality of video-based services, such as VRS are likely to be affected.  2015 ZVRS Reply Comments at 7-8 (</w:t>
      </w:r>
      <w:r w:rsidRPr="00B50961">
        <w:t xml:space="preserve">citing </w:t>
      </w:r>
      <w:r>
        <w:t xml:space="preserve">FCC, 2015 Measuring Broadband America: Fixed Broadband Report at 17-19 (2015), </w:t>
      </w:r>
      <w:hyperlink r:id="rId2" w:history="1">
        <w:r w:rsidRPr="009E0446">
          <w:rPr>
            <w:rStyle w:val="Hyperlink"/>
          </w:rPr>
          <w:t>http://data.fcc.gov/download/measuring-broadband-america/2015/2015-Fixed-Measuring-Broadband-America-Report.pdf</w:t>
        </w:r>
      </w:hyperlink>
      <w:r>
        <w:t xml:space="preserve">).  This responds to claims that VRS calls received on at-home workstations will lack the necessary technical resources to prevent emergency and other calls from being dropped.  </w:t>
      </w:r>
      <w:r w:rsidRPr="00B646CB">
        <w:rPr>
          <w:i/>
        </w:rPr>
        <w:t xml:space="preserve">See </w:t>
      </w:r>
      <w:r>
        <w:t xml:space="preserve">2015 Sorenson Comments at 17.  However, we will not require providers to install back-up generators for each at-home workstation so long as they have other effective means of re-routing calls to operating call centers and other at-home locations in the event that one or more at-home workstations lose power.  We believe that eliminating this requirement during the pilot program will reduce burdens on providers, while not adversely affecting the consumer experience.  We will use the results of the pilot program to evaluate whether we are correct in this assumption. </w:t>
      </w:r>
    </w:p>
  </w:footnote>
  <w:footnote w:id="161">
    <w:p w:rsidR="00134604" w:rsidRDefault="00134604" w:rsidP="00134604">
      <w:pPr>
        <w:pStyle w:val="FootnoteText"/>
      </w:pPr>
      <w:r>
        <w:rPr>
          <w:rStyle w:val="FootnoteReference"/>
        </w:rPr>
        <w:footnoteRef/>
      </w:r>
      <w:r>
        <w:t xml:space="preserve"> </w:t>
      </w:r>
      <w:r>
        <w:rPr>
          <w:i/>
        </w:rPr>
        <w:t>See</w:t>
      </w:r>
      <w:r>
        <w:t xml:space="preserve"> </w:t>
      </w:r>
      <w:r>
        <w:rPr>
          <w:i/>
        </w:rPr>
        <w:t>2011 VRS Call Practices Order</w:t>
      </w:r>
      <w:r>
        <w:t>, 26 FCC Rcd at 5557-58, para. 19; 2015 ZVRS Reply at 6 (noting that with this safeguard, the confidentiality of VRS calls will be the same regardless of whether the CA workspace is in a call center or a home office).</w:t>
      </w:r>
    </w:p>
  </w:footnote>
  <w:footnote w:id="162">
    <w:p w:rsidR="00134604" w:rsidRDefault="00134604" w:rsidP="00134604">
      <w:pPr>
        <w:pStyle w:val="FootnoteText"/>
      </w:pPr>
      <w:r>
        <w:rPr>
          <w:rStyle w:val="FootnoteReference"/>
        </w:rPr>
        <w:footnoteRef/>
      </w:r>
      <w:r>
        <w:t xml:space="preserve"> </w:t>
      </w:r>
      <w:r w:rsidRPr="0045557D">
        <w:rPr>
          <w:i/>
        </w:rPr>
        <w:t>See</w:t>
      </w:r>
      <w:r>
        <w:t xml:space="preserve"> 2015 ZVRS Comments at 6.</w:t>
      </w:r>
    </w:p>
  </w:footnote>
  <w:footnote w:id="163">
    <w:p w:rsidR="00134604" w:rsidRPr="00A4793D" w:rsidRDefault="00134604" w:rsidP="00134604">
      <w:pPr>
        <w:pStyle w:val="FootnoteText"/>
        <w:rPr>
          <w:i/>
        </w:rPr>
      </w:pPr>
      <w:r>
        <w:rPr>
          <w:rStyle w:val="FootnoteReference"/>
        </w:rPr>
        <w:footnoteRef/>
      </w:r>
      <w:r>
        <w:t xml:space="preserve"> </w:t>
      </w:r>
      <w:r>
        <w:rPr>
          <w:i/>
        </w:rPr>
        <w:t xml:space="preserve">See </w:t>
      </w:r>
      <w:r w:rsidRPr="003C574C">
        <w:rPr>
          <w:i/>
        </w:rPr>
        <w:t>id</w:t>
      </w:r>
      <w:r>
        <w:t xml:space="preserve">. at 6-7; 2015 Consumer Groups Comments at 12; 2015 ASL Services Comments at 18; 2015 VRSCA Reply Comments at 2. </w:t>
      </w:r>
    </w:p>
  </w:footnote>
  <w:footnote w:id="164">
    <w:p w:rsidR="00134604" w:rsidRDefault="00134604" w:rsidP="00134604">
      <w:pPr>
        <w:pStyle w:val="FootnoteText"/>
      </w:pPr>
      <w:r>
        <w:rPr>
          <w:rStyle w:val="FootnoteReference"/>
        </w:rPr>
        <w:footnoteRef/>
      </w:r>
      <w:r>
        <w:t xml:space="preserve"> 2015 ZVRS Comments at 7; 2015 ASL Services Comments at 18; 2015 Consumer Groups Comments at 12 (suggesting that the alteration of one of these monitoring systems should be grounds for removing a CA from the at-home interpreting program).</w:t>
      </w:r>
    </w:p>
  </w:footnote>
  <w:footnote w:id="165">
    <w:p w:rsidR="00134604" w:rsidRDefault="00134604" w:rsidP="00134604">
      <w:pPr>
        <w:pStyle w:val="FootnoteText"/>
      </w:pPr>
      <w:r>
        <w:rPr>
          <w:rStyle w:val="FootnoteReference"/>
        </w:rPr>
        <w:footnoteRef/>
      </w:r>
      <w:r>
        <w:t xml:space="preserve"> Monitoring technology that preserves the content of interpreted conversation should be handled in accordance with the Commission’s confidentiality rules, which provide</w:t>
      </w:r>
      <w:r w:rsidRPr="007062C5">
        <w:t xml:space="preserve"> that recordings of the content of any conversation may not be retained beyond the duration of a call</w:t>
      </w:r>
      <w:r>
        <w:t xml:space="preserve">.  47 CFR § 64.604(a)(2); </w:t>
      </w:r>
      <w:r w:rsidRPr="007E05F0">
        <w:rPr>
          <w:i/>
        </w:rPr>
        <w:t>see also</w:t>
      </w:r>
      <w:r>
        <w:t xml:space="preserve"> 2015 ZVRS Comments at 6-7 (to preserve user confidentiality, such monitoring software should not record the content of interpreted conversation).</w:t>
      </w:r>
    </w:p>
  </w:footnote>
  <w:footnote w:id="166">
    <w:p w:rsidR="00134604" w:rsidRDefault="00134604" w:rsidP="00134604">
      <w:pPr>
        <w:pStyle w:val="FootnoteText"/>
      </w:pPr>
      <w:r>
        <w:rPr>
          <w:rStyle w:val="FootnoteReference"/>
        </w:rPr>
        <w:footnoteRef/>
      </w:r>
      <w:r>
        <w:t xml:space="preserve"> </w:t>
      </w:r>
      <w:r w:rsidRPr="000972C7">
        <w:rPr>
          <w:i/>
        </w:rPr>
        <w:t>See</w:t>
      </w:r>
      <w:r>
        <w:t xml:space="preserve"> 47 CFR </w:t>
      </w:r>
      <w:r w:rsidRPr="00251A26">
        <w:t>§§</w:t>
      </w:r>
      <w:r>
        <w:t xml:space="preserve"> 64.604(c)(5)(iii)(D)(</w:t>
      </w:r>
      <w:r w:rsidRPr="000972C7">
        <w:rPr>
          <w:i/>
        </w:rPr>
        <w:t>6</w:t>
      </w:r>
      <w:r>
        <w:t>), (</w:t>
      </w:r>
      <w:r w:rsidRPr="000972C7">
        <w:rPr>
          <w:i/>
        </w:rPr>
        <w:t>7</w:t>
      </w:r>
      <w:r>
        <w:t>), (E)(</w:t>
      </w:r>
      <w:r w:rsidRPr="0045557D">
        <w:rPr>
          <w:i/>
        </w:rPr>
        <w:t>5</w:t>
      </w:r>
      <w:r>
        <w:t>), 606(a)(3).</w:t>
      </w:r>
    </w:p>
  </w:footnote>
  <w:footnote w:id="167">
    <w:p w:rsidR="006125D9" w:rsidRDefault="006125D9">
      <w:pPr>
        <w:pStyle w:val="FootnoteText"/>
      </w:pPr>
      <w:r>
        <w:rPr>
          <w:rStyle w:val="FootnoteReference"/>
        </w:rPr>
        <w:footnoteRef/>
      </w:r>
      <w:r>
        <w:t xml:space="preserve"> </w:t>
      </w:r>
      <w:r w:rsidRPr="006125D9">
        <w:rPr>
          <w:i/>
        </w:rPr>
        <w:t>See</w:t>
      </w:r>
      <w:r w:rsidRPr="006125D9">
        <w:t xml:space="preserve"> 47 CFR §§ 64.604(c)(5)(iii)(D)(</w:t>
      </w:r>
      <w:r w:rsidRPr="006125D9">
        <w:rPr>
          <w:i/>
        </w:rPr>
        <w:t>6</w:t>
      </w:r>
      <w:r w:rsidRPr="006125D9">
        <w:t>), (</w:t>
      </w:r>
      <w:r w:rsidRPr="006125D9">
        <w:rPr>
          <w:i/>
        </w:rPr>
        <w:t>7</w:t>
      </w:r>
      <w:r w:rsidRPr="006125D9">
        <w:t>), (E)(</w:t>
      </w:r>
      <w:r w:rsidRPr="006125D9">
        <w:rPr>
          <w:i/>
        </w:rPr>
        <w:t>5</w:t>
      </w:r>
      <w:r w:rsidRPr="006125D9">
        <w:t>), 606(a)(3).</w:t>
      </w:r>
    </w:p>
  </w:footnote>
  <w:footnote w:id="168">
    <w:p w:rsidR="00134604" w:rsidRDefault="00134604" w:rsidP="00134604">
      <w:pPr>
        <w:pStyle w:val="FootnoteText"/>
      </w:pPr>
      <w:r>
        <w:rPr>
          <w:rStyle w:val="FootnoteReference"/>
        </w:rPr>
        <w:footnoteRef/>
      </w:r>
      <w:r>
        <w:t xml:space="preserve"> </w:t>
      </w:r>
      <w:r w:rsidRPr="007062C5">
        <w:t xml:space="preserve">In light of these information reporting requirements, during the pilot program we do not require VRS providers to include </w:t>
      </w:r>
      <w:r>
        <w:t xml:space="preserve">redundant data pertaining to </w:t>
      </w:r>
      <w:r w:rsidRPr="007062C5">
        <w:t xml:space="preserve">at-home call handling workstations in semi-annual call center reports and in call center change notifications under the </w:t>
      </w:r>
      <w:r>
        <w:t xml:space="preserve">Commission’s </w:t>
      </w:r>
      <w:r w:rsidRPr="007062C5">
        <w:t xml:space="preserve">existing rules.  </w:t>
      </w:r>
      <w:r w:rsidRPr="007062C5">
        <w:rPr>
          <w:i/>
        </w:rPr>
        <w:t>See</w:t>
      </w:r>
      <w:r w:rsidRPr="007062C5">
        <w:t xml:space="preserve"> 47 CFR § 64.604(c)(5)(iii)(N)(</w:t>
      </w:r>
      <w:r w:rsidRPr="007062C5">
        <w:rPr>
          <w:i/>
        </w:rPr>
        <w:t>2</w:t>
      </w:r>
      <w:r w:rsidRPr="007062C5">
        <w:t>).</w:t>
      </w:r>
    </w:p>
  </w:footnote>
  <w:footnote w:id="169">
    <w:p w:rsidR="00134604" w:rsidRPr="002529B5" w:rsidRDefault="00134604" w:rsidP="00134604">
      <w:pPr>
        <w:pStyle w:val="FootnoteText"/>
      </w:pPr>
      <w:r>
        <w:rPr>
          <w:rStyle w:val="FootnoteReference"/>
        </w:rPr>
        <w:footnoteRef/>
      </w:r>
      <w:r>
        <w:t xml:space="preserve"> </w:t>
      </w:r>
      <w:r>
        <w:rPr>
          <w:i/>
        </w:rPr>
        <w:t xml:space="preserve">See, e.g., </w:t>
      </w:r>
      <w:r>
        <w:t xml:space="preserve">2015 Sorenson Comments at 17-18; 2015 Sorenson Reply Comments at 15-16 (suggesting that providers may be faced with the choice of implementing sub-standard safeguards or implementing significant cuts to other areas of their budgets, which could lower quality of service for VRS users); 2015 Convo Comments at 19; 2015 ASL Services Comments at 18 (stating that at-home interpreting may not reduce operational costs and providers would incur costs to implement safeguards and operation support functions for at-home interpreting). </w:t>
      </w:r>
    </w:p>
  </w:footnote>
  <w:footnote w:id="170">
    <w:p w:rsidR="00134604" w:rsidRPr="003C040B" w:rsidRDefault="00134604" w:rsidP="00134604">
      <w:pPr>
        <w:pStyle w:val="FootnoteText"/>
      </w:pPr>
      <w:r>
        <w:rPr>
          <w:rStyle w:val="FootnoteReference"/>
        </w:rPr>
        <w:footnoteRef/>
      </w:r>
      <w:r>
        <w:t xml:space="preserve"> </w:t>
      </w:r>
      <w:r>
        <w:rPr>
          <w:i/>
        </w:rPr>
        <w:t xml:space="preserve">See </w:t>
      </w:r>
      <w:r>
        <w:t xml:space="preserve">2015 ZVRS Comments at 4. </w:t>
      </w:r>
    </w:p>
  </w:footnote>
  <w:footnote w:id="171">
    <w:p w:rsidR="00134604" w:rsidRDefault="00134604" w:rsidP="00134604">
      <w:pPr>
        <w:pStyle w:val="FootnoteText"/>
      </w:pPr>
      <w:r>
        <w:rPr>
          <w:rStyle w:val="FootnoteReference"/>
        </w:rPr>
        <w:footnoteRef/>
      </w:r>
      <w:r>
        <w:t xml:space="preserve"> </w:t>
      </w:r>
      <w:r w:rsidRPr="00311DB4">
        <w:rPr>
          <w:i/>
        </w:rPr>
        <w:t>Id</w:t>
      </w:r>
      <w:r w:rsidRPr="003C574C">
        <w:t>.;</w:t>
      </w:r>
      <w:r>
        <w:t xml:space="preserve"> </w:t>
      </w:r>
      <w:r>
        <w:rPr>
          <w:i/>
        </w:rPr>
        <w:t>s</w:t>
      </w:r>
      <w:r w:rsidRPr="00311DB4">
        <w:rPr>
          <w:i/>
        </w:rPr>
        <w:t>ee also</w:t>
      </w:r>
      <w:r>
        <w:t xml:space="preserve"> 2015 RID Comments at 10-11 (some interpreters interested in working as CAs at-home have already invested in personal offices for their VRI work).</w:t>
      </w:r>
    </w:p>
  </w:footnote>
  <w:footnote w:id="172">
    <w:p w:rsidR="00134604" w:rsidRPr="00C04540" w:rsidRDefault="00134604" w:rsidP="00134604">
      <w:pPr>
        <w:pStyle w:val="FootnoteText"/>
      </w:pPr>
      <w:r>
        <w:rPr>
          <w:rStyle w:val="FootnoteReference"/>
        </w:rPr>
        <w:footnoteRef/>
      </w:r>
      <w:r>
        <w:t xml:space="preserve"> </w:t>
      </w:r>
      <w:r>
        <w:rPr>
          <w:i/>
        </w:rPr>
        <w:t xml:space="preserve">See </w:t>
      </w:r>
      <w:r>
        <w:t>Appendix B (Final Rules).</w:t>
      </w:r>
    </w:p>
  </w:footnote>
  <w:footnote w:id="173">
    <w:p w:rsidR="00134604" w:rsidRDefault="00134604" w:rsidP="00134604">
      <w:pPr>
        <w:pStyle w:val="FootnoteText"/>
      </w:pPr>
      <w:r>
        <w:rPr>
          <w:rStyle w:val="FootnoteReference"/>
        </w:rPr>
        <w:footnoteRef/>
      </w:r>
      <w:r>
        <w:t xml:space="preserve"> 47 U.S.C. § 225(a)(3), (b)(1), (d)(1), (d)(1)(A), (B).</w:t>
      </w:r>
    </w:p>
  </w:footnote>
  <w:footnote w:id="174">
    <w:p w:rsidR="00134604" w:rsidRDefault="00134604" w:rsidP="00134604">
      <w:pPr>
        <w:pStyle w:val="FootnoteText"/>
      </w:pPr>
      <w:r>
        <w:rPr>
          <w:rStyle w:val="FootnoteReference"/>
        </w:rPr>
        <w:footnoteRef/>
      </w:r>
      <w:r>
        <w:t xml:space="preserve"> </w:t>
      </w:r>
      <w:r w:rsidRPr="00C32138">
        <w:rPr>
          <w:i/>
        </w:rPr>
        <w:t>See supra</w:t>
      </w:r>
      <w:r>
        <w:t xml:space="preserve"> paras. 4, 6, 21, 49.</w:t>
      </w:r>
    </w:p>
  </w:footnote>
  <w:footnote w:id="175">
    <w:p w:rsidR="00134604" w:rsidRDefault="00134604" w:rsidP="00134604">
      <w:pPr>
        <w:pStyle w:val="FootnoteText"/>
      </w:pPr>
      <w:r>
        <w:rPr>
          <w:rStyle w:val="FootnoteReference"/>
        </w:rPr>
        <w:footnoteRef/>
      </w:r>
      <w:r>
        <w:rPr>
          <w:rFonts w:eastAsia="Calibri"/>
        </w:rPr>
        <w:t xml:space="preserve">  </w:t>
      </w:r>
      <w:r w:rsidRPr="00C27B57">
        <w:rPr>
          <w:szCs w:val="22"/>
        </w:rPr>
        <w:t xml:space="preserve">On May 8, 2015, the Government Accountability Office (GAO) released a report entitled </w:t>
      </w:r>
      <w:r>
        <w:rPr>
          <w:szCs w:val="22"/>
        </w:rPr>
        <w:t xml:space="preserve">GAO, Report to Hon. Jeff Sessions, U.S. Senate, </w:t>
      </w:r>
      <w:r w:rsidRPr="00753FAF">
        <w:rPr>
          <w:szCs w:val="22"/>
        </w:rPr>
        <w:t>FCC Should Strengthen Its Management of Program to Assist Persons with Hearing or Speech Disabilities</w:t>
      </w:r>
      <w:r>
        <w:rPr>
          <w:szCs w:val="22"/>
        </w:rPr>
        <w:t xml:space="preserve">, </w:t>
      </w:r>
      <w:r w:rsidRPr="00311DE9">
        <w:rPr>
          <w:szCs w:val="23"/>
        </w:rPr>
        <w:t>GAO-15-409</w:t>
      </w:r>
      <w:r>
        <w:rPr>
          <w:szCs w:val="23"/>
        </w:rPr>
        <w:t xml:space="preserve"> (April 2015) (GAO Report), </w:t>
      </w:r>
      <w:hyperlink r:id="rId3" w:history="1">
        <w:r w:rsidRPr="002C56BF">
          <w:rPr>
            <w:rStyle w:val="Hyperlink"/>
            <w:szCs w:val="23"/>
          </w:rPr>
          <w:t>http://gao.gov/assets/670/669916.pdf</w:t>
        </w:r>
      </w:hyperlink>
      <w:r w:rsidRPr="00311DE9">
        <w:rPr>
          <w:szCs w:val="23"/>
        </w:rPr>
        <w:t>.</w:t>
      </w:r>
      <w:r>
        <w:rPr>
          <w:szCs w:val="23"/>
        </w:rPr>
        <w:t xml:space="preserve">  </w:t>
      </w:r>
      <w:r w:rsidRPr="00C27B57">
        <w:rPr>
          <w:szCs w:val="22"/>
        </w:rPr>
        <w:t>GAO recommended that the Commission develop goals along with “specific performance measures crafted around those goals” to determine if “in an objective, quantifiable way . . . TRS is fulfilling its purpose of making available functionally equivalent telecommunications services to persons with hearing and speech disabilities.”</w:t>
      </w:r>
      <w:r>
        <w:rPr>
          <w:szCs w:val="22"/>
        </w:rPr>
        <w:t xml:space="preserve">  </w:t>
      </w:r>
      <w:r>
        <w:t>GAO Report at 20.  This proceeding responds in part to the GAO Report with respect to VRS.</w:t>
      </w:r>
    </w:p>
  </w:footnote>
  <w:footnote w:id="176">
    <w:p w:rsidR="00134604" w:rsidRDefault="00134604" w:rsidP="00134604">
      <w:pPr>
        <w:pStyle w:val="FootnoteText"/>
      </w:pPr>
      <w:r>
        <w:rPr>
          <w:rStyle w:val="FootnoteReference"/>
        </w:rPr>
        <w:footnoteRef/>
      </w:r>
      <w:r>
        <w:t xml:space="preserve"> </w:t>
      </w:r>
      <w:r w:rsidRPr="00C20093">
        <w:rPr>
          <w:i/>
        </w:rPr>
        <w:t>See</w:t>
      </w:r>
      <w:r>
        <w:t xml:space="preserve"> 47 U.S.C. § 225(a</w:t>
      </w:r>
      <w:r w:rsidRPr="00F45417">
        <w:t>)(</w:t>
      </w:r>
      <w:r>
        <w:t>3</w:t>
      </w:r>
      <w:r w:rsidRPr="00F45417">
        <w:t>)</w:t>
      </w:r>
      <w:r>
        <w:t>, (b)(1)</w:t>
      </w:r>
      <w:r w:rsidRPr="00F45417">
        <w:t xml:space="preserve">.  </w:t>
      </w:r>
    </w:p>
  </w:footnote>
  <w:footnote w:id="177">
    <w:p w:rsidR="00134604" w:rsidRDefault="00134604" w:rsidP="00134604">
      <w:pPr>
        <w:pStyle w:val="FootnoteText"/>
      </w:pPr>
      <w:r>
        <w:rPr>
          <w:rStyle w:val="FootnoteReference"/>
        </w:rPr>
        <w:footnoteRef/>
      </w:r>
      <w:r>
        <w:t xml:space="preserve"> 47 U.S.C. § 225(a</w:t>
      </w:r>
      <w:r w:rsidRPr="00F45417">
        <w:t>)(</w:t>
      </w:r>
      <w:r>
        <w:t>3</w:t>
      </w:r>
      <w:r w:rsidRPr="00F45417">
        <w:t>)</w:t>
      </w:r>
      <w:r>
        <w:t>, (b)(1)</w:t>
      </w:r>
      <w:r w:rsidRPr="00F45417">
        <w:t>.</w:t>
      </w:r>
    </w:p>
  </w:footnote>
  <w:footnote w:id="178">
    <w:p w:rsidR="00134604" w:rsidRDefault="00134604" w:rsidP="00134604">
      <w:pPr>
        <w:pStyle w:val="FootnoteText"/>
      </w:pPr>
      <w:r>
        <w:rPr>
          <w:rStyle w:val="FootnoteReference"/>
        </w:rPr>
        <w:footnoteRef/>
      </w:r>
      <w:r>
        <w:t xml:space="preserve"> Consumer Groups’ TRS Policy Statement – Functional Equivalency of Telecommunications Relay Services:  Meeting the Mandate of the Americans with Disabilities Act, Attach.</w:t>
      </w:r>
      <w:r w:rsidRPr="00D723C4">
        <w:t xml:space="preserve"> </w:t>
      </w:r>
      <w:r>
        <w:t xml:space="preserve">at </w:t>
      </w:r>
      <w:r w:rsidRPr="002F53A1">
        <w:t>7</w:t>
      </w:r>
      <w:r>
        <w:t xml:space="preserve"> </w:t>
      </w:r>
      <w:r w:rsidRPr="00D723C4">
        <w:t xml:space="preserve">(filed </w:t>
      </w:r>
      <w:r>
        <w:t>April 12, 2011) (2011 Consumer Groups TRS Policy Statement).</w:t>
      </w:r>
    </w:p>
  </w:footnote>
  <w:footnote w:id="179">
    <w:p w:rsidR="00134604" w:rsidRDefault="00134604" w:rsidP="00134604">
      <w:pPr>
        <w:pStyle w:val="FootnoteText"/>
      </w:pPr>
      <w:r>
        <w:rPr>
          <w:rStyle w:val="FootnoteReference"/>
        </w:rPr>
        <w:footnoteRef/>
      </w:r>
      <w:r>
        <w:t xml:space="preserve"> 2011 Consumer Groups TRS Policy Statement at 1.</w:t>
      </w:r>
    </w:p>
  </w:footnote>
  <w:footnote w:id="180">
    <w:p w:rsidR="00134604" w:rsidRDefault="00134604" w:rsidP="00134604">
      <w:pPr>
        <w:pStyle w:val="FootnoteText"/>
      </w:pPr>
      <w:r>
        <w:rPr>
          <w:rStyle w:val="FootnoteReference"/>
        </w:rPr>
        <w:footnoteRef/>
      </w:r>
      <w:r>
        <w:t xml:space="preserve"> 47 U.S.C.</w:t>
      </w:r>
      <w:r w:rsidRPr="00F45417">
        <w:t xml:space="preserve"> § 225</w:t>
      </w:r>
      <w:r>
        <w:t xml:space="preserve">(b)(1), (d)(2). </w:t>
      </w:r>
    </w:p>
  </w:footnote>
  <w:footnote w:id="181">
    <w:p w:rsidR="00134604" w:rsidRDefault="00134604" w:rsidP="00134604">
      <w:pPr>
        <w:pStyle w:val="FootnoteText"/>
      </w:pPr>
      <w:r w:rsidRPr="00CD6F61">
        <w:rPr>
          <w:rStyle w:val="FootnoteReference"/>
        </w:rPr>
        <w:footnoteRef/>
      </w:r>
      <w:r w:rsidRPr="00CD6F61">
        <w:t xml:space="preserve"> </w:t>
      </w:r>
      <w:r w:rsidRPr="002F5183">
        <w:rPr>
          <w:i/>
        </w:rPr>
        <w:t>Transition from TTY to Real-Time Text Technology</w:t>
      </w:r>
      <w:r>
        <w:t xml:space="preserve"> </w:t>
      </w:r>
      <w:r w:rsidRPr="002F5183">
        <w:rPr>
          <w:i/>
        </w:rPr>
        <w:t>et al.</w:t>
      </w:r>
      <w:r>
        <w:t>, Report and Order and Further Notice of Proposed Rulemaking, 31 FCC Rcd 13568, 13602, para. 66 (2016)</w:t>
      </w:r>
      <w:r w:rsidRPr="00CD6F61">
        <w:t>.</w:t>
      </w:r>
    </w:p>
  </w:footnote>
  <w:footnote w:id="182">
    <w:p w:rsidR="00134604" w:rsidRDefault="00134604" w:rsidP="00134604">
      <w:pPr>
        <w:pStyle w:val="FootnoteText"/>
      </w:pPr>
      <w:r>
        <w:rPr>
          <w:rStyle w:val="FootnoteReference"/>
        </w:rPr>
        <w:footnoteRef/>
      </w:r>
      <w:r>
        <w:t xml:space="preserve">  </w:t>
      </w:r>
      <w:r>
        <w:rPr>
          <w:rFonts w:eastAsia="Calibri"/>
        </w:rPr>
        <w:t xml:space="preserve">We note that the Commission already has metrics by which it tracks the speed by which VRS calls are answered, and in the accompanying Report and Order, we announce our intention to publish speed-of-answer data to aid in the evaluation of VRS provider performance.  </w:t>
      </w:r>
    </w:p>
  </w:footnote>
  <w:footnote w:id="183">
    <w:p w:rsidR="00134604" w:rsidRDefault="00134604" w:rsidP="00134604">
      <w:pPr>
        <w:pStyle w:val="FootnoteText"/>
      </w:pPr>
      <w:r>
        <w:rPr>
          <w:rStyle w:val="FootnoteReference"/>
        </w:rPr>
        <w:footnoteRef/>
      </w:r>
      <w:r>
        <w:t xml:space="preserve"> 47 CFR § 64.604(a)(2).</w:t>
      </w:r>
    </w:p>
  </w:footnote>
  <w:footnote w:id="184">
    <w:p w:rsidR="00134604" w:rsidRDefault="00134604" w:rsidP="00134604">
      <w:pPr>
        <w:pStyle w:val="FootnoteText"/>
      </w:pPr>
      <w:r>
        <w:rPr>
          <w:rStyle w:val="FootnoteReference"/>
        </w:rPr>
        <w:footnoteRef/>
      </w:r>
      <w:r>
        <w:t xml:space="preserve"> </w:t>
      </w:r>
      <w:r w:rsidRPr="00FD775F">
        <w:rPr>
          <w:i/>
        </w:rPr>
        <w:t>Id</w:t>
      </w:r>
      <w:r>
        <w:t xml:space="preserve">. § 64.604(a)(iv).  </w:t>
      </w:r>
    </w:p>
  </w:footnote>
  <w:footnote w:id="185">
    <w:p w:rsidR="00134604" w:rsidRDefault="00134604" w:rsidP="00134604">
      <w:pPr>
        <w:pStyle w:val="FootnoteText"/>
      </w:pPr>
      <w:r>
        <w:rPr>
          <w:rStyle w:val="FootnoteReference"/>
        </w:rPr>
        <w:footnoteRef/>
      </w:r>
      <w:r>
        <w:t xml:space="preserve"> 47 CFR § 64.604(a)(ii).  </w:t>
      </w:r>
    </w:p>
  </w:footnote>
  <w:footnote w:id="186">
    <w:p w:rsidR="00134604" w:rsidRDefault="00134604" w:rsidP="00134604">
      <w:pPr>
        <w:pStyle w:val="FootnoteText"/>
      </w:pPr>
      <w:r>
        <w:rPr>
          <w:rStyle w:val="FootnoteReference"/>
        </w:rPr>
        <w:footnoteRef/>
      </w:r>
      <w:r w:rsidRPr="00134604">
        <w:rPr>
          <w:rFonts w:eastAsia="Calibri"/>
          <w:sz w:val="22"/>
          <w:szCs w:val="22"/>
        </w:rPr>
        <w:t xml:space="preserve"> </w:t>
      </w:r>
      <w:r w:rsidRPr="00134604">
        <w:rPr>
          <w:rFonts w:eastAsia="Calibri"/>
        </w:rPr>
        <w:t>2015</w:t>
      </w:r>
      <w:r w:rsidRPr="00134604">
        <w:rPr>
          <w:rFonts w:eastAsia="Calibri"/>
          <w:sz w:val="22"/>
          <w:szCs w:val="22"/>
        </w:rPr>
        <w:t xml:space="preserve"> </w:t>
      </w:r>
      <w:r w:rsidRPr="005C4F84">
        <w:t xml:space="preserve">Consumer Groups Comments </w:t>
      </w:r>
      <w:r>
        <w:t>at 14</w:t>
      </w:r>
      <w:r w:rsidRPr="00A5345A">
        <w:t>.</w:t>
      </w:r>
      <w:r>
        <w:t xml:space="preserve">  </w:t>
      </w:r>
    </w:p>
  </w:footnote>
  <w:footnote w:id="187">
    <w:p w:rsidR="00134604" w:rsidRDefault="00134604" w:rsidP="00134604">
      <w:pPr>
        <w:pStyle w:val="FootnoteText"/>
      </w:pPr>
      <w:r>
        <w:rPr>
          <w:rStyle w:val="FootnoteReference"/>
        </w:rPr>
        <w:footnoteRef/>
      </w:r>
      <w:r>
        <w:t xml:space="preserve"> </w:t>
      </w:r>
      <w:r w:rsidRPr="007502E6">
        <w:rPr>
          <w:rFonts w:eastAsia="Calibri"/>
        </w:rPr>
        <w:t xml:space="preserve">In the </w:t>
      </w:r>
      <w:r w:rsidRPr="007502E6">
        <w:rPr>
          <w:rFonts w:eastAsia="Calibri"/>
          <w:i/>
        </w:rPr>
        <w:t>2013 VRS Reform Order</w:t>
      </w:r>
      <w:r w:rsidRPr="007502E6">
        <w:rPr>
          <w:rFonts w:eastAsia="Calibri"/>
        </w:rPr>
        <w:t xml:space="preserve">, while recognizing that high quality VRS CAs are critical to the provision of high quality VRS, the Commission concluded that the record did not support the imposition of additional or </w:t>
      </w:r>
      <w:r w:rsidRPr="00E51DC1">
        <w:rPr>
          <w:rFonts w:eastAsia="Calibri"/>
        </w:rPr>
        <w:t>modified VRS CA qualification rules at the time</w:t>
      </w:r>
      <w:r>
        <w:rPr>
          <w:rFonts w:eastAsia="Calibri"/>
        </w:rPr>
        <w:t xml:space="preserve">, and further determined that the record did not support </w:t>
      </w:r>
      <w:r>
        <w:t xml:space="preserve">requiring a </w:t>
      </w:r>
      <w:r w:rsidRPr="00B86FD2">
        <w:t>national certification requirement</w:t>
      </w:r>
      <w:r>
        <w:t xml:space="preserve"> for VRS CAs</w:t>
      </w:r>
      <w:r w:rsidRPr="00E51DC1">
        <w:rPr>
          <w:rFonts w:eastAsia="Calibri"/>
        </w:rPr>
        <w:t>.</w:t>
      </w:r>
      <w:r>
        <w:rPr>
          <w:rFonts w:eastAsia="Calibri"/>
        </w:rPr>
        <w:t xml:space="preserve">  </w:t>
      </w:r>
      <w:r w:rsidRPr="00B86FD2">
        <w:rPr>
          <w:i/>
        </w:rPr>
        <w:t>2013 VRS Reform Order</w:t>
      </w:r>
      <w:r w:rsidRPr="00B86FD2">
        <w:t xml:space="preserve">, 28 FCC Rcd at 8689, para. 177.  </w:t>
      </w:r>
      <w:r w:rsidRPr="00A5345A">
        <w:t>However, the Commission stated it would monitor consumer complaints related to quality of VRS CAs</w:t>
      </w:r>
      <w:r w:rsidRPr="00A5345A">
        <w:rPr>
          <w:rFonts w:eastAsia="Calibri"/>
          <w:kern w:val="28"/>
          <w:sz w:val="22"/>
        </w:rPr>
        <w:t xml:space="preserve"> </w:t>
      </w:r>
      <w:r w:rsidRPr="00A5345A">
        <w:t>and would revisit the issue if it became apparent that our current rules are insufficient to ensure the availability of qualified VRS CAs.</w:t>
      </w:r>
      <w:r>
        <w:t xml:space="preserve">  </w:t>
      </w:r>
      <w:r>
        <w:rPr>
          <w:i/>
        </w:rPr>
        <w:t>Id.</w:t>
      </w:r>
      <w:r w:rsidRPr="00B86FD2">
        <w:t xml:space="preserve"> at 8690, para. 179.</w:t>
      </w:r>
      <w:r>
        <w:t xml:space="preserve">  </w:t>
      </w:r>
    </w:p>
  </w:footnote>
  <w:footnote w:id="188">
    <w:p w:rsidR="00134604" w:rsidRDefault="00134604" w:rsidP="00134604">
      <w:pPr>
        <w:pStyle w:val="FootnoteText"/>
      </w:pPr>
      <w:r>
        <w:rPr>
          <w:rStyle w:val="FootnoteReference"/>
        </w:rPr>
        <w:footnoteRef/>
      </w:r>
      <w:r>
        <w:t xml:space="preserve"> ITU-T, </w:t>
      </w:r>
      <w:r w:rsidRPr="00D963BB">
        <w:rPr>
          <w:i/>
        </w:rPr>
        <w:t>Methods for Subjective Determination of Speech Quality</w:t>
      </w:r>
      <w:r>
        <w:t xml:space="preserve">, Recommendation P.800, 1996. </w:t>
      </w:r>
    </w:p>
  </w:footnote>
  <w:footnote w:id="189">
    <w:p w:rsidR="00134604" w:rsidRDefault="00134604" w:rsidP="00134604">
      <w:pPr>
        <w:pStyle w:val="FootnoteText"/>
      </w:pPr>
      <w:r>
        <w:rPr>
          <w:rStyle w:val="FootnoteReference"/>
        </w:rPr>
        <w:footnoteRef/>
      </w:r>
      <w:r>
        <w:t xml:space="preserve"> </w:t>
      </w:r>
      <w:r w:rsidRPr="00B95402">
        <w:rPr>
          <w:i/>
        </w:rPr>
        <w:t>See</w:t>
      </w:r>
      <w:r>
        <w:t xml:space="preserve"> Zainab Alkebsi and Ed Bosson, </w:t>
      </w:r>
      <w:r w:rsidRPr="00FD775F">
        <w:t>Consumer Perspective: VRS Quality Issues</w:t>
      </w:r>
      <w:r w:rsidRPr="007C669C">
        <w:t xml:space="preserve"> at 9</w:t>
      </w:r>
      <w:r>
        <w:t xml:space="preserve"> (delivered Sept. 14, 2016), </w:t>
      </w:r>
      <w:hyperlink w:history="1"/>
      <w:hyperlink r:id="rId4" w:history="1">
        <w:r w:rsidRPr="007D705F">
          <w:rPr>
            <w:rStyle w:val="Hyperlink"/>
          </w:rPr>
          <w:t>http://media.wix.com/ugd/455e4d_00e8e2bdaf984b8c97caaf7763607c90.pptx?dn=Alkebsi%20_Bosson_September%20iTRS%20Advisory%20Council%20Presentation.pptx</w:t>
        </w:r>
      </w:hyperlink>
      <w:r>
        <w:t xml:space="preserve"> (presentation to Rolka Loube, recommending script testing by independent third parties). </w:t>
      </w:r>
    </w:p>
  </w:footnote>
  <w:footnote w:id="190">
    <w:p w:rsidR="00134604" w:rsidRDefault="00134604" w:rsidP="00134604">
      <w:pPr>
        <w:pStyle w:val="FootnoteText"/>
      </w:pPr>
      <w:r>
        <w:rPr>
          <w:rStyle w:val="FootnoteReference"/>
        </w:rPr>
        <w:footnoteRef/>
      </w:r>
      <w:r>
        <w:t xml:space="preserve"> 47 CFR § 64.604(a)(2).</w:t>
      </w:r>
    </w:p>
  </w:footnote>
  <w:footnote w:id="191">
    <w:p w:rsidR="00134604" w:rsidRDefault="00134604" w:rsidP="00134604">
      <w:pPr>
        <w:pStyle w:val="FootnoteText"/>
      </w:pPr>
      <w:r>
        <w:rPr>
          <w:rStyle w:val="FootnoteReference"/>
        </w:rPr>
        <w:footnoteRef/>
      </w:r>
      <w:r>
        <w:t xml:space="preserve"> In addition to the inherent time lag involved in interpretation, </w:t>
      </w:r>
      <w:r w:rsidRPr="00A00015">
        <w:t xml:space="preserve">interpreters </w:t>
      </w:r>
      <w:r>
        <w:t>sometimes</w:t>
      </w:r>
      <w:r w:rsidRPr="00A00015">
        <w:t xml:space="preserve"> need to ask for clarification from either the ASL user or spoken language speaker.</w:t>
      </w:r>
    </w:p>
  </w:footnote>
  <w:footnote w:id="192">
    <w:p w:rsidR="00134604" w:rsidRDefault="00134604" w:rsidP="00134604">
      <w:pPr>
        <w:pStyle w:val="FootnoteText"/>
      </w:pPr>
      <w:r>
        <w:rPr>
          <w:rStyle w:val="FootnoteReference"/>
        </w:rPr>
        <w:footnoteRef/>
      </w:r>
      <w:r>
        <w:t xml:space="preserve"> </w:t>
      </w:r>
      <w:r w:rsidRPr="00D94546">
        <w:t xml:space="preserve">Voice carryover allows an individual who has use of his or her voice to speak directly to the other parties to a call, and have the CA sign back responses from those parties.  </w:t>
      </w:r>
      <w:r w:rsidRPr="00AA5042">
        <w:rPr>
          <w:i/>
        </w:rPr>
        <w:t>Id</w:t>
      </w:r>
      <w:r>
        <w:t xml:space="preserve">. </w:t>
      </w:r>
      <w:r w:rsidRPr="00D94546">
        <w:t>§</w:t>
      </w:r>
      <w:r>
        <w:t xml:space="preserve"> </w:t>
      </w:r>
      <w:r w:rsidRPr="00D94546">
        <w:t xml:space="preserve">64.601(a)(42).  This is a required VRS feature.  </w:t>
      </w:r>
      <w:r w:rsidRPr="00AA5042">
        <w:rPr>
          <w:i/>
        </w:rPr>
        <w:t>Id</w:t>
      </w:r>
      <w:r>
        <w:t>.</w:t>
      </w:r>
      <w:r w:rsidRPr="00D94546">
        <w:t xml:space="preserve"> § 64.604(a)(3)(v).</w:t>
      </w:r>
    </w:p>
  </w:footnote>
  <w:footnote w:id="193">
    <w:p w:rsidR="00134604" w:rsidRDefault="00134604" w:rsidP="00134604">
      <w:pPr>
        <w:pStyle w:val="FootnoteText"/>
      </w:pPr>
      <w:r>
        <w:rPr>
          <w:rStyle w:val="FootnoteReference"/>
        </w:rPr>
        <w:footnoteRef/>
      </w:r>
      <w:r>
        <w:t xml:space="preserve"> </w:t>
      </w:r>
      <w:r w:rsidRPr="00860C7C">
        <w:rPr>
          <w:i/>
        </w:rPr>
        <w:t>See, e.g.</w:t>
      </w:r>
      <w:r w:rsidRPr="00860C7C">
        <w:t xml:space="preserve">, </w:t>
      </w:r>
      <w:r w:rsidRPr="005C4F84">
        <w:rPr>
          <w:i/>
        </w:rPr>
        <w:t>2013 VRS Reform Order</w:t>
      </w:r>
      <w:r w:rsidRPr="005C4F84">
        <w:t>, 28 FCC Rcd at 8641, paras. 43-44</w:t>
      </w:r>
      <w:r>
        <w:t>.</w:t>
      </w:r>
    </w:p>
  </w:footnote>
  <w:footnote w:id="194">
    <w:p w:rsidR="00134604" w:rsidRDefault="00134604" w:rsidP="00134604">
      <w:pPr>
        <w:pStyle w:val="FootnoteText"/>
      </w:pPr>
      <w:r>
        <w:rPr>
          <w:rStyle w:val="FootnoteReference"/>
        </w:rPr>
        <w:footnoteRef/>
      </w:r>
      <w:r>
        <w:t xml:space="preserve"> </w:t>
      </w:r>
      <w:r w:rsidRPr="005002FD">
        <w:rPr>
          <w:i/>
        </w:rPr>
        <w:t>Structures and Practices of the Video Relay Service Program; Telecommunications Relay Services and Speech-to-Speech Services for Individuals with Hearing and Speech Disabilities</w:t>
      </w:r>
      <w:r w:rsidRPr="005002FD">
        <w:t>, Report and Order and Further Notice of Proposed Rulemaking</w:t>
      </w:r>
      <w:r w:rsidRPr="005002FD">
        <w:rPr>
          <w:i/>
        </w:rPr>
        <w:t xml:space="preserve">, </w:t>
      </w:r>
      <w:r>
        <w:t>32 FCC Rcd 687</w:t>
      </w:r>
      <w:r w:rsidRPr="005002FD">
        <w:t xml:space="preserve"> (CGB 2017)</w:t>
      </w:r>
      <w:r w:rsidRPr="005002FD">
        <w:rPr>
          <w:i/>
        </w:rPr>
        <w:t xml:space="preserve"> </w:t>
      </w:r>
      <w:r w:rsidRPr="005002FD">
        <w:t>(</w:t>
      </w:r>
      <w:r w:rsidRPr="00FD775F">
        <w:rPr>
          <w:i/>
        </w:rPr>
        <w:t xml:space="preserve">CGB </w:t>
      </w:r>
      <w:r w:rsidRPr="005002FD">
        <w:rPr>
          <w:i/>
        </w:rPr>
        <w:t xml:space="preserve">2017 VRS </w:t>
      </w:r>
      <w:r>
        <w:rPr>
          <w:i/>
        </w:rPr>
        <w:t>R&amp;O</w:t>
      </w:r>
      <w:r w:rsidRPr="005002FD">
        <w:t>)</w:t>
      </w:r>
      <w:r>
        <w:t>;</w:t>
      </w:r>
      <w:r w:rsidRPr="005002FD">
        <w:t xml:space="preserve"> </w:t>
      </w:r>
      <w:r>
        <w:rPr>
          <w:i/>
        </w:rPr>
        <w:t xml:space="preserve">see also </w:t>
      </w:r>
      <w:r>
        <w:t xml:space="preserve">47 CFR </w:t>
      </w:r>
      <w:r w:rsidRPr="000423CA">
        <w:t>§</w:t>
      </w:r>
      <w:r>
        <w:t xml:space="preserve"> 64.621(a)(3); 2013 </w:t>
      </w:r>
      <w:r>
        <w:rPr>
          <w:i/>
        </w:rPr>
        <w:t>VRS Reform Order</w:t>
      </w:r>
      <w:r>
        <w:t>, 28 FCC Rcd at 8646, para. 58 (requiring interoperability as a condition for receiving compensation from the Fund for calls using such technology).</w:t>
      </w:r>
    </w:p>
  </w:footnote>
  <w:footnote w:id="195">
    <w:p w:rsidR="00134604" w:rsidRDefault="00134604" w:rsidP="00134604">
      <w:pPr>
        <w:pStyle w:val="FootnoteText"/>
      </w:pPr>
      <w:r>
        <w:rPr>
          <w:rStyle w:val="FootnoteReference"/>
        </w:rPr>
        <w:footnoteRef/>
      </w:r>
      <w:r>
        <w:t xml:space="preserve"> 47 CFR § 64.606(h).</w:t>
      </w:r>
    </w:p>
  </w:footnote>
  <w:footnote w:id="196">
    <w:p w:rsidR="00134604" w:rsidRDefault="00134604" w:rsidP="00134604">
      <w:pPr>
        <w:pStyle w:val="FootnoteText"/>
      </w:pPr>
      <w:r>
        <w:rPr>
          <w:rStyle w:val="FootnoteReference"/>
        </w:rPr>
        <w:footnoteRef/>
      </w:r>
      <w:r>
        <w:t xml:space="preserve"> </w:t>
      </w:r>
      <w:r w:rsidRPr="00C57ED6">
        <w:rPr>
          <w:i/>
        </w:rPr>
        <w:t>See</w:t>
      </w:r>
      <w:r>
        <w:t xml:space="preserve"> </w:t>
      </w:r>
      <w:r w:rsidRPr="00FD775F">
        <w:rPr>
          <w:i/>
        </w:rPr>
        <w:t>id</w:t>
      </w:r>
      <w:r>
        <w:t>. § 64.604(b)(4)(ii) (requiring TRS to have “redundancy features functionally equivalent to the equipment in normal central offices, including uninterruptible power for emergency use”).</w:t>
      </w:r>
    </w:p>
  </w:footnote>
  <w:footnote w:id="197">
    <w:p w:rsidR="00134604" w:rsidRDefault="00134604" w:rsidP="00134604">
      <w:pPr>
        <w:pStyle w:val="FootnoteText"/>
      </w:pPr>
      <w:r>
        <w:rPr>
          <w:rStyle w:val="FootnoteReference"/>
        </w:rPr>
        <w:footnoteRef/>
      </w:r>
      <w:r>
        <w:t xml:space="preserve"> </w:t>
      </w:r>
      <w:r w:rsidRPr="00E14EB7">
        <w:rPr>
          <w:i/>
          <w:iCs/>
        </w:rPr>
        <w:t xml:space="preserve">Misuse </w:t>
      </w:r>
      <w:r>
        <w:rPr>
          <w:i/>
          <w:iCs/>
        </w:rPr>
        <w:t>o</w:t>
      </w:r>
      <w:r w:rsidRPr="00E14EB7">
        <w:rPr>
          <w:i/>
          <w:iCs/>
        </w:rPr>
        <w:t>f Internet Protocol (IP) Relay Service</w:t>
      </w:r>
      <w:r>
        <w:rPr>
          <w:i/>
          <w:iCs/>
        </w:rPr>
        <w:t xml:space="preserve"> et al.</w:t>
      </w:r>
      <w:r w:rsidRPr="00E14EB7">
        <w:t>, Order, 29 FCC Rcd</w:t>
      </w:r>
      <w:r>
        <w:t xml:space="preserve"> </w:t>
      </w:r>
      <w:r w:rsidRPr="00E14EB7">
        <w:t>4807 (CGB 2014)</w:t>
      </w:r>
      <w:r>
        <w:t xml:space="preserve">; </w:t>
      </w:r>
      <w:r w:rsidRPr="00E14EB7">
        <w:rPr>
          <w:i/>
          <w:szCs w:val="22"/>
        </w:rPr>
        <w:t xml:space="preserve">Misuse of Internet Protocol (IP) Relay Service, </w:t>
      </w:r>
      <w:r w:rsidRPr="00FD775F">
        <w:rPr>
          <w:szCs w:val="22"/>
        </w:rPr>
        <w:t>Order</w:t>
      </w:r>
      <w:r w:rsidRPr="00E14EB7">
        <w:rPr>
          <w:szCs w:val="22"/>
        </w:rPr>
        <w:t>, 30</w:t>
      </w:r>
      <w:r w:rsidRPr="00E14EB7">
        <w:t xml:space="preserve"> FCC Rcd 6202</w:t>
      </w:r>
      <w:r w:rsidRPr="00E14EB7">
        <w:rPr>
          <w:szCs w:val="22"/>
        </w:rPr>
        <w:t xml:space="preserve"> (CGB 2015). </w:t>
      </w:r>
    </w:p>
  </w:footnote>
  <w:footnote w:id="198">
    <w:p w:rsidR="00134604" w:rsidRDefault="00134604" w:rsidP="00134604">
      <w:pPr>
        <w:pStyle w:val="FootnoteText"/>
      </w:pPr>
      <w:r>
        <w:rPr>
          <w:rStyle w:val="FootnoteReference"/>
        </w:rPr>
        <w:footnoteRef/>
      </w:r>
      <w:r>
        <w:t xml:space="preserve"> </w:t>
      </w:r>
      <w:r w:rsidRPr="005C4F84">
        <w:rPr>
          <w:i/>
        </w:rPr>
        <w:t>Telecommunications Relay Services and Speech-to-Speech Services for Individuals with Hearing and Speech Disabilities</w:t>
      </w:r>
      <w:r w:rsidRPr="005C4F84">
        <w:t>, Report and Order and Declaratory Ruling, 22 FCC Rcd 20140, 20162-63, para. 53 (2007)</w:t>
      </w:r>
      <w:r>
        <w:t xml:space="preserve"> (</w:t>
      </w:r>
      <w:r w:rsidRPr="009A718A">
        <w:rPr>
          <w:i/>
        </w:rPr>
        <w:t>2007 TRS Rate Methodology Order</w:t>
      </w:r>
      <w:r>
        <w:t>)</w:t>
      </w:r>
      <w:r w:rsidRPr="005C4F84">
        <w:t>.</w:t>
      </w:r>
    </w:p>
  </w:footnote>
  <w:footnote w:id="199">
    <w:p w:rsidR="00134604" w:rsidRDefault="00134604" w:rsidP="00134604">
      <w:pPr>
        <w:pStyle w:val="FootnoteText"/>
      </w:pPr>
      <w:r>
        <w:rPr>
          <w:rStyle w:val="FootnoteReference"/>
        </w:rPr>
        <w:footnoteRef/>
      </w:r>
      <w:r>
        <w:t xml:space="preserve"> </w:t>
      </w:r>
      <w:r w:rsidRPr="005C4F84">
        <w:rPr>
          <w:i/>
        </w:rPr>
        <w:t>Telecommunications Relay Services and Speech-to-Speech Services for Individuals with Hearing and Speech Disabilities</w:t>
      </w:r>
      <w:r w:rsidRPr="005C4F84">
        <w:t>, Order, 25 FCC Rcd 8689, 8692, 8694-95, paras. 6, 10 (2010) (</w:t>
      </w:r>
      <w:r w:rsidRPr="005C4F84">
        <w:rPr>
          <w:i/>
        </w:rPr>
        <w:t>2010 VRS Rate Order</w:t>
      </w:r>
      <w:r w:rsidRPr="005C4F84">
        <w:t>).</w:t>
      </w:r>
    </w:p>
  </w:footnote>
  <w:footnote w:id="200">
    <w:p w:rsidR="00134604" w:rsidRDefault="00134604" w:rsidP="00134604">
      <w:pPr>
        <w:pStyle w:val="FootnoteText"/>
      </w:pPr>
      <w:r>
        <w:rPr>
          <w:rStyle w:val="FootnoteReference"/>
        </w:rPr>
        <w:footnoteRef/>
      </w:r>
      <w:r>
        <w:t xml:space="preserve"> </w:t>
      </w:r>
      <w:r>
        <w:rPr>
          <w:i/>
        </w:rPr>
        <w:t>Id.</w:t>
      </w:r>
      <w:r w:rsidRPr="005C4F84">
        <w:t xml:space="preserve"> at 8697, para. 15.</w:t>
      </w:r>
      <w:r>
        <w:t xml:space="preserve"> </w:t>
      </w:r>
    </w:p>
  </w:footnote>
  <w:footnote w:id="201">
    <w:p w:rsidR="00134604" w:rsidRDefault="00134604" w:rsidP="00134604">
      <w:pPr>
        <w:pStyle w:val="FootnoteText"/>
      </w:pPr>
      <w:r>
        <w:rPr>
          <w:rStyle w:val="FootnoteReference"/>
        </w:rPr>
        <w:footnoteRef/>
      </w:r>
      <w:r>
        <w:t xml:space="preserve"> </w:t>
      </w:r>
      <w:r>
        <w:rPr>
          <w:i/>
        </w:rPr>
        <w:t>2013 VRS Reform Order</w:t>
      </w:r>
      <w:r>
        <w:t>, 28 FCC Rcd at 8703-04, para. 212.</w:t>
      </w:r>
    </w:p>
  </w:footnote>
  <w:footnote w:id="202">
    <w:p w:rsidR="00134604" w:rsidRPr="006600D9" w:rsidRDefault="00134604" w:rsidP="00134604">
      <w:pPr>
        <w:pStyle w:val="FootnoteText"/>
      </w:pPr>
      <w:r>
        <w:rPr>
          <w:rStyle w:val="FootnoteReference"/>
        </w:rPr>
        <w:footnoteRef/>
      </w:r>
      <w:r>
        <w:t xml:space="preserve"> </w:t>
      </w:r>
      <w:r>
        <w:rPr>
          <w:i/>
        </w:rPr>
        <w:t>Id</w:t>
      </w:r>
      <w:r>
        <w:t>.</w:t>
      </w:r>
    </w:p>
  </w:footnote>
  <w:footnote w:id="203">
    <w:p w:rsidR="00134604" w:rsidRDefault="00134604" w:rsidP="00134604">
      <w:pPr>
        <w:pStyle w:val="FootnoteText"/>
      </w:pPr>
      <w:r>
        <w:rPr>
          <w:rStyle w:val="FootnoteReference"/>
        </w:rPr>
        <w:footnoteRef/>
      </w:r>
      <w:r>
        <w:t xml:space="preserve"> </w:t>
      </w:r>
      <w:r>
        <w:rPr>
          <w:i/>
        </w:rPr>
        <w:t>Id.</w:t>
      </w:r>
      <w:r w:rsidRPr="00995D83">
        <w:t xml:space="preserve"> at </w:t>
      </w:r>
      <w:r>
        <w:t>8698</w:t>
      </w:r>
      <w:r w:rsidRPr="00995D83">
        <w:t>, para. 197.</w:t>
      </w:r>
    </w:p>
  </w:footnote>
  <w:footnote w:id="204">
    <w:p w:rsidR="00134604" w:rsidRDefault="00134604" w:rsidP="00134604">
      <w:pPr>
        <w:pStyle w:val="FootnoteText"/>
      </w:pPr>
      <w:r>
        <w:rPr>
          <w:rStyle w:val="FootnoteReference"/>
        </w:rPr>
        <w:footnoteRef/>
      </w:r>
      <w:r>
        <w:t xml:space="preserve"> </w:t>
      </w:r>
      <w:r>
        <w:rPr>
          <w:i/>
        </w:rPr>
        <w:t>Id.</w:t>
      </w:r>
      <w:r>
        <w:t>, para. 198.</w:t>
      </w:r>
    </w:p>
  </w:footnote>
  <w:footnote w:id="205">
    <w:p w:rsidR="00134604" w:rsidRDefault="00134604" w:rsidP="00134604">
      <w:pPr>
        <w:pStyle w:val="FootnoteText"/>
      </w:pPr>
      <w:r>
        <w:rPr>
          <w:rStyle w:val="FootnoteReference"/>
        </w:rPr>
        <w:footnoteRef/>
      </w:r>
      <w:r>
        <w:t xml:space="preserve"> </w:t>
      </w:r>
      <w:r>
        <w:rPr>
          <w:i/>
        </w:rPr>
        <w:t>Id.</w:t>
      </w:r>
      <w:r>
        <w:t xml:space="preserve"> at 8704,</w:t>
      </w:r>
      <w:r w:rsidRPr="00D1285E">
        <w:t xml:space="preserve"> </w:t>
      </w:r>
      <w:r>
        <w:t>para.</w:t>
      </w:r>
      <w:r w:rsidRPr="00D1285E">
        <w:t xml:space="preserve"> 21</w:t>
      </w:r>
      <w:r>
        <w:t xml:space="preserve">4; </w:t>
      </w:r>
      <w:r w:rsidRPr="006A562C">
        <w:rPr>
          <w:i/>
        </w:rPr>
        <w:t>s</w:t>
      </w:r>
      <w:r w:rsidRPr="00BE6A67">
        <w:rPr>
          <w:i/>
        </w:rPr>
        <w:t xml:space="preserve">ee also </w:t>
      </w:r>
      <w:r>
        <w:rPr>
          <w:i/>
        </w:rPr>
        <w:t>id.</w:t>
      </w:r>
      <w:r>
        <w:t xml:space="preserve"> </w:t>
      </w:r>
      <w:r w:rsidRPr="006A0BB9">
        <w:t>at 8698</w:t>
      </w:r>
      <w:r>
        <w:t>,</w:t>
      </w:r>
      <w:r w:rsidRPr="006A0BB9">
        <w:t xml:space="preserve"> </w:t>
      </w:r>
      <w:r>
        <w:t>paras.</w:t>
      </w:r>
      <w:r w:rsidRPr="006A0BB9">
        <w:t xml:space="preserve"> 199-200</w:t>
      </w:r>
      <w:r>
        <w:t>.  A</w:t>
      </w:r>
      <w:r w:rsidRPr="006C79B1">
        <w:t xml:space="preserve"> tier</w:t>
      </w:r>
      <w:r>
        <w:t>ed</w:t>
      </w:r>
      <w:r w:rsidRPr="006C79B1">
        <w:t xml:space="preserve"> compensation rate structure allows </w:t>
      </w:r>
      <w:r>
        <w:t xml:space="preserve">providers to earn a higher compensation rate on the initial minutes of service provided each month.  As a result, </w:t>
      </w:r>
      <w:r w:rsidRPr="006C79B1">
        <w:t xml:space="preserve">smaller providers </w:t>
      </w:r>
      <w:r>
        <w:t xml:space="preserve">receive more compensation per minute, on average, </w:t>
      </w:r>
      <w:r w:rsidRPr="006C79B1">
        <w:t>than larger providers.</w:t>
      </w:r>
      <w:r>
        <w:t xml:space="preserve">  </w:t>
      </w:r>
    </w:p>
  </w:footnote>
  <w:footnote w:id="206">
    <w:p w:rsidR="00134604" w:rsidRPr="00EC10B3" w:rsidRDefault="00134604" w:rsidP="00134604">
      <w:pPr>
        <w:pStyle w:val="FootnoteText"/>
      </w:pPr>
      <w:r>
        <w:rPr>
          <w:rStyle w:val="FootnoteReference"/>
        </w:rPr>
        <w:footnoteRef/>
      </w:r>
      <w:r>
        <w:t xml:space="preserve"> </w:t>
      </w:r>
      <w:r>
        <w:rPr>
          <w:i/>
        </w:rPr>
        <w:t>Id.</w:t>
      </w:r>
      <w:r>
        <w:t xml:space="preserve"> at 8706, paras. 216-17.  </w:t>
      </w:r>
      <w:r w:rsidRPr="00142489">
        <w:t>Relevant to this point, these structural reforms included transferring routing functions and other fixed cost components of VRS to a neutral entity and new requirements to ensure interoperability across VRS services and end user video devices</w:t>
      </w:r>
      <w:r w:rsidRPr="001A5A73">
        <w:t>.</w:t>
      </w:r>
      <w:r>
        <w:t xml:space="preserve">  </w:t>
      </w:r>
      <w:r>
        <w:rPr>
          <w:i/>
        </w:rPr>
        <w:t>Id.</w:t>
      </w:r>
      <w:r w:rsidRPr="001A5A73">
        <w:t xml:space="preserve"> at 8</w:t>
      </w:r>
      <w:r>
        <w:t>698-99</w:t>
      </w:r>
      <w:r w:rsidRPr="001A5A73">
        <w:t xml:space="preserve">, para. </w:t>
      </w:r>
      <w:r w:rsidRPr="00CF05AC">
        <w:t>199.</w:t>
      </w:r>
      <w:r w:rsidRPr="001A5A73">
        <w:t xml:space="preserve">  </w:t>
      </w:r>
      <w:r>
        <w:t xml:space="preserve"> </w:t>
      </w:r>
    </w:p>
  </w:footnote>
  <w:footnote w:id="207">
    <w:p w:rsidR="00134604" w:rsidRDefault="00134604" w:rsidP="00134604">
      <w:pPr>
        <w:pStyle w:val="FootnoteText"/>
      </w:pPr>
      <w:r>
        <w:rPr>
          <w:rStyle w:val="FootnoteReference"/>
        </w:rPr>
        <w:footnoteRef/>
      </w:r>
      <w:r>
        <w:t xml:space="preserve"> </w:t>
      </w:r>
      <w:r>
        <w:rPr>
          <w:i/>
        </w:rPr>
        <w:t xml:space="preserve">See </w:t>
      </w:r>
      <w:r w:rsidRPr="008C30AB">
        <w:rPr>
          <w:i/>
        </w:rPr>
        <w:t>Structure and Practices of the Video Relay Services Program</w:t>
      </w:r>
      <w:r w:rsidR="00070A3A">
        <w:rPr>
          <w:i/>
        </w:rPr>
        <w:t xml:space="preserve"> et al.</w:t>
      </w:r>
      <w:r>
        <w:t>, Report and Order, 31 FCC Rcd 2339 (2016) (</w:t>
      </w:r>
      <w:r w:rsidRPr="000F6667">
        <w:rPr>
          <w:i/>
        </w:rPr>
        <w:t xml:space="preserve">VRS </w:t>
      </w:r>
      <w:r>
        <w:rPr>
          <w:i/>
        </w:rPr>
        <w:t xml:space="preserve">Partial </w:t>
      </w:r>
      <w:r w:rsidRPr="000F6667">
        <w:rPr>
          <w:i/>
        </w:rPr>
        <w:t>Rate Freeze Order</w:t>
      </w:r>
      <w:r>
        <w:t xml:space="preserve">); </w:t>
      </w:r>
      <w:r w:rsidRPr="00887B67">
        <w:rPr>
          <w:i/>
        </w:rPr>
        <w:t>see also</w:t>
      </w:r>
      <w:r>
        <w:rPr>
          <w:i/>
        </w:rPr>
        <w:t xml:space="preserve"> </w:t>
      </w:r>
      <w:r w:rsidRPr="008304F9">
        <w:rPr>
          <w:i/>
        </w:rPr>
        <w:t>2015</w:t>
      </w:r>
      <w:r>
        <w:t xml:space="preserve"> </w:t>
      </w:r>
      <w:r w:rsidRPr="000F6667">
        <w:rPr>
          <w:i/>
        </w:rPr>
        <w:t>VRS FNPRM</w:t>
      </w:r>
      <w:r>
        <w:t>); 2015 Joint VRS Providers Prop</w:t>
      </w:r>
      <w:r w:rsidR="00070A3A">
        <w:t>osal at 7</w:t>
      </w:r>
      <w:r>
        <w:t xml:space="preserve">.  </w:t>
      </w:r>
      <w:r w:rsidRPr="0058625F">
        <w:t xml:space="preserve">  </w:t>
      </w:r>
    </w:p>
  </w:footnote>
  <w:footnote w:id="208">
    <w:p w:rsidR="00134604" w:rsidRDefault="00134604" w:rsidP="00134604">
      <w:pPr>
        <w:pStyle w:val="FootnoteText"/>
      </w:pPr>
      <w:r>
        <w:rPr>
          <w:rStyle w:val="FootnoteReference"/>
        </w:rPr>
        <w:footnoteRef/>
      </w:r>
      <w:r>
        <w:t xml:space="preserve"> </w:t>
      </w:r>
      <w:r w:rsidRPr="008304F9">
        <w:rPr>
          <w:i/>
        </w:rPr>
        <w:t>2015 VRS FNPRM</w:t>
      </w:r>
      <w:r>
        <w:t>,</w:t>
      </w:r>
      <w:r w:rsidRPr="000C2E86">
        <w:t xml:space="preserve"> </w:t>
      </w:r>
      <w:r w:rsidRPr="00554FE2">
        <w:t xml:space="preserve">30 FCC Rcd at </w:t>
      </w:r>
      <w:r>
        <w:t>12981-82</w:t>
      </w:r>
      <w:r w:rsidRPr="00554FE2">
        <w:t xml:space="preserve">, </w:t>
      </w:r>
      <w:r>
        <w:t>para.</w:t>
      </w:r>
      <w:r w:rsidRPr="000C2E86">
        <w:t xml:space="preserve"> </w:t>
      </w:r>
      <w:r>
        <w:t xml:space="preserve">18; </w:t>
      </w:r>
      <w:r w:rsidRPr="00AC7F8C">
        <w:rPr>
          <w:i/>
        </w:rPr>
        <w:t>VRS Partial Rate Freeze Order</w:t>
      </w:r>
      <w:r w:rsidRPr="00AC7F8C">
        <w:t>, 31 FCC Rcd at 23</w:t>
      </w:r>
      <w:r>
        <w:t>42-</w:t>
      </w:r>
      <w:r w:rsidRPr="00AC7F8C">
        <w:t>4</w:t>
      </w:r>
      <w:r>
        <w:t>3</w:t>
      </w:r>
      <w:r w:rsidRPr="00AC7F8C">
        <w:t>, para</w:t>
      </w:r>
      <w:r>
        <w:t>.</w:t>
      </w:r>
      <w:r w:rsidRPr="00AC7F8C">
        <w:t xml:space="preserve"> </w:t>
      </w:r>
      <w:r>
        <w:t xml:space="preserve">8; </w:t>
      </w:r>
      <w:r>
        <w:rPr>
          <w:i/>
        </w:rPr>
        <w:t>s</w:t>
      </w:r>
      <w:r w:rsidRPr="000C2E86">
        <w:rPr>
          <w:i/>
        </w:rPr>
        <w:t>ee also</w:t>
      </w:r>
      <w:r w:rsidRPr="000C2E86">
        <w:t xml:space="preserve"> </w:t>
      </w:r>
      <w:r w:rsidRPr="00A761E6">
        <w:t>Rolka Loube, Interstate Telecommunications Relay Services Fund Payment Formula and Fund Size Estimate</w:t>
      </w:r>
      <w:r>
        <w:t>, CG Docket No. 03-123,</w:t>
      </w:r>
      <w:r w:rsidRPr="00A761E6">
        <w:t xml:space="preserve"> </w:t>
      </w:r>
      <w:r>
        <w:t xml:space="preserve">at 24-25 </w:t>
      </w:r>
      <w:r w:rsidRPr="00A761E6">
        <w:t>(filed Apr</w:t>
      </w:r>
      <w:r>
        <w:t>.</w:t>
      </w:r>
      <w:r w:rsidRPr="00A761E6">
        <w:t xml:space="preserve"> 24, 2015) </w:t>
      </w:r>
      <w:r w:rsidRPr="006A3502">
        <w:t>(2015 TRS Rate Filing)</w:t>
      </w:r>
      <w:r>
        <w:t xml:space="preserve">, </w:t>
      </w:r>
      <w:hyperlink r:id="rId5" w:history="1">
        <w:r w:rsidRPr="008A58B6">
          <w:rPr>
            <w:rStyle w:val="Hyperlink"/>
          </w:rPr>
          <w:t>https://ecfsapi.fcc.gov/file/60001044735.pdf</w:t>
        </w:r>
      </w:hyperlink>
      <w:r>
        <w:t xml:space="preserve">.  </w:t>
      </w:r>
    </w:p>
  </w:footnote>
  <w:footnote w:id="209">
    <w:p w:rsidR="00134604" w:rsidRDefault="00134604" w:rsidP="00134604">
      <w:pPr>
        <w:pStyle w:val="FootnoteText"/>
      </w:pPr>
      <w:r>
        <w:rPr>
          <w:rStyle w:val="FootnoteReference"/>
        </w:rPr>
        <w:footnoteRef/>
      </w:r>
      <w:r>
        <w:t xml:space="preserve"> </w:t>
      </w:r>
      <w:r w:rsidRPr="00AC7F8C">
        <w:rPr>
          <w:i/>
        </w:rPr>
        <w:t>VRS Partial Rate Freeze Order</w:t>
      </w:r>
      <w:r w:rsidRPr="00AC7F8C">
        <w:t>, 31 FCC Rcd at 23</w:t>
      </w:r>
      <w:r>
        <w:t>43-</w:t>
      </w:r>
      <w:r w:rsidRPr="00AC7F8C">
        <w:t>4</w:t>
      </w:r>
      <w:r>
        <w:t>4</w:t>
      </w:r>
      <w:r w:rsidRPr="00AC7F8C">
        <w:t>, para</w:t>
      </w:r>
      <w:r>
        <w:t>.</w:t>
      </w:r>
      <w:r w:rsidRPr="00AC7F8C">
        <w:t xml:space="preserve"> </w:t>
      </w:r>
      <w:r>
        <w:t xml:space="preserve">10; </w:t>
      </w:r>
      <w:r w:rsidRPr="000B5DBE">
        <w:rPr>
          <w:i/>
        </w:rPr>
        <w:t>see also</w:t>
      </w:r>
      <w:r>
        <w:t xml:space="preserve"> </w:t>
      </w:r>
      <w:r w:rsidRPr="00215ABE">
        <w:rPr>
          <w:i/>
        </w:rPr>
        <w:t>id</w:t>
      </w:r>
      <w:r>
        <w:t>.</w:t>
      </w:r>
      <w:r w:rsidRPr="001C1CD1">
        <w:t xml:space="preserve"> </w:t>
      </w:r>
      <w:r>
        <w:t>n.30 (</w:t>
      </w:r>
      <w:r>
        <w:rPr>
          <w:i/>
        </w:rPr>
        <w:t>quo</w:t>
      </w:r>
      <w:r w:rsidRPr="00841FEB">
        <w:rPr>
          <w:i/>
        </w:rPr>
        <w:t>ting</w:t>
      </w:r>
      <w:r w:rsidRPr="00841FEB">
        <w:t xml:space="preserve"> </w:t>
      </w:r>
      <w:r>
        <w:t xml:space="preserve">2015 </w:t>
      </w:r>
      <w:r w:rsidRPr="00841FEB">
        <w:t xml:space="preserve">Joint VRS Providers Proposal at 11 </w:t>
      </w:r>
      <w:r>
        <w:t>(stating that in order to continue operating despite deficits, the smallest VRS providers “</w:t>
      </w:r>
      <w:r w:rsidRPr="001C1CD1">
        <w:t>have</w:t>
      </w:r>
      <w:r>
        <w:t xml:space="preserve"> </w:t>
      </w:r>
      <w:r w:rsidRPr="001C1CD1">
        <w:t>been forced to seek alternative financing arrangements, such as short-term bridge loans from</w:t>
      </w:r>
      <w:r>
        <w:t xml:space="preserve"> </w:t>
      </w:r>
      <w:r w:rsidRPr="001C1CD1">
        <w:t>family members, or to subsidize their VRS operations from revenue generated by other profitable</w:t>
      </w:r>
      <w:r>
        <w:t xml:space="preserve"> </w:t>
      </w:r>
      <w:r w:rsidRPr="001C1CD1">
        <w:t>non-VRS divisions</w:t>
      </w:r>
      <w:r>
        <w:t>”), 11-12 (asserting that such alternative financing arrangements are insufficient to enable the smallest providers to continue their growth trajectories))</w:t>
      </w:r>
      <w:r w:rsidRPr="001C1CD1">
        <w:t>.</w:t>
      </w:r>
    </w:p>
  </w:footnote>
  <w:footnote w:id="210">
    <w:p w:rsidR="00134604" w:rsidRPr="008C30AB" w:rsidRDefault="00134604" w:rsidP="00134604">
      <w:pPr>
        <w:pStyle w:val="FootnoteText"/>
      </w:pPr>
      <w:r>
        <w:rPr>
          <w:rStyle w:val="FootnoteReference"/>
        </w:rPr>
        <w:footnoteRef/>
      </w:r>
      <w:r>
        <w:t xml:space="preserve"> </w:t>
      </w:r>
      <w:r>
        <w:rPr>
          <w:i/>
        </w:rPr>
        <w:t>Id</w:t>
      </w:r>
      <w:r w:rsidRPr="002A72F5">
        <w:t>.</w:t>
      </w:r>
      <w:r w:rsidRPr="00AC7F8C">
        <w:t xml:space="preserve"> at 234</w:t>
      </w:r>
      <w:r>
        <w:t>4-45</w:t>
      </w:r>
      <w:r w:rsidRPr="00AC7F8C">
        <w:t>, para</w:t>
      </w:r>
      <w:r>
        <w:t>s.</w:t>
      </w:r>
      <w:r w:rsidRPr="00AC7F8C">
        <w:t xml:space="preserve"> </w:t>
      </w:r>
      <w:r>
        <w:t>12-14.  The Commission also</w:t>
      </w:r>
      <w:r w:rsidRPr="0058625F">
        <w:t xml:space="preserve"> direct</w:t>
      </w:r>
      <w:r>
        <w:t>ed</w:t>
      </w:r>
      <w:r w:rsidRPr="0058625F">
        <w:t xml:space="preserve"> the </w:t>
      </w:r>
      <w:r>
        <w:t xml:space="preserve">TRS Fund </w:t>
      </w:r>
      <w:r w:rsidRPr="0058625F">
        <w:t>administrator to pay each of the smalle</w:t>
      </w:r>
      <w:r>
        <w:t>st VRS</w:t>
      </w:r>
      <w:r w:rsidRPr="0058625F">
        <w:t xml:space="preserve"> providers a one-time lump sum reflecting the difference between </w:t>
      </w:r>
      <w:r>
        <w:t xml:space="preserve">the compensation they would have received if they had been paid at a rate of </w:t>
      </w:r>
      <w:r w:rsidRPr="0058625F">
        <w:t xml:space="preserve">$5.29 </w:t>
      </w:r>
      <w:r>
        <w:t xml:space="preserve">per minute </w:t>
      </w:r>
      <w:r w:rsidRPr="0058625F">
        <w:t xml:space="preserve">and the </w:t>
      </w:r>
      <w:r>
        <w:t>compensation</w:t>
      </w:r>
      <w:r w:rsidRPr="0058625F">
        <w:t xml:space="preserve"> they actually received </w:t>
      </w:r>
      <w:r>
        <w:t xml:space="preserve">at the lower applicable rates, </w:t>
      </w:r>
      <w:r w:rsidRPr="0058625F">
        <w:t xml:space="preserve">for </w:t>
      </w:r>
      <w:r>
        <w:t xml:space="preserve">all compensable calls completed during </w:t>
      </w:r>
      <w:r w:rsidRPr="0058625F">
        <w:t>the period between July 1, 2015</w:t>
      </w:r>
      <w:r>
        <w:t>,</w:t>
      </w:r>
      <w:r w:rsidRPr="0058625F">
        <w:t xml:space="preserve"> and the effective date of </w:t>
      </w:r>
      <w:r>
        <w:t xml:space="preserve">the </w:t>
      </w:r>
      <w:r>
        <w:rPr>
          <w:i/>
        </w:rPr>
        <w:t>VRS Partial Rate Freeze Order</w:t>
      </w:r>
      <w:r w:rsidRPr="0058625F">
        <w:t>.</w:t>
      </w:r>
      <w:r w:rsidRPr="000B5DBE">
        <w:rPr>
          <w:i/>
          <w:snapToGrid w:val="0"/>
          <w:kern w:val="28"/>
          <w:sz w:val="22"/>
        </w:rPr>
        <w:t xml:space="preserve"> </w:t>
      </w:r>
      <w:r>
        <w:rPr>
          <w:i/>
        </w:rPr>
        <w:t>Id</w:t>
      </w:r>
      <w:r w:rsidRPr="002A72F5">
        <w:t>.</w:t>
      </w:r>
      <w:r>
        <w:rPr>
          <w:i/>
        </w:rPr>
        <w:t xml:space="preserve"> </w:t>
      </w:r>
      <w:r w:rsidRPr="000B5DBE">
        <w:t>at 234</w:t>
      </w:r>
      <w:r>
        <w:t>8</w:t>
      </w:r>
      <w:r w:rsidRPr="000B5DBE">
        <w:t xml:space="preserve">, para. </w:t>
      </w:r>
      <w:r>
        <w:t>20.</w:t>
      </w:r>
    </w:p>
  </w:footnote>
  <w:footnote w:id="211">
    <w:p w:rsidR="00134604" w:rsidRPr="000F6667" w:rsidRDefault="00134604" w:rsidP="00134604">
      <w:pPr>
        <w:pStyle w:val="FootnoteText"/>
      </w:pPr>
      <w:r>
        <w:rPr>
          <w:rStyle w:val="FootnoteReference"/>
        </w:rPr>
        <w:footnoteRef/>
      </w:r>
      <w:r>
        <w:t xml:space="preserve"> </w:t>
      </w:r>
      <w:r>
        <w:rPr>
          <w:i/>
        </w:rPr>
        <w:t>Id.</w:t>
      </w:r>
      <w:r>
        <w:t xml:space="preserve"> at 2345, para. 15.</w:t>
      </w:r>
    </w:p>
  </w:footnote>
  <w:footnote w:id="212">
    <w:p w:rsidR="00134604" w:rsidRDefault="00134604" w:rsidP="00134604">
      <w:pPr>
        <w:pStyle w:val="FootnoteText"/>
      </w:pPr>
      <w:r>
        <w:rPr>
          <w:rStyle w:val="FootnoteReference"/>
        </w:rPr>
        <w:footnoteRef/>
      </w:r>
      <w:r>
        <w:t xml:space="preserve">  Previously, during 2016, v</w:t>
      </w:r>
      <w:r w:rsidRPr="007B65F4">
        <w:t xml:space="preserve">arious </w:t>
      </w:r>
      <w:r>
        <w:t xml:space="preserve">parties </w:t>
      </w:r>
      <w:r w:rsidRPr="007B65F4">
        <w:t xml:space="preserve">requested that the Commission suspend </w:t>
      </w:r>
      <w:r>
        <w:t>further</w:t>
      </w:r>
      <w:r w:rsidRPr="007B65F4">
        <w:t xml:space="preserve"> rate cuts for VRS.</w:t>
      </w:r>
      <w:r>
        <w:t xml:space="preserve"> </w:t>
      </w:r>
      <w:r w:rsidRPr="0046066E">
        <w:rPr>
          <w:i/>
          <w:snapToGrid w:val="0"/>
          <w:kern w:val="28"/>
          <w:sz w:val="22"/>
        </w:rPr>
        <w:t xml:space="preserve"> </w:t>
      </w:r>
      <w:r w:rsidRPr="0046066E">
        <w:rPr>
          <w:i/>
        </w:rPr>
        <w:t>See</w:t>
      </w:r>
      <w:r w:rsidRPr="0046066E">
        <w:t>,</w:t>
      </w:r>
      <w:r w:rsidRPr="0046066E">
        <w:rPr>
          <w:i/>
        </w:rPr>
        <w:t xml:space="preserve"> e.g.</w:t>
      </w:r>
      <w:r w:rsidRPr="0046066E">
        <w:t>,</w:t>
      </w:r>
      <w:r w:rsidRPr="0046066E">
        <w:rPr>
          <w:i/>
        </w:rPr>
        <w:t xml:space="preserve"> </w:t>
      </w:r>
      <w:r w:rsidRPr="0046066E">
        <w:t>Letter from Paul C. Besozzi, Counsel to Purple Communications, Inc., to Marlene H. Dortch, Secretary, FCC, CG Docket Nos. 10-51</w:t>
      </w:r>
      <w:r>
        <w:t xml:space="preserve"> and</w:t>
      </w:r>
      <w:r w:rsidRPr="0046066E">
        <w:t xml:space="preserve"> 03-123</w:t>
      </w:r>
      <w:r>
        <w:t>,</w:t>
      </w:r>
      <w:r w:rsidRPr="0046066E">
        <w:t xml:space="preserve"> at 1 (filed July 26, 2016)</w:t>
      </w:r>
      <w:r>
        <w:t xml:space="preserve">; </w:t>
      </w:r>
      <w:r w:rsidRPr="0046066E">
        <w:t>Emergency Petition of GlobalVRS for Extension of the Rate Relief Termination Date on ASL Services Holdings, LLC dba GlobalVRS, CG Docket Nos. 10-51</w:t>
      </w:r>
      <w:r>
        <w:t xml:space="preserve"> and </w:t>
      </w:r>
      <w:r w:rsidRPr="0046066E">
        <w:t>03-123, at 1 (filed Aug. 12, 2016)</w:t>
      </w:r>
      <w:r>
        <w:t xml:space="preserve">; </w:t>
      </w:r>
      <w:r w:rsidRPr="002A72F5">
        <w:rPr>
          <w:i/>
        </w:rPr>
        <w:t>see also</w:t>
      </w:r>
      <w:r>
        <w:t xml:space="preserve"> Letter from Mark A. Tauscher, Chairperson, RL Interstate TRS Advisory Counsel, to Marlene H. Dortch, Secretary, FCC, CG Docket Nos. 10-51 and 03-123, at 1 (filed Dec. 7, 2016).</w:t>
      </w:r>
    </w:p>
  </w:footnote>
  <w:footnote w:id="213">
    <w:p w:rsidR="00134604" w:rsidRPr="001D428B" w:rsidRDefault="00134604" w:rsidP="00134604">
      <w:pPr>
        <w:pStyle w:val="FootnoteText"/>
      </w:pPr>
      <w:r>
        <w:rPr>
          <w:rStyle w:val="FootnoteReference"/>
        </w:rPr>
        <w:footnoteRef/>
      </w:r>
      <w:r>
        <w:t xml:space="preserve"> </w:t>
      </w:r>
      <w:r>
        <w:rPr>
          <w:i/>
        </w:rPr>
        <w:t>See</w:t>
      </w:r>
      <w:r>
        <w:t xml:space="preserve"> </w:t>
      </w:r>
      <w:r w:rsidRPr="004744B8">
        <w:t>2017 Joint VRS Providers Proposal</w:t>
      </w:r>
      <w:r>
        <w:t xml:space="preserve"> at 1.  This proposal also requests that the Commission implement a number of service improvement measures proposed in the </w:t>
      </w:r>
      <w:r w:rsidRPr="005A5361">
        <w:rPr>
          <w:i/>
        </w:rPr>
        <w:t xml:space="preserve">2015 </w:t>
      </w:r>
      <w:r>
        <w:rPr>
          <w:i/>
        </w:rPr>
        <w:t xml:space="preserve">VRS </w:t>
      </w:r>
      <w:r w:rsidRPr="005A5361">
        <w:rPr>
          <w:i/>
        </w:rPr>
        <w:t>FNPRM</w:t>
      </w:r>
      <w:r>
        <w:t xml:space="preserve"> and issue a notice of inquiry regarding appropriate VRS service quality metrics. </w:t>
      </w:r>
    </w:p>
  </w:footnote>
  <w:footnote w:id="214">
    <w:p w:rsidR="00134604" w:rsidRDefault="00134604" w:rsidP="00134604">
      <w:pPr>
        <w:pStyle w:val="FootnoteText"/>
      </w:pPr>
      <w:r>
        <w:rPr>
          <w:rStyle w:val="FootnoteReference"/>
        </w:rPr>
        <w:footnoteRef/>
      </w:r>
      <w:r>
        <w:t xml:space="preserve"> </w:t>
      </w:r>
      <w:r w:rsidRPr="00141B07">
        <w:rPr>
          <w:i/>
        </w:rPr>
        <w:t>Id</w:t>
      </w:r>
      <w:r w:rsidRPr="00141B07">
        <w:t xml:space="preserve">. </w:t>
      </w:r>
      <w:r>
        <w:t>at 4-5.</w:t>
      </w:r>
    </w:p>
  </w:footnote>
  <w:footnote w:id="215">
    <w:p w:rsidR="00134604" w:rsidRDefault="00134604" w:rsidP="00134604">
      <w:pPr>
        <w:pStyle w:val="FootnoteText"/>
      </w:pPr>
      <w:r>
        <w:rPr>
          <w:rStyle w:val="FootnoteReference"/>
        </w:rPr>
        <w:footnoteRef/>
      </w:r>
      <w:r>
        <w:t xml:space="preserve"> </w:t>
      </w:r>
      <w:r w:rsidRPr="002A72F5">
        <w:rPr>
          <w:i/>
        </w:rPr>
        <w:t>Id</w:t>
      </w:r>
      <w:r>
        <w:t>.</w:t>
      </w:r>
      <w:r w:rsidRPr="004D159C">
        <w:t xml:space="preserve"> at 6-7.</w:t>
      </w:r>
    </w:p>
  </w:footnote>
  <w:footnote w:id="216">
    <w:p w:rsidR="00134604" w:rsidRDefault="00134604" w:rsidP="00134604">
      <w:pPr>
        <w:pStyle w:val="FootnoteText"/>
      </w:pPr>
      <w:r>
        <w:rPr>
          <w:rStyle w:val="FootnoteReference"/>
        </w:rPr>
        <w:footnoteRef/>
      </w:r>
      <w:r>
        <w:t xml:space="preserve"> </w:t>
      </w:r>
      <w:r w:rsidRPr="002A72F5">
        <w:rPr>
          <w:i/>
        </w:rPr>
        <w:t>Id</w:t>
      </w:r>
      <w:r w:rsidRPr="002A72F5">
        <w:t xml:space="preserve">. </w:t>
      </w:r>
      <w:r>
        <w:t>at 8-10.</w:t>
      </w:r>
    </w:p>
  </w:footnote>
  <w:footnote w:id="217">
    <w:p w:rsidR="00134604" w:rsidRDefault="00134604" w:rsidP="00134604">
      <w:pPr>
        <w:pStyle w:val="FootnoteText"/>
      </w:pPr>
      <w:r>
        <w:rPr>
          <w:rStyle w:val="FootnoteReference"/>
        </w:rPr>
        <w:footnoteRef/>
      </w:r>
      <w:r>
        <w:t xml:space="preserve"> </w:t>
      </w:r>
      <w:r w:rsidRPr="002A72F5">
        <w:rPr>
          <w:i/>
        </w:rPr>
        <w:t>Id</w:t>
      </w:r>
      <w:r w:rsidRPr="002A72F5">
        <w:t xml:space="preserve">. </w:t>
      </w:r>
      <w:r w:rsidRPr="000353B5">
        <w:t>at 8</w:t>
      </w:r>
      <w:r>
        <w:t>-9</w:t>
      </w:r>
      <w:r w:rsidRPr="000353B5">
        <w:t>.</w:t>
      </w:r>
    </w:p>
  </w:footnote>
  <w:footnote w:id="218">
    <w:p w:rsidR="00134604" w:rsidRPr="00304415" w:rsidRDefault="00134604" w:rsidP="00134604">
      <w:pPr>
        <w:pStyle w:val="FootnoteText"/>
      </w:pPr>
      <w:r>
        <w:rPr>
          <w:rStyle w:val="FootnoteReference"/>
        </w:rPr>
        <w:footnoteRef/>
      </w:r>
      <w:r>
        <w:t xml:space="preserve"> </w:t>
      </w:r>
      <w:r w:rsidRPr="00DE4F70">
        <w:rPr>
          <w:i/>
        </w:rPr>
        <w:t>Id</w:t>
      </w:r>
      <w:r>
        <w:t xml:space="preserve">. at 9; </w:t>
      </w:r>
      <w:r>
        <w:rPr>
          <w:i/>
        </w:rPr>
        <w:t>see also</w:t>
      </w:r>
      <w:r>
        <w:t xml:space="preserve"> </w:t>
      </w:r>
      <w:r w:rsidRPr="00A761E6">
        <w:rPr>
          <w:i/>
        </w:rPr>
        <w:t>2015 TRS Rate Filing</w:t>
      </w:r>
      <w:r>
        <w:t xml:space="preserve"> at 23; Rolka Loube, Supplemental Filing, CG Docket Nos. 10-51, 03-123 (filed May 1, 2015), </w:t>
      </w:r>
      <w:hyperlink r:id="rId6" w:history="1">
        <w:r w:rsidRPr="008A58B6">
          <w:rPr>
            <w:rStyle w:val="Hyperlink"/>
          </w:rPr>
          <w:t>https://ecfsapi.fcc.gov/file/60001046238.pdf</w:t>
        </w:r>
      </w:hyperlink>
      <w:r>
        <w:t>.</w:t>
      </w:r>
    </w:p>
  </w:footnote>
  <w:footnote w:id="219">
    <w:p w:rsidR="00134604" w:rsidRDefault="00134604" w:rsidP="00134604">
      <w:pPr>
        <w:pStyle w:val="FootnoteText"/>
      </w:pPr>
      <w:r>
        <w:rPr>
          <w:rStyle w:val="FootnoteReference"/>
        </w:rPr>
        <w:footnoteRef/>
      </w:r>
      <w:r>
        <w:t xml:space="preserve"> 2017 Joint VRS Providers Proposal at 9-10.</w:t>
      </w:r>
    </w:p>
  </w:footnote>
  <w:footnote w:id="220">
    <w:p w:rsidR="00134604" w:rsidRDefault="00134604" w:rsidP="00134604">
      <w:pPr>
        <w:pStyle w:val="FootnoteText"/>
      </w:pPr>
      <w:r>
        <w:rPr>
          <w:rStyle w:val="FootnoteReference"/>
        </w:rPr>
        <w:footnoteRef/>
      </w:r>
      <w:r>
        <w:t xml:space="preserve"> </w:t>
      </w:r>
      <w:r w:rsidRPr="002A72F5">
        <w:rPr>
          <w:i/>
        </w:rPr>
        <w:t>Id</w:t>
      </w:r>
      <w:r w:rsidRPr="002A72F5">
        <w:t xml:space="preserve">. </w:t>
      </w:r>
      <w:r>
        <w:t>at 10.</w:t>
      </w:r>
    </w:p>
  </w:footnote>
  <w:footnote w:id="221">
    <w:p w:rsidR="00134604" w:rsidRDefault="00134604" w:rsidP="00134604">
      <w:pPr>
        <w:pStyle w:val="FootnoteText"/>
      </w:pPr>
      <w:r>
        <w:rPr>
          <w:rStyle w:val="FootnoteReference"/>
        </w:rPr>
        <w:footnoteRef/>
      </w:r>
      <w:r>
        <w:t xml:space="preserve"> </w:t>
      </w:r>
      <w:r w:rsidRPr="00D626E4">
        <w:rPr>
          <w:i/>
          <w:iCs/>
        </w:rPr>
        <w:t>See</w:t>
      </w:r>
      <w:r>
        <w:rPr>
          <w:i/>
          <w:iCs/>
        </w:rPr>
        <w:t>, e.g.,</w:t>
      </w:r>
      <w:r w:rsidRPr="00D626E4">
        <w:rPr>
          <w:i/>
          <w:iCs/>
        </w:rPr>
        <w:t xml:space="preserve"> Telecommunications Relay Services and Speech-to-Speech Services for Individuals with Hearing and Speech Disabilities</w:t>
      </w:r>
      <w:r w:rsidRPr="00D626E4">
        <w:t>, Report and Order and Order on Reconsideration, 20 FCC Rcd 20577, 20588, 20590, para</w:t>
      </w:r>
      <w:r>
        <w:t>s</w:t>
      </w:r>
      <w:r w:rsidRPr="00D626E4">
        <w:t xml:space="preserve">. </w:t>
      </w:r>
      <w:r>
        <w:t xml:space="preserve">21, </w:t>
      </w:r>
      <w:r w:rsidRPr="00D626E4">
        <w:t>26 (2005).</w:t>
      </w:r>
    </w:p>
  </w:footnote>
  <w:footnote w:id="222">
    <w:p w:rsidR="00134604" w:rsidRDefault="00134604" w:rsidP="00134604">
      <w:pPr>
        <w:pStyle w:val="FootnoteText"/>
      </w:pPr>
      <w:r>
        <w:rPr>
          <w:rStyle w:val="FootnoteReference"/>
        </w:rPr>
        <w:footnoteRef/>
      </w:r>
      <w:r>
        <w:t xml:space="preserve"> </w:t>
      </w:r>
      <w:r>
        <w:rPr>
          <w:i/>
          <w:iCs/>
        </w:rPr>
        <w:t>S</w:t>
      </w:r>
      <w:r w:rsidRPr="00B57335">
        <w:rPr>
          <w:i/>
          <w:iCs/>
        </w:rPr>
        <w:t>ee</w:t>
      </w:r>
      <w:r>
        <w:rPr>
          <w:i/>
          <w:iCs/>
        </w:rPr>
        <w:t>, e.g.,</w:t>
      </w:r>
      <w:r w:rsidRPr="00B57335">
        <w:t xml:space="preserve"> </w:t>
      </w:r>
      <w:r w:rsidRPr="00D626E4">
        <w:rPr>
          <w:i/>
        </w:rPr>
        <w:t>2013 VRS Reform Order</w:t>
      </w:r>
      <w:r w:rsidRPr="00D626E4">
        <w:t xml:space="preserve">, 28 FCC Rcd at </w:t>
      </w:r>
      <w:r>
        <w:t>8698</w:t>
      </w:r>
      <w:r w:rsidRPr="00D626E4">
        <w:t>, para. 198.</w:t>
      </w:r>
      <w:r>
        <w:t xml:space="preserve">   </w:t>
      </w:r>
    </w:p>
  </w:footnote>
  <w:footnote w:id="223">
    <w:p w:rsidR="00134604" w:rsidRDefault="00134604" w:rsidP="00134604">
      <w:pPr>
        <w:pStyle w:val="FootnoteText"/>
      </w:pPr>
      <w:r>
        <w:rPr>
          <w:rStyle w:val="FootnoteReference"/>
        </w:rPr>
        <w:footnoteRef/>
      </w:r>
      <w:r>
        <w:t xml:space="preserve"> From VRS industry demand and compensation data provided to the Commission staff by Rolka Loube (Feb. 8, 2017).  The estimates are based on total compensation for the minutes of service provided in each fiscal year, rather than the total payments made in each fiscal year.</w:t>
      </w:r>
    </w:p>
  </w:footnote>
  <w:footnote w:id="224">
    <w:p w:rsidR="00134604" w:rsidRDefault="00134604" w:rsidP="00134604">
      <w:pPr>
        <w:pStyle w:val="FootnoteText"/>
      </w:pPr>
      <w:r>
        <w:rPr>
          <w:rStyle w:val="FootnoteReference"/>
        </w:rPr>
        <w:footnoteRef/>
      </w:r>
      <w:r>
        <w:t xml:space="preserve"> </w:t>
      </w:r>
      <w:r w:rsidRPr="008A40D9">
        <w:rPr>
          <w:i/>
        </w:rPr>
        <w:t>See</w:t>
      </w:r>
      <w:r w:rsidRPr="008A40D9">
        <w:t xml:space="preserve"> </w:t>
      </w:r>
      <w:r>
        <w:rPr>
          <w:i/>
        </w:rPr>
        <w:t xml:space="preserve">2013 </w:t>
      </w:r>
      <w:r w:rsidRPr="008A40D9">
        <w:rPr>
          <w:i/>
        </w:rPr>
        <w:t>VRS Reform Order</w:t>
      </w:r>
      <w:r w:rsidRPr="008A40D9">
        <w:t xml:space="preserve">, 28 FCC Rcd at 8698-99, </w:t>
      </w:r>
      <w:r>
        <w:t xml:space="preserve">8704, </w:t>
      </w:r>
      <w:r w:rsidRPr="008A40D9">
        <w:t>para</w:t>
      </w:r>
      <w:r>
        <w:t>s. 199-</w:t>
      </w:r>
      <w:r w:rsidRPr="008A40D9">
        <w:t>200, 214</w:t>
      </w:r>
      <w:r>
        <w:t xml:space="preserve">; </w:t>
      </w:r>
      <w:r w:rsidRPr="00141B07">
        <w:rPr>
          <w:i/>
        </w:rPr>
        <w:t>VRS Partial</w:t>
      </w:r>
      <w:r>
        <w:t xml:space="preserve"> </w:t>
      </w:r>
      <w:r w:rsidRPr="00AD61F8">
        <w:rPr>
          <w:i/>
          <w:iCs/>
        </w:rPr>
        <w:t>Rate Freeze Order</w:t>
      </w:r>
      <w:r w:rsidRPr="00AD61F8">
        <w:rPr>
          <w:iCs/>
        </w:rPr>
        <w:t xml:space="preserve">, </w:t>
      </w:r>
      <w:r>
        <w:rPr>
          <w:iCs/>
        </w:rPr>
        <w:t xml:space="preserve">31 FCC Rcd at 2345, </w:t>
      </w:r>
      <w:r w:rsidRPr="00AD61F8">
        <w:rPr>
          <w:iCs/>
        </w:rPr>
        <w:t>para. 1</w:t>
      </w:r>
      <w:r>
        <w:rPr>
          <w:iCs/>
        </w:rPr>
        <w:t>4.</w:t>
      </w:r>
    </w:p>
  </w:footnote>
  <w:footnote w:id="225">
    <w:p w:rsidR="00134604" w:rsidRDefault="00134604" w:rsidP="00134604">
      <w:pPr>
        <w:pStyle w:val="FootnoteText"/>
      </w:pPr>
      <w:r>
        <w:rPr>
          <w:rStyle w:val="FootnoteReference"/>
        </w:rPr>
        <w:footnoteRef/>
      </w:r>
      <w:r>
        <w:t xml:space="preserve"> Specifically, the neutral VRS communications platform has not been implemented, and new interoperability standards were only recently incorporated into the Commission’s rules.  </w:t>
      </w:r>
      <w:r w:rsidRPr="00141B07">
        <w:rPr>
          <w:i/>
        </w:rPr>
        <w:t>See</w:t>
      </w:r>
      <w:r>
        <w:t xml:space="preserve"> </w:t>
      </w:r>
      <w:r w:rsidRPr="00C60DC0">
        <w:rPr>
          <w:i/>
        </w:rPr>
        <w:t>CGB 2017</w:t>
      </w:r>
      <w:r w:rsidRPr="00C60DC0">
        <w:t xml:space="preserve"> </w:t>
      </w:r>
      <w:r w:rsidRPr="00C60DC0">
        <w:rPr>
          <w:i/>
          <w:iCs/>
        </w:rPr>
        <w:t>R&amp;O</w:t>
      </w:r>
      <w:r w:rsidRPr="00C60DC0">
        <w:t>.</w:t>
      </w:r>
      <w:r>
        <w:t xml:space="preserve">  </w:t>
      </w:r>
      <w:r w:rsidRPr="003A7952">
        <w:t xml:space="preserve">These two planned reforms were cited by the Commission as reasons for its belief that “our structural reforms, once implemented, will eliminate any residual need for tiered rates.”  </w:t>
      </w:r>
      <w:r w:rsidRPr="003A7952">
        <w:rPr>
          <w:i/>
        </w:rPr>
        <w:t>2013 VRS Reform Order</w:t>
      </w:r>
      <w:r w:rsidRPr="003A7952">
        <w:t>, 28 FCC Rcd at 8698-99, para. 199.</w:t>
      </w:r>
      <w:r>
        <w:t xml:space="preserve"> </w:t>
      </w:r>
    </w:p>
  </w:footnote>
  <w:footnote w:id="226">
    <w:p w:rsidR="00134604" w:rsidRDefault="00134604" w:rsidP="00134604">
      <w:pPr>
        <w:pStyle w:val="FootnoteText"/>
      </w:pPr>
      <w:r>
        <w:rPr>
          <w:rStyle w:val="FootnoteReference"/>
        </w:rPr>
        <w:footnoteRef/>
      </w:r>
      <w:r>
        <w:t xml:space="preserve"> From VRS industry reported cost data provided to the Commission staff by Rolka Loube (Feb. 8, 2017).</w:t>
      </w:r>
    </w:p>
  </w:footnote>
  <w:footnote w:id="227">
    <w:p w:rsidR="00134604" w:rsidRDefault="00134604" w:rsidP="00134604">
      <w:pPr>
        <w:pStyle w:val="FootnoteText"/>
      </w:pPr>
      <w:r>
        <w:rPr>
          <w:rStyle w:val="FootnoteReference"/>
        </w:rPr>
        <w:footnoteRef/>
      </w:r>
      <w:r>
        <w:t xml:space="preserve"> Purple, unsigned letter to Karen Peltz Strauss et al., CGB, CG Docket Nos. 03-123 and 10-51 (filed Feb. 15, 2017) (February 2017 Purple Data Submission); Letter from Gregory Hlibok, Chief Legal Officer, ZVRS, to Karen Peltz Strauss et al., CGB (filed Feb. 15, 2017) (</w:t>
      </w:r>
      <w:r w:rsidRPr="0059725E">
        <w:t xml:space="preserve">February 2017 </w:t>
      </w:r>
      <w:r>
        <w:t>ZVRS Data Submission); Letter from Jeff Rosen, General Counsel, Convo, to Marlene H. Dortch, Secretary, FCC (filed Feb. 15, 2017) (</w:t>
      </w:r>
      <w:r w:rsidRPr="0059725E">
        <w:t xml:space="preserve">February 2017 </w:t>
      </w:r>
      <w:r>
        <w:t>Convo Data Submission); Letter from Angela Roth, President and Chief Financial Officer, ASL Services Holdings, LLC dba GlobalVRS, to Marlene H. Dortch, Secretary, FCC (filed Feb. 17, 2017) (</w:t>
      </w:r>
      <w:r w:rsidRPr="0059725E">
        <w:t xml:space="preserve">February 2017 </w:t>
      </w:r>
      <w:r>
        <w:t>ASL Services Data Submission).</w:t>
      </w:r>
    </w:p>
  </w:footnote>
  <w:footnote w:id="228">
    <w:p w:rsidR="00134604" w:rsidRDefault="00134604" w:rsidP="00134604">
      <w:pPr>
        <w:pStyle w:val="FootnoteText"/>
      </w:pPr>
      <w:r>
        <w:rPr>
          <w:rStyle w:val="FootnoteReference"/>
        </w:rPr>
        <w:footnoteRef/>
      </w:r>
      <w:r>
        <w:t xml:space="preserve"> 2017 Joint VRS Providers Proposal at 8-10.</w:t>
      </w:r>
    </w:p>
  </w:footnote>
  <w:footnote w:id="229">
    <w:p w:rsidR="00134604" w:rsidRDefault="00134604" w:rsidP="00134604">
      <w:pPr>
        <w:pStyle w:val="FootnoteText"/>
      </w:pPr>
      <w:r>
        <w:rPr>
          <w:rStyle w:val="FootnoteReference"/>
        </w:rPr>
        <w:footnoteRef/>
      </w:r>
      <w:r>
        <w:t xml:space="preserve"> </w:t>
      </w:r>
      <w:r w:rsidRPr="00DE4F70">
        <w:rPr>
          <w:i/>
        </w:rPr>
        <w:t xml:space="preserve">2013 </w:t>
      </w:r>
      <w:r w:rsidRPr="00712A4C">
        <w:rPr>
          <w:i/>
        </w:rPr>
        <w:t>VRS Reform Order</w:t>
      </w:r>
      <w:r w:rsidRPr="00712A4C">
        <w:t>, 28 FCC Rcd a</w:t>
      </w:r>
      <w:r>
        <w:t>t</w:t>
      </w:r>
      <w:r w:rsidRPr="00712A4C">
        <w:t xml:space="preserve"> 870</w:t>
      </w:r>
      <w:r>
        <w:t>0</w:t>
      </w:r>
      <w:r w:rsidRPr="00712A4C">
        <w:t>, para. 20</w:t>
      </w:r>
      <w:r>
        <w:t>2</w:t>
      </w:r>
      <w:r w:rsidRPr="00712A4C">
        <w:t>.</w:t>
      </w:r>
    </w:p>
  </w:footnote>
  <w:footnote w:id="230">
    <w:p w:rsidR="00134604" w:rsidRDefault="00134604" w:rsidP="00134604">
      <w:pPr>
        <w:pStyle w:val="FootnoteText"/>
      </w:pPr>
      <w:r>
        <w:rPr>
          <w:rStyle w:val="FootnoteReference"/>
        </w:rPr>
        <w:footnoteRef/>
      </w:r>
      <w:r>
        <w:t xml:space="preserve"> February 2017 Purple Data Submission at 2-3.</w:t>
      </w:r>
    </w:p>
  </w:footnote>
  <w:footnote w:id="231">
    <w:p w:rsidR="00134604" w:rsidRDefault="00134604" w:rsidP="00134604">
      <w:pPr>
        <w:pStyle w:val="FootnoteText"/>
      </w:pPr>
      <w:r>
        <w:rPr>
          <w:rStyle w:val="FootnoteReference"/>
        </w:rPr>
        <w:footnoteRef/>
      </w:r>
      <w:r>
        <w:t xml:space="preserve"> </w:t>
      </w:r>
      <w:r w:rsidRPr="00DE4F70">
        <w:rPr>
          <w:i/>
        </w:rPr>
        <w:t xml:space="preserve">2013 </w:t>
      </w:r>
      <w:r w:rsidRPr="00FD415A">
        <w:rPr>
          <w:i/>
        </w:rPr>
        <w:t>VRS Reform Order</w:t>
      </w:r>
      <w:r w:rsidRPr="00FD415A">
        <w:t>, 28 FCC Rcd at 8701, para. 204.</w:t>
      </w:r>
    </w:p>
  </w:footnote>
  <w:footnote w:id="232">
    <w:p w:rsidR="00134604" w:rsidRDefault="00134604" w:rsidP="00134604">
      <w:pPr>
        <w:pStyle w:val="FootnoteText"/>
      </w:pPr>
      <w:r>
        <w:rPr>
          <w:rStyle w:val="FootnoteReference"/>
        </w:rPr>
        <w:footnoteRef/>
      </w:r>
      <w:r>
        <w:t xml:space="preserve"> 2017 Joint VRS Providers Proposal at 8.</w:t>
      </w:r>
    </w:p>
  </w:footnote>
  <w:footnote w:id="233">
    <w:p w:rsidR="00134604" w:rsidRDefault="00134604" w:rsidP="00134604">
      <w:pPr>
        <w:pStyle w:val="FootnoteText"/>
      </w:pPr>
      <w:r>
        <w:rPr>
          <w:rStyle w:val="FootnoteReference"/>
        </w:rPr>
        <w:footnoteRef/>
      </w:r>
      <w:r>
        <w:t xml:space="preserve"> In general, for the rates proposed by the Joint VRS Providers, </w:t>
      </w:r>
      <w:r w:rsidRPr="0059725E">
        <w:rPr>
          <w:i/>
        </w:rPr>
        <w:t>s</w:t>
      </w:r>
      <w:r w:rsidRPr="00616535">
        <w:rPr>
          <w:i/>
        </w:rPr>
        <w:t>ee</w:t>
      </w:r>
      <w:r>
        <w:t xml:space="preserve"> </w:t>
      </w:r>
      <w:r w:rsidRPr="00616535">
        <w:t>2017 Joint VRS Providers Proposal at 8-10</w:t>
      </w:r>
      <w:r>
        <w:t xml:space="preserve">; for the rates that currently apply and that will apply in June 2017, </w:t>
      </w:r>
      <w:r w:rsidRPr="000C7A5D">
        <w:rPr>
          <w:i/>
        </w:rPr>
        <w:t>see</w:t>
      </w:r>
      <w:r>
        <w:rPr>
          <w:i/>
        </w:rPr>
        <w:t xml:space="preserve"> supra</w:t>
      </w:r>
      <w:r>
        <w:t xml:space="preserve"> Table 2.</w:t>
      </w:r>
    </w:p>
  </w:footnote>
  <w:footnote w:id="234">
    <w:p w:rsidR="00134604" w:rsidRDefault="00134604" w:rsidP="00134604">
      <w:pPr>
        <w:pStyle w:val="FootnoteText"/>
      </w:pPr>
      <w:r>
        <w:rPr>
          <w:rStyle w:val="FootnoteReference"/>
        </w:rPr>
        <w:footnoteRef/>
      </w:r>
      <w:r>
        <w:t xml:space="preserve"> </w:t>
      </w:r>
      <w:r w:rsidRPr="00142982">
        <w:rPr>
          <w:i/>
        </w:rPr>
        <w:t>See</w:t>
      </w:r>
      <w:r>
        <w:t xml:space="preserve"> </w:t>
      </w:r>
      <w:r w:rsidRPr="0059725E">
        <w:t>February 2017 Convo Data Submission</w:t>
      </w:r>
      <w:r>
        <w:t xml:space="preserve">, Attachment, “Convo Communications LLC, Statement of VRS Costs, Period Covered 1/1/2016 to 12/31/2016”; </w:t>
      </w:r>
      <w:r w:rsidRPr="0059725E">
        <w:t>February 2017 ASL Services Data Submission</w:t>
      </w:r>
      <w:r>
        <w:t>, Attachment, “ASL Services Holdings, LLC, Profit &amp; Loss, January through December 2016.”</w:t>
      </w:r>
    </w:p>
  </w:footnote>
  <w:footnote w:id="235">
    <w:p w:rsidR="00134604" w:rsidRDefault="00134604" w:rsidP="00134604">
      <w:pPr>
        <w:pStyle w:val="FootnoteText"/>
      </w:pPr>
      <w:r>
        <w:rPr>
          <w:rStyle w:val="FootnoteReference"/>
        </w:rPr>
        <w:footnoteRef/>
      </w:r>
      <w:r>
        <w:t xml:space="preserve"> </w:t>
      </w:r>
      <w:r w:rsidRPr="003C4A68">
        <w:t xml:space="preserve">From </w:t>
      </w:r>
      <w:r>
        <w:t xml:space="preserve">VRS industry reported cost data </w:t>
      </w:r>
      <w:r w:rsidRPr="003C4A68">
        <w:t>provided to the Commission</w:t>
      </w:r>
      <w:r>
        <w:t xml:space="preserve"> staff</w:t>
      </w:r>
      <w:r w:rsidRPr="003C4A68">
        <w:t xml:space="preserve"> by Rolka Loube (Feb. </w:t>
      </w:r>
      <w:r>
        <w:t>8</w:t>
      </w:r>
      <w:r w:rsidRPr="003C4A68">
        <w:t>, 2017).</w:t>
      </w:r>
      <w:r>
        <w:t xml:space="preserve">  </w:t>
      </w:r>
    </w:p>
  </w:footnote>
  <w:footnote w:id="236">
    <w:p w:rsidR="00134604" w:rsidRDefault="00134604" w:rsidP="00134604">
      <w:pPr>
        <w:pStyle w:val="FootnoteText"/>
      </w:pPr>
      <w:r>
        <w:rPr>
          <w:rStyle w:val="FootnoteReference"/>
        </w:rPr>
        <w:footnoteRef/>
      </w:r>
      <w:r>
        <w:t xml:space="preserve"> From VRS industry reported cost data provided to the Commission staff by Rolka Loube (Feb. 8, 2017).</w:t>
      </w:r>
    </w:p>
  </w:footnote>
  <w:footnote w:id="237">
    <w:p w:rsidR="00134604" w:rsidRDefault="00134604" w:rsidP="00134604">
      <w:pPr>
        <w:pStyle w:val="FootnoteText"/>
      </w:pPr>
      <w:r>
        <w:rPr>
          <w:rStyle w:val="FootnoteReference"/>
        </w:rPr>
        <w:footnoteRef/>
      </w:r>
      <w:r>
        <w:t xml:space="preserve"> From VRS industry reported cost data provided to the Commission staff by Rolka Loube (Feb. 8, 2017).</w:t>
      </w:r>
      <w:r w:rsidRPr="002748C3">
        <w:t xml:space="preserve"> </w:t>
      </w:r>
    </w:p>
  </w:footnote>
  <w:footnote w:id="238">
    <w:p w:rsidR="00134604" w:rsidRDefault="00134604" w:rsidP="00134604">
      <w:pPr>
        <w:pStyle w:val="FootnoteText"/>
      </w:pPr>
      <w:r>
        <w:rPr>
          <w:rStyle w:val="FootnoteReference"/>
        </w:rPr>
        <w:footnoteRef/>
      </w:r>
      <w:r>
        <w:t xml:space="preserve"> </w:t>
      </w:r>
      <w:r w:rsidRPr="00872E9D">
        <w:rPr>
          <w:i/>
        </w:rPr>
        <w:t>See, e.g.</w:t>
      </w:r>
      <w:r w:rsidRPr="00872E9D">
        <w:t>, Sorenson, Comments</w:t>
      </w:r>
      <w:r>
        <w:t>,</w:t>
      </w:r>
      <w:r w:rsidRPr="00872E9D">
        <w:t xml:space="preserve"> CG Docket Nos. 03-123 and 10-51</w:t>
      </w:r>
      <w:r>
        <w:t>,</w:t>
      </w:r>
      <w:r w:rsidRPr="00872E9D">
        <w:t xml:space="preserve"> at 35-45, Katz Dec.</w:t>
      </w:r>
      <w:r>
        <w:t>,</w:t>
      </w:r>
      <w:r w:rsidRPr="00872E9D">
        <w:t xml:space="preserve"> </w:t>
      </w:r>
      <w:r>
        <w:t>paras.</w:t>
      </w:r>
      <w:r w:rsidRPr="00872E9D">
        <w:t xml:space="preserve"> 2, 56-63, 72, 78 (filed Mar. 9, 2012); Purple, Comments</w:t>
      </w:r>
      <w:r>
        <w:t>,</w:t>
      </w:r>
      <w:r w:rsidRPr="00872E9D">
        <w:t xml:space="preserve"> CG Docket Nos. 03-123 and 10-51, Turner Dec.</w:t>
      </w:r>
      <w:r>
        <w:t>,</w:t>
      </w:r>
      <w:r w:rsidRPr="00872E9D">
        <w:t xml:space="preserve"> </w:t>
      </w:r>
      <w:r>
        <w:t>paras.</w:t>
      </w:r>
      <w:r w:rsidRPr="00872E9D">
        <w:t xml:space="preserve"> 55-58 (filed Nov. 14, 2012).</w:t>
      </w:r>
    </w:p>
  </w:footnote>
  <w:footnote w:id="239">
    <w:p w:rsidR="00134604" w:rsidRDefault="00134604" w:rsidP="00134604">
      <w:pPr>
        <w:pStyle w:val="FootnoteText"/>
      </w:pPr>
      <w:r>
        <w:rPr>
          <w:rStyle w:val="FootnoteReference"/>
        </w:rPr>
        <w:footnoteRef/>
      </w:r>
      <w:r>
        <w:t xml:space="preserve"> </w:t>
      </w:r>
      <w:r w:rsidRPr="00D70392">
        <w:rPr>
          <w:i/>
        </w:rPr>
        <w:t>Connect America Fund et al</w:t>
      </w:r>
      <w:r>
        <w:t>., Report and Order, Order and Order on Reconsideration, and Further Notice of Proposed Rulemaking, 31 FCC Rcd 3087, 3172, para. 228 (2016).</w:t>
      </w:r>
    </w:p>
  </w:footnote>
  <w:footnote w:id="240">
    <w:p w:rsidR="00134604" w:rsidRDefault="00134604" w:rsidP="00134604">
      <w:pPr>
        <w:pStyle w:val="FootnoteText"/>
      </w:pPr>
      <w:r>
        <w:rPr>
          <w:rStyle w:val="FootnoteReference"/>
        </w:rPr>
        <w:footnoteRef/>
      </w:r>
      <w:r>
        <w:t xml:space="preserve"> From VRS industry reported cost data provided to the Commission staff by Rolka Loube (Feb. 8, 2017).</w:t>
      </w:r>
    </w:p>
  </w:footnote>
  <w:footnote w:id="241">
    <w:p w:rsidR="00134604" w:rsidRDefault="00134604" w:rsidP="00134604">
      <w:pPr>
        <w:pStyle w:val="FootnoteText"/>
      </w:pPr>
      <w:r>
        <w:rPr>
          <w:rStyle w:val="FootnoteReference"/>
        </w:rPr>
        <w:footnoteRef/>
      </w:r>
      <w:r>
        <w:t xml:space="preserve"> From VRS industry reported cost data provided to the Commission staff by Rolka Loube (Feb. 8, 2017).</w:t>
      </w:r>
    </w:p>
  </w:footnote>
  <w:footnote w:id="242">
    <w:p w:rsidR="00134604" w:rsidRDefault="00134604" w:rsidP="00134604">
      <w:pPr>
        <w:pStyle w:val="FootnoteText"/>
      </w:pPr>
      <w:r>
        <w:rPr>
          <w:rStyle w:val="FootnoteReference"/>
        </w:rPr>
        <w:footnoteRef/>
      </w:r>
      <w:r>
        <w:t xml:space="preserve"> </w:t>
      </w:r>
      <w:r w:rsidRPr="006F617A">
        <w:t xml:space="preserve">From </w:t>
      </w:r>
      <w:r w:rsidRPr="00AA15C8">
        <w:t xml:space="preserve">VRS industry reported cost </w:t>
      </w:r>
      <w:r>
        <w:t xml:space="preserve">and revenue </w:t>
      </w:r>
      <w:r w:rsidRPr="00AA15C8">
        <w:t xml:space="preserve">data provided </w:t>
      </w:r>
      <w:r w:rsidRPr="006F617A">
        <w:t xml:space="preserve">to the Commission </w:t>
      </w:r>
      <w:r>
        <w:t xml:space="preserve">staff </w:t>
      </w:r>
      <w:r w:rsidRPr="006F617A">
        <w:t xml:space="preserve">by Rolka Loube (Feb. </w:t>
      </w:r>
      <w:r>
        <w:t>8</w:t>
      </w:r>
      <w:r w:rsidRPr="006F617A">
        <w:t>, 2017).</w:t>
      </w:r>
    </w:p>
  </w:footnote>
  <w:footnote w:id="243">
    <w:p w:rsidR="00134604" w:rsidRPr="00872E9D" w:rsidRDefault="00134604" w:rsidP="00134604">
      <w:pPr>
        <w:pStyle w:val="FootnoteText"/>
      </w:pPr>
      <w:r>
        <w:rPr>
          <w:rStyle w:val="FootnoteReference"/>
        </w:rPr>
        <w:footnoteRef/>
      </w:r>
      <w:r>
        <w:t xml:space="preserve"> </w:t>
      </w:r>
      <w:r w:rsidRPr="00872E9D">
        <w:t xml:space="preserve">Although we seek comment on the possible substitution of an alternative approach, such as described above, for the current rate-of-return allowance, we do not </w:t>
      </w:r>
      <w:r>
        <w:t xml:space="preserve">intend to </w:t>
      </w:r>
      <w:r w:rsidRPr="00872E9D">
        <w:t xml:space="preserve">reopen questions </w:t>
      </w:r>
      <w:r>
        <w:t>that would expand</w:t>
      </w:r>
      <w:r w:rsidRPr="00872E9D">
        <w:t xml:space="preserve"> the types of expenses that </w:t>
      </w:r>
      <w:r>
        <w:t xml:space="preserve">the Commission has already determined </w:t>
      </w:r>
      <w:r w:rsidRPr="00872E9D">
        <w:t xml:space="preserve">should be included in allowable costs.  </w:t>
      </w:r>
      <w:r w:rsidRPr="00872E9D">
        <w:rPr>
          <w:i/>
        </w:rPr>
        <w:t>See, e.g.,</w:t>
      </w:r>
      <w:r w:rsidRPr="00872E9D">
        <w:t xml:space="preserve"> </w:t>
      </w:r>
      <w:r>
        <w:rPr>
          <w:i/>
        </w:rPr>
        <w:t xml:space="preserve">2013 </w:t>
      </w:r>
      <w:r w:rsidRPr="00872E9D">
        <w:rPr>
          <w:i/>
          <w:iCs/>
        </w:rPr>
        <w:t>VRS Reform Order</w:t>
      </w:r>
      <w:r w:rsidRPr="00872E9D">
        <w:t>, 28 FCC Rcd at 8696-97, paras. 192-94.</w:t>
      </w:r>
      <w:r w:rsidRPr="00F4309F">
        <w:rPr>
          <w:snapToGrid w:val="0"/>
          <w:color w:val="FF0000"/>
          <w:kern w:val="28"/>
          <w:sz w:val="22"/>
        </w:rPr>
        <w:t xml:space="preserve"> </w:t>
      </w:r>
      <w:r w:rsidRPr="00F4309F">
        <w:t>The Commission has repeatedly declined to expand the types of “compensable expenses” that are factored into VRS rates, and its determinations have been repeatedly upheld.  </w:t>
      </w:r>
      <w:r>
        <w:rPr>
          <w:i/>
          <w:iCs/>
        </w:rPr>
        <w:t>See, e.g., Sorenson</w:t>
      </w:r>
      <w:r w:rsidRPr="00F4309F">
        <w:t>, 765 F.3d 37</w:t>
      </w:r>
      <w:r>
        <w:t>;</w:t>
      </w:r>
      <w:r w:rsidRPr="00F4309F">
        <w:t> </w:t>
      </w:r>
      <w:r w:rsidRPr="00F4309F">
        <w:rPr>
          <w:i/>
          <w:iCs/>
        </w:rPr>
        <w:t>Sorenson Comm</w:t>
      </w:r>
      <w:r>
        <w:rPr>
          <w:i/>
          <w:iCs/>
        </w:rPr>
        <w:t>unications</w:t>
      </w:r>
      <w:r w:rsidRPr="00F4309F">
        <w:rPr>
          <w:i/>
          <w:iCs/>
        </w:rPr>
        <w:t>, Inc. v. FCC</w:t>
      </w:r>
      <w:r w:rsidRPr="00F4309F">
        <w:t>, 659 F.3d 1035 (10</w:t>
      </w:r>
      <w:r w:rsidRPr="00F4309F">
        <w:rPr>
          <w:vertAlign w:val="superscript"/>
        </w:rPr>
        <w:t>th</w:t>
      </w:r>
      <w:r w:rsidRPr="00F4309F">
        <w:t xml:space="preserve"> Cir. 2011).   </w:t>
      </w:r>
    </w:p>
  </w:footnote>
  <w:footnote w:id="244">
    <w:p w:rsidR="00134604" w:rsidRDefault="00134604" w:rsidP="00134604">
      <w:pPr>
        <w:pStyle w:val="FootnoteText"/>
      </w:pPr>
      <w:r w:rsidRPr="00872E9D">
        <w:rPr>
          <w:rStyle w:val="FootnoteReference"/>
        </w:rPr>
        <w:footnoteRef/>
      </w:r>
      <w:r w:rsidRPr="00872E9D">
        <w:t xml:space="preserve"> </w:t>
      </w:r>
      <w:r w:rsidRPr="00872E9D">
        <w:rPr>
          <w:i/>
        </w:rPr>
        <w:t>2007 TRS Rate Methodology Order</w:t>
      </w:r>
      <w:r w:rsidRPr="00872E9D">
        <w:t xml:space="preserve">, 22 FCC Rcd at 20162-63, para. 53 (establishing tiers “to reflect likely cost differentials between small providers (including new entrants); mid-level providers who are established but who do not hold a dominant market share; and large, dominant providers who are in the best position to achieve cost synergies”); </w:t>
      </w:r>
      <w:r w:rsidRPr="00872E9D">
        <w:rPr>
          <w:i/>
        </w:rPr>
        <w:t>see also</w:t>
      </w:r>
      <w:r w:rsidRPr="00872E9D">
        <w:t xml:space="preserve"> </w:t>
      </w:r>
      <w:r w:rsidRPr="00AA15C8">
        <w:rPr>
          <w:i/>
        </w:rPr>
        <w:t>Sorenson</w:t>
      </w:r>
      <w:r w:rsidRPr="00872E9D">
        <w:t xml:space="preserve">, 765 F.3d </w:t>
      </w:r>
      <w:r>
        <w:t xml:space="preserve">at </w:t>
      </w:r>
      <w:r w:rsidRPr="00872E9D">
        <w:t xml:space="preserve">51 (“As we have noted before with regard to ratemaking, ‘[t]he relevant question is whether the agency's numbers are within a zone of reasonableness, not whether its numbers are precisely right.’ </w:t>
      </w:r>
      <w:r w:rsidRPr="00872E9D">
        <w:rPr>
          <w:i/>
          <w:iCs/>
        </w:rPr>
        <w:t>WorldCom, Inc. v. FCC,</w:t>
      </w:r>
      <w:r w:rsidRPr="00872E9D">
        <w:t xml:space="preserve"> 238 F.3d 449, 462 (D.C.Cir.</w:t>
      </w:r>
      <w:r>
        <w:t xml:space="preserve"> </w:t>
      </w:r>
      <w:r w:rsidRPr="00872E9D">
        <w:t>2001) (quotation marks omitted).”).</w:t>
      </w:r>
    </w:p>
  </w:footnote>
  <w:footnote w:id="245">
    <w:p w:rsidR="00134604" w:rsidRDefault="00134604" w:rsidP="00134604">
      <w:pPr>
        <w:pStyle w:val="FootnoteText"/>
      </w:pPr>
      <w:r>
        <w:rPr>
          <w:rStyle w:val="FootnoteReference"/>
        </w:rPr>
        <w:footnoteRef/>
      </w:r>
      <w:r>
        <w:t xml:space="preserve"> </w:t>
      </w:r>
      <w:r w:rsidRPr="009A718A">
        <w:rPr>
          <w:i/>
        </w:rPr>
        <w:t>See, e.g.</w:t>
      </w:r>
      <w:r>
        <w:t xml:space="preserve">, Letter from John T. Nakahata, Counsel to Sorenson Communications, LLC, to Marlene H. Dortch, Secretary, FCC, CG Docket No. 10-51, Exhibit A (filed Feb. 6, 2017) (describing ZVRS’s “Limited Time Offer” to give prospective customers their choice of free equipment if the customer switches to ZVRS as its preferred provider). </w:t>
      </w:r>
    </w:p>
  </w:footnote>
  <w:footnote w:id="246">
    <w:p w:rsidR="00134604" w:rsidRDefault="00134604" w:rsidP="00134604">
      <w:pPr>
        <w:pStyle w:val="FootnoteText"/>
      </w:pPr>
      <w:r>
        <w:rPr>
          <w:rStyle w:val="FootnoteReference"/>
        </w:rPr>
        <w:footnoteRef/>
      </w:r>
      <w:r>
        <w:t xml:space="preserve"> </w:t>
      </w:r>
      <w:r w:rsidRPr="00142982">
        <w:rPr>
          <w:i/>
        </w:rPr>
        <w:t>See</w:t>
      </w:r>
      <w:r>
        <w:t xml:space="preserve"> </w:t>
      </w:r>
      <w:r w:rsidRPr="009A718A">
        <w:rPr>
          <w:i/>
        </w:rPr>
        <w:t>2007 TRS Rate Methodology Order</w:t>
      </w:r>
      <w:r>
        <w:t>,</w:t>
      </w:r>
      <w:r w:rsidRPr="005C4F84">
        <w:t xml:space="preserve"> 22 FCC Rcd </w:t>
      </w:r>
      <w:r>
        <w:t xml:space="preserve">at </w:t>
      </w:r>
      <w:r w:rsidRPr="005C4F84">
        <w:t>201</w:t>
      </w:r>
      <w:r>
        <w:t>69</w:t>
      </w:r>
      <w:r w:rsidRPr="005C4F84">
        <w:t>, para. 5</w:t>
      </w:r>
      <w:r>
        <w:t xml:space="preserve">6.  </w:t>
      </w:r>
    </w:p>
  </w:footnote>
  <w:footnote w:id="247">
    <w:p w:rsidR="00134604" w:rsidRDefault="00134604" w:rsidP="00134604">
      <w:pPr>
        <w:pStyle w:val="FootnoteText"/>
      </w:pPr>
      <w:r>
        <w:rPr>
          <w:rStyle w:val="FootnoteReference"/>
        </w:rPr>
        <w:footnoteRef/>
      </w:r>
      <w:r>
        <w:t xml:space="preserve"> </w:t>
      </w:r>
      <w:r w:rsidRPr="00C837FC">
        <w:t xml:space="preserve">2017 Joint VRS Providers Proposal at </w:t>
      </w:r>
      <w:r>
        <w:t xml:space="preserve">10 (proposing retroactivity to January 1, 2017, </w:t>
      </w:r>
      <w:r w:rsidRPr="00C837FC">
        <w:t xml:space="preserve">because </w:t>
      </w:r>
      <w:r>
        <w:t>“</w:t>
      </w:r>
      <w:r w:rsidRPr="00C837FC">
        <w:t>the current VRS rates are not sustainable for all providers and do not allow for the investment necessary to grow market share in the VRS marketplace</w:t>
      </w:r>
      <w:r>
        <w:t>”)</w:t>
      </w:r>
      <w:r w:rsidRPr="00C837FC">
        <w:t>.</w:t>
      </w:r>
    </w:p>
  </w:footnote>
  <w:footnote w:id="248">
    <w:p w:rsidR="00134604" w:rsidRDefault="00134604" w:rsidP="00134604">
      <w:pPr>
        <w:pStyle w:val="FootnoteText"/>
      </w:pPr>
      <w:r>
        <w:rPr>
          <w:rStyle w:val="FootnoteReference"/>
        </w:rPr>
        <w:footnoteRef/>
      </w:r>
      <w:r>
        <w:t xml:space="preserve"> </w:t>
      </w:r>
      <w:r w:rsidRPr="00EE0D21">
        <w:rPr>
          <w:i/>
          <w:iCs/>
        </w:rPr>
        <w:t>Telecommunications Relay Services and Speech-to-Speech Services for Individuals with Hearing and Speech</w:t>
      </w:r>
      <w:r>
        <w:rPr>
          <w:i/>
          <w:iCs/>
        </w:rPr>
        <w:t xml:space="preserve"> </w:t>
      </w:r>
      <w:r w:rsidRPr="00EE0D21">
        <w:rPr>
          <w:i/>
          <w:iCs/>
        </w:rPr>
        <w:t>Disabilities</w:t>
      </w:r>
      <w:r w:rsidRPr="00EE0D21">
        <w:t xml:space="preserve">, Order on Reconsideration, 21 FCC Rcd 8050, 8056, paras. 12-13 (2006); </w:t>
      </w:r>
      <w:r>
        <w:rPr>
          <w:i/>
          <w:iCs/>
        </w:rPr>
        <w:t>2006 TRS Rate Order</w:t>
      </w:r>
      <w:r w:rsidRPr="00EE0D21">
        <w:t xml:space="preserve">, 21 FCC Rcd </w:t>
      </w:r>
      <w:r>
        <w:t>at</w:t>
      </w:r>
      <w:r w:rsidRPr="00EE0D21">
        <w:t xml:space="preserve"> 8072-73, para. 21 (2006); </w:t>
      </w:r>
      <w:r w:rsidRPr="00C837FC">
        <w:rPr>
          <w:i/>
        </w:rPr>
        <w:t>VRS Partial Rate Freeze Order</w:t>
      </w:r>
      <w:r w:rsidRPr="00C837FC">
        <w:t>, 31 FCC Rcd at 2344-45, paras. 12-14;</w:t>
      </w:r>
      <w:r>
        <w:t xml:space="preserve"> </w:t>
      </w:r>
      <w:r w:rsidRPr="00C837FC">
        <w:rPr>
          <w:i/>
        </w:rPr>
        <w:t>see also</w:t>
      </w:r>
      <w:r w:rsidRPr="00C837FC">
        <w:t xml:space="preserve"> </w:t>
      </w:r>
      <w:r w:rsidRPr="00C837FC">
        <w:rPr>
          <w:i/>
          <w:iCs/>
        </w:rPr>
        <w:t>Telecommunications Relay Services and Speech-to-Speech Services for Individuals with Hearing and Speech Disabilities</w:t>
      </w:r>
      <w:r w:rsidRPr="00C837FC">
        <w:rPr>
          <w:iCs/>
        </w:rPr>
        <w:t>,</w:t>
      </w:r>
      <w:r w:rsidRPr="00C837FC">
        <w:t xml:space="preserve"> </w:t>
      </w:r>
      <w:r w:rsidRPr="00EE0D21">
        <w:t>Order, 19 FCC Rcd 2993, 2996, para. 8 (CGB 2004);</w:t>
      </w:r>
      <w:r w:rsidRPr="00C837FC">
        <w:rPr>
          <w:i/>
          <w:iCs/>
        </w:rPr>
        <w:t xml:space="preserve"> Telecommunications Relay Services and Speech-to-Speech Services for Individuals with Hearing and Speech Disabilities</w:t>
      </w:r>
      <w:r w:rsidRPr="00C837FC">
        <w:rPr>
          <w:iCs/>
        </w:rPr>
        <w:t>,</w:t>
      </w:r>
      <w:r w:rsidRPr="00C837FC">
        <w:t xml:space="preserve"> </w:t>
      </w:r>
      <w:r w:rsidRPr="00EE0D21">
        <w:t>Order, 19</w:t>
      </w:r>
      <w:r w:rsidRPr="00C837FC">
        <w:t xml:space="preserve"> FCC Rcd 24981, 24982, para. 4 (CGB 2004); </w:t>
      </w:r>
      <w:r w:rsidRPr="00C837FC">
        <w:rPr>
          <w:i/>
          <w:iCs/>
        </w:rPr>
        <w:t>Telecommunications Relay Services and Speech-to-Speech Services for Individuals with Hearing and Speech Disabilities</w:t>
      </w:r>
      <w:r w:rsidRPr="00C837FC">
        <w:rPr>
          <w:iCs/>
        </w:rPr>
        <w:t>,</w:t>
      </w:r>
      <w:r w:rsidRPr="00C837FC">
        <w:t xml:space="preserve"> Order, 23 FCC Rcd 1680, 1682, para. 7 (CGB 2008).</w:t>
      </w:r>
      <w:r w:rsidRPr="00C837FC">
        <w:rPr>
          <w:i/>
        </w:rPr>
        <w:t xml:space="preserve"> </w:t>
      </w:r>
    </w:p>
  </w:footnote>
  <w:footnote w:id="249">
    <w:p w:rsidR="00134604" w:rsidRDefault="00134604" w:rsidP="00134604">
      <w:pPr>
        <w:pStyle w:val="FootnoteText"/>
      </w:pPr>
      <w:r>
        <w:rPr>
          <w:rStyle w:val="FootnoteReference"/>
        </w:rPr>
        <w:footnoteRef/>
      </w:r>
      <w:r>
        <w:t xml:space="preserve"> </w:t>
      </w:r>
      <w:r w:rsidRPr="00F84D6F">
        <w:t xml:space="preserve">Letter from John T. Nakahata, Harris, Wiltshire &amp; Grannis, to Marlene H. Dortch, Secretary, FCC </w:t>
      </w:r>
      <w:r w:rsidRPr="00E54972">
        <w:t xml:space="preserve">at </w:t>
      </w:r>
      <w:r>
        <w:t xml:space="preserve">9-12 </w:t>
      </w:r>
      <w:r w:rsidRPr="00F84D6F">
        <w:t xml:space="preserve">(filed Mar. 14, 2017) (Sorenson </w:t>
      </w:r>
      <w:r>
        <w:t xml:space="preserve">March 14, 2017 </w:t>
      </w:r>
      <w:r w:rsidRPr="005F70E0">
        <w:rPr>
          <w:i/>
        </w:rPr>
        <w:t>Ex Parte</w:t>
      </w:r>
      <w:r>
        <w:t xml:space="preserve">).  In seeking comment on adopting a price-cap regime, we notably do not seek comment on expanding the cost categories subject to compensation.  </w:t>
      </w:r>
      <w:r w:rsidRPr="00E54972">
        <w:rPr>
          <w:i/>
        </w:rPr>
        <w:t>See supra</w:t>
      </w:r>
      <w:r>
        <w:t xml:space="preserve"> note </w:t>
      </w:r>
      <w:r w:rsidRPr="004A094C">
        <w:t>242</w:t>
      </w:r>
      <w:r>
        <w:t xml:space="preserve">.  </w:t>
      </w:r>
    </w:p>
  </w:footnote>
  <w:footnote w:id="250">
    <w:p w:rsidR="00134604" w:rsidRDefault="00134604" w:rsidP="00134604">
      <w:pPr>
        <w:pStyle w:val="FootnoteText"/>
      </w:pPr>
      <w:r>
        <w:rPr>
          <w:rStyle w:val="FootnoteReference"/>
        </w:rPr>
        <w:footnoteRef/>
      </w:r>
      <w:r>
        <w:t xml:space="preserve"> </w:t>
      </w:r>
      <w:r w:rsidRPr="00CE4526">
        <w:t xml:space="preserve">Sorenson March 14, 2017 </w:t>
      </w:r>
      <w:r w:rsidRPr="005F70E0">
        <w:rPr>
          <w:i/>
        </w:rPr>
        <w:t>Ex Parte</w:t>
      </w:r>
      <w:r>
        <w:t xml:space="preserve"> at 4; </w:t>
      </w:r>
      <w:r w:rsidRPr="008C70F3">
        <w:rPr>
          <w:i/>
        </w:rPr>
        <w:t xml:space="preserve">2013 </w:t>
      </w:r>
      <w:r w:rsidRPr="008C70F3">
        <w:rPr>
          <w:i/>
          <w:iCs/>
        </w:rPr>
        <w:t>VRS Reform FNPRM</w:t>
      </w:r>
      <w:r w:rsidRPr="008C70F3">
        <w:rPr>
          <w:iCs/>
        </w:rPr>
        <w:t>, 28 FCC Rcd at 870</w:t>
      </w:r>
      <w:r>
        <w:rPr>
          <w:iCs/>
        </w:rPr>
        <w:t>6</w:t>
      </w:r>
      <w:r w:rsidRPr="008C70F3">
        <w:rPr>
          <w:iCs/>
        </w:rPr>
        <w:t>-10, paras. 21</w:t>
      </w:r>
      <w:r>
        <w:rPr>
          <w:iCs/>
        </w:rPr>
        <w:t>7</w:t>
      </w:r>
      <w:r w:rsidRPr="008C70F3">
        <w:rPr>
          <w:iCs/>
        </w:rPr>
        <w:t>-</w:t>
      </w:r>
      <w:r>
        <w:rPr>
          <w:iCs/>
        </w:rPr>
        <w:t>38.</w:t>
      </w:r>
    </w:p>
  </w:footnote>
  <w:footnote w:id="251">
    <w:p w:rsidR="00134604" w:rsidRDefault="00134604" w:rsidP="00134604">
      <w:pPr>
        <w:pStyle w:val="FootnoteText"/>
      </w:pPr>
      <w:r>
        <w:rPr>
          <w:rStyle w:val="FootnoteReference"/>
        </w:rPr>
        <w:footnoteRef/>
      </w:r>
      <w:r>
        <w:t xml:space="preserve"> </w:t>
      </w:r>
      <w:r w:rsidRPr="001E0661">
        <w:rPr>
          <w:i/>
        </w:rPr>
        <w:t>See</w:t>
      </w:r>
      <w:r>
        <w:t xml:space="preserve"> </w:t>
      </w:r>
      <w:r w:rsidRPr="00CE4526">
        <w:t xml:space="preserve">Sorenson March 14, 2017 </w:t>
      </w:r>
      <w:r w:rsidRPr="005F70E0">
        <w:rPr>
          <w:i/>
        </w:rPr>
        <w:t>Ex Parte</w:t>
      </w:r>
      <w:r>
        <w:t xml:space="preserve"> </w:t>
      </w:r>
      <w:r w:rsidRPr="007852F3">
        <w:t xml:space="preserve">at </w:t>
      </w:r>
      <w:r>
        <w:t>4 (urging the Commission to seek comment about moving forward with the development of the platform)</w:t>
      </w:r>
      <w:r w:rsidRPr="007852F3">
        <w:t>.</w:t>
      </w:r>
    </w:p>
  </w:footnote>
  <w:footnote w:id="252">
    <w:p w:rsidR="00134604" w:rsidRDefault="00134604" w:rsidP="00134604">
      <w:pPr>
        <w:pStyle w:val="FootnoteText"/>
      </w:pPr>
      <w:r>
        <w:rPr>
          <w:rStyle w:val="FootnoteReference"/>
        </w:rPr>
        <w:footnoteRef/>
      </w:r>
      <w:r>
        <w:t xml:space="preserve"> </w:t>
      </w:r>
      <w:r w:rsidRPr="004A094C">
        <w:rPr>
          <w:i/>
        </w:rPr>
        <w:t>Id</w:t>
      </w:r>
      <w:r>
        <w:t>.</w:t>
      </w:r>
      <w:r w:rsidRPr="00265BC6">
        <w:t xml:space="preserve"> at 4</w:t>
      </w:r>
      <w:r>
        <w:t>-9.  As Sorenson explains, for example,</w:t>
      </w:r>
      <w:r w:rsidRPr="00265BC6">
        <w:rPr>
          <w:color w:val="000000"/>
          <w:sz w:val="23"/>
          <w:szCs w:val="23"/>
        </w:rPr>
        <w:t xml:space="preserve"> </w:t>
      </w:r>
      <w:r>
        <w:rPr>
          <w:color w:val="000000"/>
          <w:sz w:val="23"/>
          <w:szCs w:val="23"/>
        </w:rPr>
        <w:t xml:space="preserve">if </w:t>
      </w:r>
      <w:r w:rsidRPr="00265BC6">
        <w:t>the Commission determined that VRS users should be able to choose among three providers</w:t>
      </w:r>
      <w:r>
        <w:t xml:space="preserve">, </w:t>
      </w:r>
      <w:r w:rsidRPr="00265BC6">
        <w:t xml:space="preserve">and </w:t>
      </w:r>
      <w:r>
        <w:t xml:space="preserve">if five bids for those three positions were received, with the third lowest bid being for a rate of $3.30 per minute, then only the $3.30 bidder and the two lower bidders would be authorized to provide service, and all three providers would be authorized to bill the TRS Fund at $3.30 per minute.  </w:t>
      </w:r>
      <w:r w:rsidRPr="004A094C">
        <w:rPr>
          <w:i/>
        </w:rPr>
        <w:t>Id</w:t>
      </w:r>
      <w:r w:rsidRPr="004A094C">
        <w:t xml:space="preserve">. </w:t>
      </w:r>
      <w:r w:rsidRPr="00B74967">
        <w:t xml:space="preserve">at </w:t>
      </w:r>
      <w:r>
        <w:t>7-8</w:t>
      </w:r>
      <w:r w:rsidRPr="00B74967">
        <w:t xml:space="preserve">.  </w:t>
      </w:r>
      <w:r>
        <w:t xml:space="preserve">    </w:t>
      </w:r>
    </w:p>
  </w:footnote>
  <w:footnote w:id="253">
    <w:p w:rsidR="00134604" w:rsidRDefault="00134604" w:rsidP="00134604">
      <w:pPr>
        <w:pStyle w:val="FootnoteText"/>
      </w:pPr>
      <w:r>
        <w:rPr>
          <w:rStyle w:val="FootnoteReference"/>
        </w:rPr>
        <w:footnoteRef/>
      </w:r>
      <w:r>
        <w:t xml:space="preserve"> </w:t>
      </w:r>
      <w:r w:rsidRPr="00E13362">
        <w:t>47 U.S.C. § 225(c)</w:t>
      </w:r>
      <w:r>
        <w:t xml:space="preserve"> (</w:t>
      </w:r>
      <w:r w:rsidRPr="00E13362">
        <w:rPr>
          <w:i/>
        </w:rPr>
        <w:t>cited by</w:t>
      </w:r>
      <w:r>
        <w:t xml:space="preserve"> Sorenson March 14, 2017 </w:t>
      </w:r>
      <w:r w:rsidRPr="005F70E0">
        <w:rPr>
          <w:i/>
        </w:rPr>
        <w:t>Ex Parte</w:t>
      </w:r>
      <w:r>
        <w:t xml:space="preserve"> at 12-14).     </w:t>
      </w:r>
    </w:p>
  </w:footnote>
  <w:footnote w:id="254">
    <w:p w:rsidR="00134604" w:rsidRDefault="00134604" w:rsidP="00134604">
      <w:pPr>
        <w:pStyle w:val="FootnoteText"/>
      </w:pPr>
      <w:r>
        <w:rPr>
          <w:rStyle w:val="FootnoteReference"/>
        </w:rPr>
        <w:footnoteRef/>
      </w:r>
      <w:r>
        <w:t xml:space="preserve"> </w:t>
      </w:r>
      <w:r w:rsidRPr="00E80635">
        <w:rPr>
          <w:i/>
        </w:rPr>
        <w:t>2000 TRS Order</w:t>
      </w:r>
      <w:r>
        <w:t xml:space="preserve">, 15 FCC Rcd at 5152, paras. 21-22. </w:t>
      </w:r>
    </w:p>
  </w:footnote>
  <w:footnote w:id="255">
    <w:p w:rsidR="00134604" w:rsidRDefault="00134604" w:rsidP="00134604">
      <w:pPr>
        <w:pStyle w:val="FootnoteText"/>
      </w:pPr>
      <w:r>
        <w:rPr>
          <w:rStyle w:val="FootnoteReference"/>
        </w:rPr>
        <w:footnoteRef/>
      </w:r>
      <w:r>
        <w:t xml:space="preserve"> </w:t>
      </w:r>
      <w:r w:rsidRPr="00524F85">
        <w:rPr>
          <w:i/>
        </w:rPr>
        <w:t>See, e.g.,</w:t>
      </w:r>
      <w:r>
        <w:t xml:space="preserve"> 47 U.S.C. § 620 (</w:t>
      </w:r>
      <w:r w:rsidRPr="00AC2E20">
        <w:t>support from the TRS Fund for the distribution of equipment to low income persons who are deaf-blind</w:t>
      </w:r>
      <w:r>
        <w:t xml:space="preserve">).  </w:t>
      </w:r>
    </w:p>
  </w:footnote>
  <w:footnote w:id="256">
    <w:p w:rsidR="00134604" w:rsidRDefault="00134604" w:rsidP="00134604">
      <w:pPr>
        <w:pStyle w:val="FootnoteText"/>
      </w:pPr>
      <w:r>
        <w:rPr>
          <w:rStyle w:val="FootnoteReference"/>
        </w:rPr>
        <w:footnoteRef/>
      </w:r>
      <w:r>
        <w:t xml:space="preserve"> </w:t>
      </w:r>
      <w:r w:rsidRPr="00430C13">
        <w:rPr>
          <w:i/>
        </w:rPr>
        <w:t xml:space="preserve">2013 </w:t>
      </w:r>
      <w:r w:rsidRPr="00430C13">
        <w:rPr>
          <w:i/>
          <w:iCs/>
        </w:rPr>
        <w:t>V</w:t>
      </w:r>
      <w:r>
        <w:rPr>
          <w:i/>
          <w:iCs/>
        </w:rPr>
        <w:t>RS Reform Order</w:t>
      </w:r>
      <w:r>
        <w:rPr>
          <w:iCs/>
        </w:rPr>
        <w:t>, 28 FCC Rcd</w:t>
      </w:r>
      <w:r>
        <w:t xml:space="preserve"> at 8618, 8620, </w:t>
      </w:r>
      <w:r>
        <w:rPr>
          <w:color w:val="000000"/>
        </w:rPr>
        <w:t>8639-41, 8642-44, paras. 1, 40-44, 47-52.</w:t>
      </w:r>
    </w:p>
  </w:footnote>
  <w:footnote w:id="257">
    <w:p w:rsidR="00134604" w:rsidRDefault="00134604" w:rsidP="00134604">
      <w:pPr>
        <w:pStyle w:val="FootnoteText"/>
      </w:pPr>
      <w:r>
        <w:rPr>
          <w:rStyle w:val="FootnoteReference"/>
        </w:rPr>
        <w:footnoteRef/>
      </w:r>
      <w:r>
        <w:t xml:space="preserve"> </w:t>
      </w:r>
      <w:r w:rsidRPr="004A094C">
        <w:rPr>
          <w:i/>
        </w:rPr>
        <w:t>Id</w:t>
      </w:r>
      <w:r>
        <w:t>.</w:t>
      </w:r>
      <w:r w:rsidRPr="00265BC6">
        <w:t xml:space="preserve"> </w:t>
      </w:r>
      <w:r>
        <w:t xml:space="preserve">at 8642, para. 48.  </w:t>
      </w:r>
    </w:p>
  </w:footnote>
  <w:footnote w:id="258">
    <w:p w:rsidR="00134604" w:rsidRDefault="00134604" w:rsidP="00134604">
      <w:pPr>
        <w:pStyle w:val="FootnoteText"/>
        <w:rPr>
          <w:i/>
        </w:rPr>
      </w:pPr>
      <w:r>
        <w:rPr>
          <w:rStyle w:val="FootnoteReference"/>
        </w:rPr>
        <w:footnoteRef/>
      </w:r>
      <w:r>
        <w:t xml:space="preserve"> </w:t>
      </w:r>
      <w:r w:rsidRPr="004A094C">
        <w:rPr>
          <w:i/>
        </w:rPr>
        <w:t>Id</w:t>
      </w:r>
      <w:r>
        <w:t>.</w:t>
      </w:r>
      <w:r w:rsidRPr="00265BC6">
        <w:t xml:space="preserve"> </w:t>
      </w:r>
      <w:r>
        <w:t>at 8643, para. 49.</w:t>
      </w:r>
    </w:p>
  </w:footnote>
  <w:footnote w:id="259">
    <w:p w:rsidR="00134604" w:rsidRDefault="00134604" w:rsidP="00134604">
      <w:pPr>
        <w:pStyle w:val="FootnoteText"/>
      </w:pPr>
      <w:r>
        <w:rPr>
          <w:rStyle w:val="FootnoteReference"/>
        </w:rPr>
        <w:footnoteRef/>
      </w:r>
      <w:r>
        <w:t xml:space="preserve"> </w:t>
      </w:r>
      <w:r w:rsidRPr="00CD6482">
        <w:t xml:space="preserve">SIP Forum, US </w:t>
      </w:r>
      <w:r w:rsidRPr="00CD6482">
        <w:rPr>
          <w:bCs/>
        </w:rPr>
        <w:t>Video Relay Service (VRS)</w:t>
      </w:r>
      <w:r w:rsidRPr="00CD6482">
        <w:rPr>
          <w:b/>
          <w:bCs/>
        </w:rPr>
        <w:t xml:space="preserve"> </w:t>
      </w:r>
      <w:r w:rsidRPr="00CD6482">
        <w:rPr>
          <w:bCs/>
          <w:iCs/>
        </w:rPr>
        <w:t>Provider Interoperability Profile, Version 15, SIP Forum Document Number: VRS US Providers Profile TWG-6-</w:t>
      </w:r>
      <w:r>
        <w:rPr>
          <w:bCs/>
          <w:iCs/>
        </w:rPr>
        <w:t>1</w:t>
      </w:r>
      <w:r w:rsidRPr="00CD6482">
        <w:rPr>
          <w:bCs/>
          <w:iCs/>
        </w:rPr>
        <w:t>.</w:t>
      </w:r>
      <w:r>
        <w:rPr>
          <w:bCs/>
          <w:iCs/>
        </w:rPr>
        <w:t>0</w:t>
      </w:r>
      <w:r w:rsidRPr="00CD6482">
        <w:rPr>
          <w:bCs/>
          <w:iCs/>
        </w:rPr>
        <w:t xml:space="preserve"> (</w:t>
      </w:r>
      <w:r>
        <w:rPr>
          <w:bCs/>
          <w:iCs/>
        </w:rPr>
        <w:t>Oct. 14</w:t>
      </w:r>
      <w:r w:rsidRPr="00CD6482">
        <w:rPr>
          <w:bCs/>
          <w:iCs/>
        </w:rPr>
        <w:t>, 2015) (</w:t>
      </w:r>
      <w:r>
        <w:rPr>
          <w:bCs/>
          <w:iCs/>
        </w:rPr>
        <w:t xml:space="preserve">VRS </w:t>
      </w:r>
      <w:r w:rsidRPr="00CD6482">
        <w:rPr>
          <w:bCs/>
          <w:iCs/>
        </w:rPr>
        <w:t>Provider Interoperability Profile),</w:t>
      </w:r>
      <w:r>
        <w:rPr>
          <w:bCs/>
          <w:iCs/>
        </w:rPr>
        <w:t xml:space="preserve"> </w:t>
      </w:r>
      <w:hyperlink r:id="rId7" w:history="1">
        <w:r w:rsidRPr="00653D83">
          <w:rPr>
            <w:rStyle w:val="Hyperlink"/>
            <w:bCs/>
            <w:iCs/>
          </w:rPr>
          <w:t>http://www.sipforum.org/component/option,com_docman/task,doc_download/gid,786/Itemid,261/</w:t>
        </w:r>
        <w:r w:rsidRPr="005F70E0">
          <w:rPr>
            <w:rStyle w:val="Hyperlink"/>
            <w:u w:val="none"/>
          </w:rPr>
          <w:t>;</w:t>
        </w:r>
      </w:hyperlink>
      <w:r>
        <w:t xml:space="preserve"> </w:t>
      </w:r>
      <w:r w:rsidRPr="00440B2B">
        <w:rPr>
          <w:i/>
        </w:rPr>
        <w:t>see also</w:t>
      </w:r>
      <w:r>
        <w:t xml:space="preserve"> Letter from Richard Shockey, Chairman of the Board of Directors, SIP Forum, and Marc Robins, President and Management Director, SIP Forum, to Marlene H. Dortch, Secretary, FCC at 1 (filed Oct. 29, 2015)</w:t>
      </w:r>
      <w:r w:rsidRPr="00CD6482">
        <w:rPr>
          <w:bCs/>
          <w:iCs/>
        </w:rPr>
        <w:t>.</w:t>
      </w:r>
      <w:r>
        <w:rPr>
          <w:bCs/>
          <w:iCs/>
        </w:rPr>
        <w:t xml:space="preserve">  The VRS Task Group is described at </w:t>
      </w:r>
      <w:hyperlink r:id="rId8" w:history="1">
        <w:r w:rsidRPr="001571C2">
          <w:rPr>
            <w:rStyle w:val="Hyperlink"/>
            <w:bCs/>
            <w:iCs/>
          </w:rPr>
          <w:t>http://www.sipforum.org/content/view/404/291/</w:t>
        </w:r>
      </w:hyperlink>
      <w:r>
        <w:rPr>
          <w:bCs/>
          <w:iCs/>
        </w:rPr>
        <w:t xml:space="preserve"> (last visited Feb. 17, 2017).  The TRS Numbering Directory is a database that enables the routing of VRS and point-to-point video calls that originate and terminate with different VRS providers.  </w:t>
      </w:r>
      <w:r w:rsidRPr="00D21D74">
        <w:rPr>
          <w:bCs/>
          <w:i/>
          <w:iCs/>
        </w:rPr>
        <w:t>See</w:t>
      </w:r>
      <w:r>
        <w:rPr>
          <w:bCs/>
          <w:iCs/>
        </w:rPr>
        <w:t xml:space="preserve"> 47 CFR § 64.613.</w:t>
      </w:r>
    </w:p>
  </w:footnote>
  <w:footnote w:id="260">
    <w:p w:rsidR="00134604" w:rsidRDefault="00134604" w:rsidP="00134604">
      <w:pPr>
        <w:pStyle w:val="FootnoteText"/>
      </w:pPr>
      <w:r>
        <w:rPr>
          <w:rStyle w:val="FootnoteReference"/>
        </w:rPr>
        <w:footnoteRef/>
      </w:r>
      <w:r>
        <w:t xml:space="preserve"> </w:t>
      </w:r>
      <w:r w:rsidRPr="00EB501D">
        <w:rPr>
          <w:i/>
          <w:iCs/>
        </w:rPr>
        <w:t>CGB 2017 R&amp;O</w:t>
      </w:r>
      <w:r>
        <w:rPr>
          <w:iCs/>
        </w:rPr>
        <w:t>,</w:t>
      </w:r>
      <w:r w:rsidRPr="00EB501D">
        <w:rPr>
          <w:i/>
          <w:iCs/>
        </w:rPr>
        <w:t xml:space="preserve"> </w:t>
      </w:r>
      <w:r>
        <w:t xml:space="preserve">32 FCC Rcd at 689-90, paras. 7-8. </w:t>
      </w:r>
    </w:p>
  </w:footnote>
  <w:footnote w:id="261">
    <w:p w:rsidR="00134604" w:rsidRDefault="00134604" w:rsidP="00134604">
      <w:pPr>
        <w:pStyle w:val="FootnoteText"/>
      </w:pPr>
      <w:r>
        <w:rPr>
          <w:rStyle w:val="FootnoteReference"/>
        </w:rPr>
        <w:footnoteRef/>
      </w:r>
      <w:r>
        <w:t xml:space="preserve"> The TRS Numbering Directory is sometimes referred to as the “iTRS database.”</w:t>
      </w:r>
    </w:p>
  </w:footnote>
  <w:footnote w:id="262">
    <w:p w:rsidR="00134604" w:rsidRDefault="00134604" w:rsidP="00134604">
      <w:pPr>
        <w:pStyle w:val="FootnoteText"/>
      </w:pPr>
      <w:r>
        <w:rPr>
          <w:rStyle w:val="FootnoteReference"/>
        </w:rPr>
        <w:footnoteRef/>
      </w:r>
      <w:r>
        <w:t xml:space="preserve"> VRS </w:t>
      </w:r>
      <w:r w:rsidRPr="00F55ACA">
        <w:rPr>
          <w:bCs/>
        </w:rPr>
        <w:t>Provider Interoperability Profile § 9.1.1.</w:t>
      </w:r>
    </w:p>
  </w:footnote>
  <w:footnote w:id="263">
    <w:p w:rsidR="00134604" w:rsidRDefault="00134604" w:rsidP="00134604">
      <w:pPr>
        <w:pStyle w:val="FootnoteText"/>
      </w:pPr>
      <w:r>
        <w:rPr>
          <w:rStyle w:val="FootnoteReference"/>
        </w:rPr>
        <w:footnoteRef/>
      </w:r>
      <w:r>
        <w:t xml:space="preserve"> </w:t>
      </w:r>
      <w:r w:rsidRPr="005A4ADF">
        <w:t>47 CFR § 64.613</w:t>
      </w:r>
      <w:r>
        <w:t xml:space="preserve">(a)(2).  </w:t>
      </w:r>
      <w:r w:rsidRPr="00E52946">
        <w:t xml:space="preserve">For </w:t>
      </w:r>
      <w:r>
        <w:t xml:space="preserve">an </w:t>
      </w:r>
      <w:r w:rsidRPr="00E52946">
        <w:t>IP Relay</w:t>
      </w:r>
      <w:r>
        <w:t xml:space="preserve"> user’s telephone number, by contrast, the rule specifies that the URI contain a</w:t>
      </w:r>
      <w:r w:rsidRPr="00E52946">
        <w:t xml:space="preserve"> </w:t>
      </w:r>
      <w:r>
        <w:t>“</w:t>
      </w:r>
      <w:r w:rsidRPr="00E52946">
        <w:t>domain name that can be subsequently resolved to reach the user.</w:t>
      </w:r>
      <w:r>
        <w:t xml:space="preserve">”  </w:t>
      </w:r>
      <w:r w:rsidRPr="00C01CCE">
        <w:rPr>
          <w:i/>
        </w:rPr>
        <w:t>Id</w:t>
      </w:r>
      <w:r>
        <w:t xml:space="preserve">.; </w:t>
      </w:r>
      <w:r>
        <w:rPr>
          <w:i/>
        </w:rPr>
        <w:t>s</w:t>
      </w:r>
      <w:r w:rsidRPr="00F170CE">
        <w:rPr>
          <w:i/>
        </w:rPr>
        <w:t>ee</w:t>
      </w:r>
      <w:r>
        <w:t xml:space="preserve"> </w:t>
      </w:r>
      <w:r w:rsidRPr="004A094C">
        <w:rPr>
          <w:i/>
        </w:rPr>
        <w:t>also</w:t>
      </w:r>
      <w:r>
        <w:t xml:space="preserve"> </w:t>
      </w:r>
      <w:r w:rsidRPr="00875E17">
        <w:rPr>
          <w:i/>
        </w:rPr>
        <w:t xml:space="preserve">generally </w:t>
      </w:r>
      <w:r w:rsidRPr="00F170CE">
        <w:rPr>
          <w:i/>
        </w:rPr>
        <w:t>Telecommunications Relay Services and Speech-to-Speech Services for Individuals with Hearing and Speech Disabilities et al.</w:t>
      </w:r>
      <w:r w:rsidRPr="00F170CE">
        <w:t>, Report and Order and Further Notice of Proposed Rulemaking, 23 FCC Rcd 11591 (2008)</w:t>
      </w:r>
      <w:r>
        <w:t xml:space="preserve"> </w:t>
      </w:r>
      <w:r w:rsidRPr="00F170CE">
        <w:t>(</w:t>
      </w:r>
      <w:r w:rsidRPr="00F170CE">
        <w:rPr>
          <w:i/>
        </w:rPr>
        <w:t>First</w:t>
      </w:r>
      <w:r w:rsidRPr="00F170CE">
        <w:t xml:space="preserve"> </w:t>
      </w:r>
      <w:r w:rsidRPr="00F170CE">
        <w:rPr>
          <w:i/>
        </w:rPr>
        <w:t>TRS Numbering Order</w:t>
      </w:r>
      <w:r w:rsidRPr="00F170CE">
        <w:t>)</w:t>
      </w:r>
      <w:r>
        <w:t xml:space="preserve">; </w:t>
      </w:r>
      <w:r w:rsidRPr="005508E7">
        <w:rPr>
          <w:i/>
          <w:iCs/>
        </w:rPr>
        <w:t>Second TRS Numbering Order</w:t>
      </w:r>
      <w:r w:rsidRPr="0037334E">
        <w:rPr>
          <w:iCs/>
        </w:rPr>
        <w:t>, 24 FCC Rcd 791</w:t>
      </w:r>
      <w:r w:rsidRPr="00F170CE">
        <w:t>.</w:t>
      </w:r>
      <w:r>
        <w:t xml:space="preserve">  </w:t>
      </w:r>
    </w:p>
  </w:footnote>
  <w:footnote w:id="264">
    <w:p w:rsidR="00134604" w:rsidRDefault="00134604" w:rsidP="00134604">
      <w:pPr>
        <w:pStyle w:val="FootnoteText"/>
      </w:pPr>
      <w:r>
        <w:rPr>
          <w:rStyle w:val="FootnoteReference"/>
        </w:rPr>
        <w:footnoteRef/>
      </w:r>
      <w:r>
        <w:t xml:space="preserve"> </w:t>
      </w:r>
      <w:r w:rsidRPr="009C53F4">
        <w:t xml:space="preserve">Letter from Gabrielle Joseph, </w:t>
      </w:r>
      <w:r>
        <w:t xml:space="preserve">Vice President, ASL Services et al., to Marlene H. Dortch, Secretary, FCC </w:t>
      </w:r>
      <w:r w:rsidRPr="00697FA6">
        <w:t>at 4</w:t>
      </w:r>
      <w:r>
        <w:t xml:space="preserve"> (filed Jan. 8, 2015) (VRS Providers January 2015 Interoperability Report)</w:t>
      </w:r>
      <w:r w:rsidRPr="002C5A58">
        <w:t xml:space="preserve">; </w:t>
      </w:r>
      <w:r>
        <w:t>Letter from Gabrielle Joseph, Vice President, ASL Services, et al., to Marlene H. Dortch, Secretary, FCC at 1-2 (filed May 19, 2016) (</w:t>
      </w:r>
      <w:r w:rsidRPr="002C5A58">
        <w:t xml:space="preserve">VRS Providers May 2016 </w:t>
      </w:r>
      <w:r w:rsidRPr="005F70E0">
        <w:rPr>
          <w:i/>
        </w:rPr>
        <w:t>Ex Parte</w:t>
      </w:r>
      <w:r>
        <w:t xml:space="preserve">).  </w:t>
      </w:r>
    </w:p>
  </w:footnote>
  <w:footnote w:id="265">
    <w:p w:rsidR="00134604" w:rsidRDefault="00134604" w:rsidP="00134604">
      <w:pPr>
        <w:pStyle w:val="FootnoteText"/>
      </w:pPr>
      <w:r>
        <w:rPr>
          <w:rStyle w:val="FootnoteReference"/>
        </w:rPr>
        <w:footnoteRef/>
      </w:r>
      <w:r>
        <w:t xml:space="preserve"> VRS Providers January 2015 Interoperability Report at 4; </w:t>
      </w:r>
      <w:r w:rsidRPr="002C5A58">
        <w:t xml:space="preserve">VRS Providers May 2016 </w:t>
      </w:r>
      <w:r w:rsidRPr="005F70E0">
        <w:rPr>
          <w:i/>
        </w:rPr>
        <w:t>Ex Parte</w:t>
      </w:r>
      <w:r>
        <w:t xml:space="preserve"> at 1-2.</w:t>
      </w:r>
      <w:r w:rsidRPr="006357BF">
        <w:t xml:space="preserve"> </w:t>
      </w:r>
      <w:r>
        <w:t xml:space="preserve"> </w:t>
      </w:r>
    </w:p>
  </w:footnote>
  <w:footnote w:id="266">
    <w:p w:rsidR="00134604" w:rsidRDefault="00134604" w:rsidP="00134604">
      <w:pPr>
        <w:pStyle w:val="FootnoteText"/>
      </w:pPr>
      <w:r>
        <w:rPr>
          <w:rStyle w:val="FootnoteReference"/>
        </w:rPr>
        <w:footnoteRef/>
      </w:r>
      <w:r>
        <w:t xml:space="preserve"> </w:t>
      </w:r>
      <w:r w:rsidRPr="00D723C4">
        <w:rPr>
          <w:i/>
        </w:rPr>
        <w:t>See</w:t>
      </w:r>
      <w:r>
        <w:rPr>
          <w:i/>
        </w:rPr>
        <w:t>, e.g.,</w:t>
      </w:r>
      <w:r w:rsidRPr="00D723C4">
        <w:t xml:space="preserve"> </w:t>
      </w:r>
      <w:r w:rsidRPr="00E6628B">
        <w:t>VRS Providers January 2015 Interoperability Report</w:t>
      </w:r>
      <w:r>
        <w:t xml:space="preserve"> at 4; 2011 Consumer Groups TRS Policy Statement at 7</w:t>
      </w:r>
      <w:r w:rsidRPr="00D723C4">
        <w:t xml:space="preserve">.  </w:t>
      </w:r>
    </w:p>
  </w:footnote>
  <w:footnote w:id="267">
    <w:p w:rsidR="00134604" w:rsidRDefault="00134604" w:rsidP="00134604">
      <w:pPr>
        <w:pStyle w:val="FootnoteText"/>
      </w:pPr>
      <w:r>
        <w:rPr>
          <w:rStyle w:val="FootnoteReference"/>
        </w:rPr>
        <w:footnoteRef/>
      </w:r>
      <w:r>
        <w:t xml:space="preserve"> </w:t>
      </w:r>
      <w:r w:rsidRPr="00CC4679">
        <w:rPr>
          <w:i/>
        </w:rPr>
        <w:t>See generally</w:t>
      </w:r>
      <w:r>
        <w:t xml:space="preserve"> </w:t>
      </w:r>
      <w:r w:rsidRPr="005F7175">
        <w:rPr>
          <w:i/>
        </w:rPr>
        <w:t xml:space="preserve">2013 </w:t>
      </w:r>
      <w:r w:rsidRPr="00CC4679">
        <w:rPr>
          <w:i/>
          <w:iCs/>
        </w:rPr>
        <w:t>VRS Reform Order</w:t>
      </w:r>
      <w:r w:rsidRPr="00CC4679">
        <w:t>, 28 FCC Rcd at 8639</w:t>
      </w:r>
      <w:r>
        <w:t>-</w:t>
      </w:r>
      <w:r w:rsidRPr="00CC4679">
        <w:t>44, paras. 40-52</w:t>
      </w:r>
      <w:r>
        <w:t xml:space="preserve">; </w:t>
      </w:r>
      <w:r>
        <w:rPr>
          <w:i/>
        </w:rPr>
        <w:t>s</w:t>
      </w:r>
      <w:r w:rsidRPr="0071027F">
        <w:rPr>
          <w:i/>
        </w:rPr>
        <w:t>ee also</w:t>
      </w:r>
      <w:r>
        <w:t xml:space="preserve"> 2011 Consumer Groups TRS Policy Statement </w:t>
      </w:r>
      <w:r w:rsidRPr="00D723C4">
        <w:t>at 7.</w:t>
      </w:r>
    </w:p>
  </w:footnote>
  <w:footnote w:id="268">
    <w:p w:rsidR="00134604" w:rsidRDefault="00134604" w:rsidP="00134604">
      <w:pPr>
        <w:pStyle w:val="FootnoteText"/>
      </w:pPr>
      <w:r>
        <w:rPr>
          <w:rStyle w:val="FootnoteReference"/>
        </w:rPr>
        <w:footnoteRef/>
      </w:r>
      <w:r>
        <w:t xml:space="preserve"> </w:t>
      </w:r>
      <w:r w:rsidRPr="009F1B0D">
        <w:t xml:space="preserve">VRS Providers May 2016 </w:t>
      </w:r>
      <w:r w:rsidRPr="005F70E0">
        <w:rPr>
          <w:i/>
        </w:rPr>
        <w:t>Ex Parte</w:t>
      </w:r>
      <w:r>
        <w:t xml:space="preserve"> at 1; </w:t>
      </w:r>
      <w:r w:rsidRPr="008E7F5B">
        <w:rPr>
          <w:i/>
        </w:rPr>
        <w:t>see also</w:t>
      </w:r>
      <w:r>
        <w:t xml:space="preserve"> </w:t>
      </w:r>
      <w:r w:rsidRPr="008E7F5B">
        <w:t>VRS Providers January 2015 Interoperability Report at 4</w:t>
      </w:r>
      <w:r>
        <w:t xml:space="preserve">.    </w:t>
      </w:r>
    </w:p>
  </w:footnote>
  <w:footnote w:id="269">
    <w:p w:rsidR="00134604" w:rsidRDefault="00134604" w:rsidP="00134604">
      <w:pPr>
        <w:pStyle w:val="FootnoteText"/>
      </w:pPr>
      <w:r>
        <w:rPr>
          <w:rStyle w:val="FootnoteReference"/>
        </w:rPr>
        <w:footnoteRef/>
      </w:r>
      <w:r>
        <w:t xml:space="preserve"> </w:t>
      </w:r>
      <w:r w:rsidRPr="009F1B0D">
        <w:t xml:space="preserve">VRS Providers May 2016 </w:t>
      </w:r>
      <w:r w:rsidRPr="005F70E0">
        <w:rPr>
          <w:i/>
        </w:rPr>
        <w:t>Ex Parte</w:t>
      </w:r>
      <w:r>
        <w:t xml:space="preserve"> at 1; </w:t>
      </w:r>
      <w:r w:rsidRPr="008E7F5B">
        <w:rPr>
          <w:i/>
        </w:rPr>
        <w:t>see also</w:t>
      </w:r>
      <w:r>
        <w:t xml:space="preserve"> </w:t>
      </w:r>
      <w:r w:rsidRPr="008E7F5B">
        <w:t>VRS Providers January 2015 Interoperability Report at 4</w:t>
      </w:r>
      <w:r>
        <w:t>.</w:t>
      </w:r>
    </w:p>
  </w:footnote>
  <w:footnote w:id="270">
    <w:p w:rsidR="00134604" w:rsidRDefault="00134604" w:rsidP="00134604">
      <w:pPr>
        <w:pStyle w:val="FootnoteText"/>
      </w:pPr>
      <w:r>
        <w:rPr>
          <w:rStyle w:val="FootnoteReference"/>
        </w:rPr>
        <w:footnoteRef/>
      </w:r>
      <w:r>
        <w:t xml:space="preserve"> 47 U.S.C. § 225(c)(2).</w:t>
      </w:r>
    </w:p>
  </w:footnote>
  <w:footnote w:id="271">
    <w:p w:rsidR="00134604" w:rsidRDefault="00134604" w:rsidP="00134604">
      <w:pPr>
        <w:pStyle w:val="FootnoteText"/>
      </w:pPr>
      <w:r>
        <w:rPr>
          <w:rStyle w:val="FootnoteReference"/>
        </w:rPr>
        <w:footnoteRef/>
      </w:r>
      <w:r>
        <w:t xml:space="preserve"> </w:t>
      </w:r>
      <w:r w:rsidRPr="00B20D93">
        <w:t>47 CFR § 64.604(c)(5)(iii)(D)(</w:t>
      </w:r>
      <w:r w:rsidRPr="003028D5">
        <w:rPr>
          <w:i/>
        </w:rPr>
        <w:t>2</w:t>
      </w:r>
      <w:r w:rsidRPr="00B20D93">
        <w:t>)(</w:t>
      </w:r>
      <w:r w:rsidRPr="003028D5">
        <w:rPr>
          <w:i/>
        </w:rPr>
        <w:t>v</w:t>
      </w:r>
      <w:r w:rsidRPr="00B20D93">
        <w:t>), (</w:t>
      </w:r>
      <w:r w:rsidRPr="003028D5">
        <w:rPr>
          <w:i/>
        </w:rPr>
        <w:t>vi</w:t>
      </w:r>
      <w:r w:rsidRPr="00B20D93">
        <w:t>)</w:t>
      </w:r>
      <w:r>
        <w:t>, (</w:t>
      </w:r>
      <w:r w:rsidRPr="003028D5">
        <w:rPr>
          <w:i/>
        </w:rPr>
        <w:t>7</w:t>
      </w:r>
      <w:r>
        <w:t>)</w:t>
      </w:r>
      <w:r w:rsidRPr="00B20D93">
        <w:t xml:space="preserve">.  </w:t>
      </w:r>
    </w:p>
  </w:footnote>
  <w:footnote w:id="272">
    <w:p w:rsidR="00134604" w:rsidRDefault="00134604" w:rsidP="00134604">
      <w:pPr>
        <w:pStyle w:val="FootnoteText"/>
      </w:pPr>
      <w:r>
        <w:rPr>
          <w:rStyle w:val="FootnoteReference"/>
        </w:rPr>
        <w:footnoteRef/>
      </w:r>
      <w:r>
        <w:t xml:space="preserve"> </w:t>
      </w:r>
      <w:r w:rsidRPr="00B20D93">
        <w:rPr>
          <w:i/>
        </w:rPr>
        <w:t>See</w:t>
      </w:r>
      <w:r>
        <w:t xml:space="preserve"> </w:t>
      </w:r>
      <w:r w:rsidRPr="00B20D93">
        <w:t>47 CFR § 64.604(</w:t>
      </w:r>
      <w:r>
        <w:t>a</w:t>
      </w:r>
      <w:r w:rsidRPr="00B20D93">
        <w:t>)(</w:t>
      </w:r>
      <w:r>
        <w:t>7</w:t>
      </w:r>
      <w:r w:rsidRPr="00B20D93">
        <w:t>)</w:t>
      </w:r>
      <w:r>
        <w:t xml:space="preserve"> (prohibiting compensation for calls originating from international IP addresses except under specified circumstances)</w:t>
      </w:r>
      <w:r w:rsidRPr="00B20D93">
        <w:t>.</w:t>
      </w:r>
    </w:p>
  </w:footnote>
  <w:footnote w:id="273">
    <w:p w:rsidR="00134604" w:rsidRDefault="00134604" w:rsidP="00134604">
      <w:pPr>
        <w:pStyle w:val="FootnoteText"/>
      </w:pPr>
      <w:r>
        <w:rPr>
          <w:rStyle w:val="FootnoteReference"/>
        </w:rPr>
        <w:footnoteRef/>
      </w:r>
      <w:r>
        <w:t xml:space="preserve"> According to the providers,</w:t>
      </w:r>
      <w:r w:rsidRPr="008C1254">
        <w:t xml:space="preserve"> “[t]he switch from user IP addresses to provider domain names will not impair providers’ ability to determine whether a caller is in the United States. </w:t>
      </w:r>
      <w:r>
        <w:t xml:space="preserve"> </w:t>
      </w:r>
      <w:r w:rsidRPr="008C1254">
        <w:t xml:space="preserve">When a user places a call through his or her default provider, that provider will still know the user’s IP address, which is used to determine whether the call originates abroad.  And for dial-around calls, </w:t>
      </w:r>
      <w:r>
        <w:t>s</w:t>
      </w:r>
      <w:r w:rsidRPr="008C1254">
        <w:t xml:space="preserve">ection 9.2.2.2 of the </w:t>
      </w:r>
      <w:r>
        <w:t>[VRS Provider I</w:t>
      </w:r>
      <w:r w:rsidRPr="008C1254">
        <w:t xml:space="preserve">nteroperability </w:t>
      </w:r>
      <w:r>
        <w:t>P</w:t>
      </w:r>
      <w:r w:rsidRPr="008C1254">
        <w:t>rofile</w:t>
      </w:r>
      <w:r>
        <w:t>]</w:t>
      </w:r>
      <w:r w:rsidRPr="008C1254">
        <w:t xml:space="preserve"> provides that the VRS user’s default provider must communicate the user’s IP address to the dial-around provider and provides a mechanism for doing so. </w:t>
      </w:r>
      <w:r>
        <w:t xml:space="preserve"> </w:t>
      </w:r>
      <w:r w:rsidRPr="008C1254">
        <w:t xml:space="preserve">As a result, even after the switch to domain names, providers will still know every caller’s IP address, and there are no changes to billing instructions.”  VRS Providers May 2016 </w:t>
      </w:r>
      <w:r w:rsidRPr="005F70E0">
        <w:rPr>
          <w:i/>
        </w:rPr>
        <w:t>Ex Parte</w:t>
      </w:r>
      <w:r w:rsidRPr="008C1254">
        <w:t xml:space="preserve"> at 1-2 (footnote omitted).</w:t>
      </w:r>
    </w:p>
  </w:footnote>
  <w:footnote w:id="274">
    <w:p w:rsidR="00134604" w:rsidRDefault="00134604" w:rsidP="00134604">
      <w:pPr>
        <w:pStyle w:val="FootnoteText"/>
      </w:pPr>
      <w:r>
        <w:rPr>
          <w:rStyle w:val="FootnoteReference"/>
        </w:rPr>
        <w:footnoteRef/>
      </w:r>
      <w:r>
        <w:t xml:space="preserve"> 47 U.S.C. §§ 225, 251. </w:t>
      </w:r>
    </w:p>
  </w:footnote>
  <w:footnote w:id="275">
    <w:p w:rsidR="00134604" w:rsidRDefault="00134604" w:rsidP="00134604">
      <w:pPr>
        <w:pStyle w:val="FootnoteText"/>
      </w:pPr>
      <w:r>
        <w:rPr>
          <w:rStyle w:val="FootnoteReference"/>
        </w:rPr>
        <w:footnoteRef/>
      </w:r>
      <w:r>
        <w:t xml:space="preserve"> 47 U.S.C. § 225(a)(3), (b)(1), (d)(1), (d)(1)(A), (B).</w:t>
      </w:r>
    </w:p>
  </w:footnote>
  <w:footnote w:id="276">
    <w:p w:rsidR="00134604" w:rsidRDefault="00134604" w:rsidP="00134604">
      <w:pPr>
        <w:pStyle w:val="FootnoteText"/>
      </w:pPr>
      <w:r>
        <w:rPr>
          <w:rStyle w:val="FootnoteReference"/>
        </w:rPr>
        <w:footnoteRef/>
      </w:r>
      <w:r>
        <w:t xml:space="preserve"> </w:t>
      </w:r>
      <w:r w:rsidRPr="00711DB4">
        <w:rPr>
          <w:i/>
        </w:rPr>
        <w:t>First</w:t>
      </w:r>
      <w:r w:rsidRPr="00711DB4">
        <w:t xml:space="preserve"> </w:t>
      </w:r>
      <w:r w:rsidRPr="00711DB4">
        <w:rPr>
          <w:i/>
        </w:rPr>
        <w:t>TRS Numbering Order</w:t>
      </w:r>
      <w:r>
        <w:t xml:space="preserve">, </w:t>
      </w:r>
      <w:r w:rsidRPr="00711DB4">
        <w:t xml:space="preserve">23 FCC Rcd </w:t>
      </w:r>
      <w:r>
        <w:t xml:space="preserve">at </w:t>
      </w:r>
      <w:r w:rsidRPr="00711DB4">
        <w:t>1159</w:t>
      </w:r>
      <w:r>
        <w:t xml:space="preserve">8-601, paras. 14-19 (finding that the Commission has authority under sections 225 and 251 to adopt a system for assigning and administering ten-digit telephone numbers for Internet-based TRS); </w:t>
      </w:r>
      <w:r w:rsidRPr="000D2EA4">
        <w:rPr>
          <w:i/>
        </w:rPr>
        <w:t>id</w:t>
      </w:r>
      <w:r>
        <w:t>. at 11610-20, paras. 46-78 (establishing a TRS numbering directory and administrator).</w:t>
      </w:r>
    </w:p>
  </w:footnote>
  <w:footnote w:id="277">
    <w:p w:rsidR="00134604" w:rsidRPr="00566893" w:rsidRDefault="00134604" w:rsidP="00134604">
      <w:pPr>
        <w:pStyle w:val="FootnoteText"/>
      </w:pPr>
      <w:r>
        <w:rPr>
          <w:rStyle w:val="FootnoteReference"/>
        </w:rPr>
        <w:footnoteRef/>
      </w:r>
      <w:r>
        <w:t xml:space="preserve"> </w:t>
      </w:r>
      <w:r>
        <w:rPr>
          <w:i/>
        </w:rPr>
        <w:t>See 2013 VRS Reform Order</w:t>
      </w:r>
      <w:r>
        <w:t xml:space="preserve">, </w:t>
      </w:r>
      <w:r>
        <w:rPr>
          <w:iCs/>
        </w:rPr>
        <w:t xml:space="preserve">28 FCC Rcd </w:t>
      </w:r>
      <w:r w:rsidRPr="00EC4B56">
        <w:rPr>
          <w:iCs/>
        </w:rPr>
        <w:t>at</w:t>
      </w:r>
      <w:r>
        <w:rPr>
          <w:iCs/>
        </w:rPr>
        <w:t xml:space="preserve"> 8647-55, paras 62-86.  </w:t>
      </w:r>
      <w:r>
        <w:t xml:space="preserve">Section 64.611(a) requires each VRS provider to transmit the following information from each of its registered users to the TRS-URD:  </w:t>
      </w:r>
      <w:r w:rsidRPr="000C5F50">
        <w:t>full name</w:t>
      </w:r>
      <w:r>
        <w:t xml:space="preserve"> and</w:t>
      </w:r>
      <w:r w:rsidRPr="000C5F50">
        <w:t xml:space="preserve"> residential address</w:t>
      </w:r>
      <w:r>
        <w:t>;</w:t>
      </w:r>
      <w:r w:rsidRPr="000C5F50">
        <w:t xml:space="preserve"> ten-digit telephone number assigned in the TRS numbering directory</w:t>
      </w:r>
      <w:r>
        <w:t>;</w:t>
      </w:r>
      <w:r w:rsidRPr="000C5F50">
        <w:t xml:space="preserve"> last four digits of the social security number or Tribal Identification number</w:t>
      </w:r>
      <w:r>
        <w:t>; date of birth;</w:t>
      </w:r>
      <w:r w:rsidRPr="000C5F50">
        <w:t xml:space="preserve"> Registered Location</w:t>
      </w:r>
      <w:r>
        <w:t xml:space="preserve">; </w:t>
      </w:r>
      <w:r w:rsidRPr="000C5F50">
        <w:t xml:space="preserve">a digital copy of the user’s self-certification of eligibility for VRS and the date </w:t>
      </w:r>
      <w:r>
        <w:t xml:space="preserve">on which such certification was </w:t>
      </w:r>
      <w:r w:rsidRPr="000C5F50">
        <w:t>obtained by the provider</w:t>
      </w:r>
      <w:r>
        <w:t>;</w:t>
      </w:r>
      <w:r w:rsidRPr="000C5F50">
        <w:t xml:space="preserve"> </w:t>
      </w:r>
      <w:r>
        <w:t xml:space="preserve">and </w:t>
      </w:r>
      <w:r w:rsidRPr="000C5F50">
        <w:t>the date on which the user’s identification was verified.</w:t>
      </w:r>
      <w:r>
        <w:t xml:space="preserve">  47 CFR § 64.611(a)(3), (4); </w:t>
      </w:r>
      <w:r>
        <w:rPr>
          <w:i/>
          <w:iCs/>
        </w:rPr>
        <w:t>see also</w:t>
      </w:r>
      <w:r>
        <w:rPr>
          <w:iCs/>
        </w:rPr>
        <w:t xml:space="preserve"> </w:t>
      </w:r>
      <w:r w:rsidRPr="005F70E0">
        <w:rPr>
          <w:i/>
          <w:iCs/>
        </w:rPr>
        <w:t>id</w:t>
      </w:r>
      <w:r>
        <w:rPr>
          <w:iCs/>
        </w:rPr>
        <w:t xml:space="preserve">. § 64.615(a)(1), (5).  </w:t>
      </w:r>
      <w:r>
        <w:rPr>
          <w:i/>
        </w:rPr>
        <w:t>2013 VRS Reform Order</w:t>
      </w:r>
      <w:r>
        <w:t xml:space="preserve">, 28 FCC Rcd at 8650-51, 8654, paras. 70-71, 80, 82. The Registered Location is the most recent information obtained by the VRS provider that identifies the physical location of the end user.  47 CFR § 64.601(a)(28).  </w:t>
      </w:r>
    </w:p>
  </w:footnote>
  <w:footnote w:id="278">
    <w:p w:rsidR="00134604" w:rsidRPr="00DD703D" w:rsidRDefault="00134604" w:rsidP="00134604">
      <w:pPr>
        <w:pStyle w:val="FootnoteText"/>
      </w:pPr>
      <w:r>
        <w:rPr>
          <w:rStyle w:val="FootnoteReference"/>
        </w:rPr>
        <w:footnoteRef/>
      </w:r>
      <w:r>
        <w:t xml:space="preserve"> 47 CFR § 64.615(a)(1), (a)(5)(ii)-(iii); </w:t>
      </w:r>
      <w:r>
        <w:rPr>
          <w:i/>
        </w:rPr>
        <w:t>2013 VRS Reform Order</w:t>
      </w:r>
      <w:r>
        <w:t xml:space="preserve">, 28 FCC Rcd </w:t>
      </w:r>
      <w:r w:rsidRPr="00DD703D">
        <w:t>at 8655-56, paras. 85-86.</w:t>
      </w:r>
    </w:p>
  </w:footnote>
  <w:footnote w:id="279">
    <w:p w:rsidR="00134604" w:rsidRDefault="00134604" w:rsidP="00134604">
      <w:pPr>
        <w:pStyle w:val="FootnoteText"/>
      </w:pPr>
      <w:r>
        <w:rPr>
          <w:rStyle w:val="FootnoteReference"/>
        </w:rPr>
        <w:footnoteRef/>
      </w:r>
      <w:r>
        <w:t xml:space="preserve"> C</w:t>
      </w:r>
      <w:r w:rsidRPr="00C57ED6">
        <w:t xml:space="preserve">ompensation </w:t>
      </w:r>
      <w:r>
        <w:t xml:space="preserve">for calls from enterprise and public phones </w:t>
      </w:r>
      <w:r w:rsidRPr="00C57ED6">
        <w:t xml:space="preserve">has been permitted, because these phone calls have been necessary to provide functionally equivalent telephone service to VRS users, and </w:t>
      </w:r>
      <w:r>
        <w:t>based on the expectation that, given that most hearing people are not fluent in ASL,</w:t>
      </w:r>
      <w:r w:rsidRPr="00C57ED6">
        <w:t xml:space="preserve"> </w:t>
      </w:r>
      <w:r>
        <w:t xml:space="preserve">it will usually be obvious to the CA if an individual placing a call from such a videophone is ineligible to use VRS.  </w:t>
      </w:r>
      <w:r w:rsidRPr="00C57ED6">
        <w:rPr>
          <w:i/>
        </w:rPr>
        <w:t xml:space="preserve">See generally </w:t>
      </w:r>
      <w:r>
        <w:rPr>
          <w:i/>
        </w:rPr>
        <w:t xml:space="preserve">2013 </w:t>
      </w:r>
      <w:r w:rsidRPr="00C57ED6">
        <w:rPr>
          <w:i/>
        </w:rPr>
        <w:t>VRS Reform Order</w:t>
      </w:r>
      <w:r w:rsidRPr="00C57ED6">
        <w:t xml:space="preserve">, 28 FCC Rcd at 8654, para. 81 (noting, in its determination not to require third party independent verification of eligibility to use VRS, </w:t>
      </w:r>
      <w:r>
        <w:t>and instead directing VRS providers to require</w:t>
      </w:r>
      <w:r w:rsidRPr="00C57ED6">
        <w:t xml:space="preserve"> CAs </w:t>
      </w:r>
      <w:r>
        <w:t>to terminate any call that does not involve an individual that uses ASL or that otherwise does not appear to be a legitimate VRS call,</w:t>
      </w:r>
      <w:r w:rsidRPr="00C57ED6">
        <w:t xml:space="preserve"> because “unlike other forms of TRS, VRS requires users to communicate with a CA in ASL during each call”).</w:t>
      </w:r>
    </w:p>
  </w:footnote>
  <w:footnote w:id="280">
    <w:p w:rsidR="00134604" w:rsidRPr="006A0DB3" w:rsidRDefault="00134604" w:rsidP="00134604">
      <w:pPr>
        <w:pStyle w:val="FootnoteText"/>
      </w:pPr>
      <w:r>
        <w:rPr>
          <w:rStyle w:val="FootnoteReference"/>
        </w:rPr>
        <w:footnoteRef/>
      </w:r>
      <w:r>
        <w:t xml:space="preserve"> </w:t>
      </w:r>
      <w:r>
        <w:rPr>
          <w:i/>
        </w:rPr>
        <w:t>See</w:t>
      </w:r>
      <w:r>
        <w:t xml:space="preserve"> 47 CFR § 64.611(a).</w:t>
      </w:r>
    </w:p>
  </w:footnote>
  <w:footnote w:id="281">
    <w:p w:rsidR="00134604" w:rsidRPr="00140DE2" w:rsidRDefault="00134604" w:rsidP="00134604">
      <w:pPr>
        <w:pStyle w:val="FootnoteText"/>
      </w:pPr>
      <w:r w:rsidRPr="00140DE2">
        <w:rPr>
          <w:rStyle w:val="FootnoteReference"/>
        </w:rPr>
        <w:footnoteRef/>
      </w:r>
      <w:r w:rsidRPr="00140DE2">
        <w:t xml:space="preserve"> </w:t>
      </w:r>
      <w:r w:rsidRPr="00501BE6">
        <w:rPr>
          <w:i/>
        </w:rPr>
        <w:t xml:space="preserve">See </w:t>
      </w:r>
      <w:r w:rsidRPr="00140DE2">
        <w:rPr>
          <w:i/>
        </w:rPr>
        <w:t>VRS Reform Order</w:t>
      </w:r>
      <w:r w:rsidRPr="00140DE2">
        <w:t>, 28 FCC Rcd 8647, 8651</w:t>
      </w:r>
      <w:r>
        <w:t>,</w:t>
      </w:r>
      <w:r w:rsidRPr="00140DE2">
        <w:t xml:space="preserve"> paras. 62, 72; 47 CFR § 64.615(a) (requiring per-call validation of VRS calls).</w:t>
      </w:r>
    </w:p>
  </w:footnote>
  <w:footnote w:id="282">
    <w:p w:rsidR="00134604" w:rsidRPr="002027BB" w:rsidRDefault="00134604" w:rsidP="00134604">
      <w:pPr>
        <w:pStyle w:val="FootnoteText"/>
      </w:pPr>
      <w:r>
        <w:rPr>
          <w:rStyle w:val="FootnoteReference"/>
        </w:rPr>
        <w:footnoteRef/>
      </w:r>
      <w:r>
        <w:t xml:space="preserve"> </w:t>
      </w:r>
      <w:r>
        <w:rPr>
          <w:i/>
        </w:rPr>
        <w:t>See</w:t>
      </w:r>
      <w:r>
        <w:t xml:space="preserve"> 47 CFR § 64.611(a)(4)(ii) (providing that registration information must be submitted to the TRS-URD within 60 days of notice from the Commission).</w:t>
      </w:r>
    </w:p>
  </w:footnote>
  <w:footnote w:id="283">
    <w:p w:rsidR="00134604" w:rsidRDefault="00134604" w:rsidP="00134604">
      <w:pPr>
        <w:pStyle w:val="FootnoteText"/>
      </w:pPr>
      <w:r>
        <w:rPr>
          <w:rStyle w:val="FootnoteReference"/>
        </w:rPr>
        <w:footnoteRef/>
      </w:r>
      <w:r>
        <w:t xml:space="preserve"> The responsible person is the person who is the individual responsible for acquiring, maintaining and overseeing the videophone on behalf of the enterprise. </w:t>
      </w:r>
    </w:p>
  </w:footnote>
  <w:footnote w:id="284">
    <w:p w:rsidR="00134604" w:rsidRPr="007B17B1" w:rsidRDefault="00134604" w:rsidP="00134604">
      <w:pPr>
        <w:pStyle w:val="FootnoteText"/>
        <w:rPr>
          <w:i/>
        </w:rPr>
      </w:pPr>
      <w:r>
        <w:rPr>
          <w:rStyle w:val="FootnoteReference"/>
        </w:rPr>
        <w:footnoteRef/>
      </w:r>
      <w:r>
        <w:t xml:space="preserve"> </w:t>
      </w:r>
      <w:r>
        <w:rPr>
          <w:i/>
        </w:rPr>
        <w:t>Telecommunications Relay Services and Speech-to-Speech Services for Individuals with Hearing and Speech Disabilities; Structure and Practices of the Video Relay Service Program</w:t>
      </w:r>
      <w:r>
        <w:t>, Order and Declaratory Ruling, 32 FCC Rcd 775, 775, para. 1 (CGB 2017) (</w:t>
      </w:r>
      <w:r w:rsidRPr="00E225B1">
        <w:rPr>
          <w:i/>
        </w:rPr>
        <w:t>VTCSecure Waiver Order</w:t>
      </w:r>
      <w:r>
        <w:t xml:space="preserve">).   </w:t>
      </w:r>
    </w:p>
  </w:footnote>
  <w:footnote w:id="285">
    <w:p w:rsidR="00134604" w:rsidRDefault="00134604" w:rsidP="00134604">
      <w:pPr>
        <w:pStyle w:val="FootnoteText"/>
      </w:pPr>
      <w:r>
        <w:rPr>
          <w:rStyle w:val="FootnoteReference"/>
        </w:rPr>
        <w:footnoteRef/>
      </w:r>
      <w:r>
        <w:t xml:space="preserve"> Petition of </w:t>
      </w:r>
      <w:r w:rsidRPr="007B17B1">
        <w:t>Sorenson Communications, LLC</w:t>
      </w:r>
      <w:r>
        <w:t xml:space="preserve"> for Reconsideration of VTCSecure, LLC Order and Declaratory Ruling, CG Docket Nos. 10-51 and 03-123, at 2 (filed Feb. 16, 2017)</w:t>
      </w:r>
      <w:r w:rsidRPr="003D0A5D">
        <w:rPr>
          <w:snapToGrid w:val="0"/>
          <w:kern w:val="28"/>
          <w:sz w:val="22"/>
        </w:rPr>
        <w:t xml:space="preserve"> </w:t>
      </w:r>
      <w:r w:rsidRPr="003D0A5D">
        <w:t>(Sorenson Reconsideration Petition)</w:t>
      </w:r>
      <w:r>
        <w:t xml:space="preserve">, </w:t>
      </w:r>
      <w:hyperlink r:id="rId9" w:history="1">
        <w:r w:rsidRPr="00E25704">
          <w:rPr>
            <w:rStyle w:val="Hyperlink"/>
          </w:rPr>
          <w:t>https://ecfsapi.fcc.gov/file/10216021924400/2017-02-16%20FINAL%20Pet%20for%20Recon%20re%20VTCSecure%20Waiver.pdf</w:t>
        </w:r>
      </w:hyperlink>
      <w:r>
        <w:t xml:space="preserve">.  CGB and WCB issued a public notice seeking comment on the petition.  </w:t>
      </w:r>
      <w:r>
        <w:rPr>
          <w:i/>
        </w:rPr>
        <w:t>Consumer and Governmental Affairs Bureau and Wireline Competition Bureau Seek Comment on Sorenson Communications, LLC Petition for Reconsideration of the VTCSecure, LLC Order and Declaratory Ruling</w:t>
      </w:r>
      <w:r>
        <w:t xml:space="preserve">, DA 17-191 (rel. Feb. 22, 2017).  </w:t>
      </w:r>
    </w:p>
  </w:footnote>
  <w:footnote w:id="286">
    <w:p w:rsidR="00134604" w:rsidRDefault="00134604" w:rsidP="00134604">
      <w:pPr>
        <w:pStyle w:val="FootnoteText"/>
      </w:pPr>
      <w:r>
        <w:rPr>
          <w:rStyle w:val="FootnoteReference"/>
        </w:rPr>
        <w:footnoteRef/>
      </w:r>
      <w:r>
        <w:t xml:space="preserve"> Sorenson Reconsideration</w:t>
      </w:r>
      <w:r w:rsidRPr="004B1989">
        <w:t xml:space="preserve"> </w:t>
      </w:r>
      <w:r>
        <w:t xml:space="preserve">Petition at 2.  As an example, Sorenson states that if the DVC customer service number used to access the Social Security Administration were to be entered into the TRS Numbering Directory, deaf consumers would no longer be able to place VRS calls to SSA, and instead would only have the option of reaching the agency’s customer service center via point-to-point calls.  </w:t>
      </w:r>
    </w:p>
  </w:footnote>
  <w:footnote w:id="287">
    <w:p w:rsidR="00134604" w:rsidRPr="00117932" w:rsidRDefault="00134604" w:rsidP="00134604">
      <w:pPr>
        <w:pStyle w:val="FootnoteText"/>
        <w:rPr>
          <w:i/>
        </w:rPr>
      </w:pPr>
      <w:r>
        <w:rPr>
          <w:rStyle w:val="FootnoteReference"/>
        </w:rPr>
        <w:footnoteRef/>
      </w:r>
      <w:r>
        <w:t xml:space="preserve"> </w:t>
      </w:r>
      <w:r w:rsidRPr="00E225B1">
        <w:rPr>
          <w:i/>
        </w:rPr>
        <w:t>VTCSecure Waiver Order</w:t>
      </w:r>
      <w:r>
        <w:t>, 32 FCC Rcd at 779, para. 9 (</w:t>
      </w:r>
      <w:r w:rsidRPr="00FD775F">
        <w:rPr>
          <w:i/>
        </w:rPr>
        <w:t>citing</w:t>
      </w:r>
      <w:r>
        <w:t xml:space="preserve"> </w:t>
      </w:r>
      <w:r w:rsidRPr="005508E7">
        <w:rPr>
          <w:i/>
          <w:iCs/>
        </w:rPr>
        <w:t>Second TRS Numbering Order</w:t>
      </w:r>
      <w:r>
        <w:rPr>
          <w:i/>
        </w:rPr>
        <w:t xml:space="preserve">, </w:t>
      </w:r>
      <w:r>
        <w:t xml:space="preserve">24 FCC Rcd at 821, para. 67; </w:t>
      </w:r>
      <w:r w:rsidRPr="008F4FF0">
        <w:rPr>
          <w:i/>
        </w:rPr>
        <w:t>2015 VRS FNPRM</w:t>
      </w:r>
      <w:r>
        <w:t>, 30 FCC Rcd at 12995-96, para. 61).</w:t>
      </w:r>
    </w:p>
  </w:footnote>
  <w:footnote w:id="288">
    <w:p w:rsidR="00134604" w:rsidRPr="00EE3C4D" w:rsidRDefault="00134604" w:rsidP="00134604">
      <w:pPr>
        <w:pStyle w:val="FootnoteText"/>
      </w:pPr>
      <w:r>
        <w:rPr>
          <w:rStyle w:val="FootnoteReference"/>
        </w:rPr>
        <w:footnoteRef/>
      </w:r>
      <w:r>
        <w:t xml:space="preserve"> </w:t>
      </w:r>
      <w:r>
        <w:rPr>
          <w:i/>
        </w:rPr>
        <w:t xml:space="preserve">See </w:t>
      </w:r>
      <w:r w:rsidRPr="00E225B1">
        <w:rPr>
          <w:i/>
        </w:rPr>
        <w:t>VTCSecure Waiver Order</w:t>
      </w:r>
      <w:r>
        <w:t xml:space="preserve">, </w:t>
      </w:r>
      <w:r w:rsidRPr="000A468B">
        <w:t>32 FCC Rcd at 779</w:t>
      </w:r>
      <w:r>
        <w:t>, para. 10 (</w:t>
      </w:r>
      <w:r w:rsidRPr="00FD775F">
        <w:rPr>
          <w:i/>
        </w:rPr>
        <w:t>citing</w:t>
      </w:r>
      <w:r>
        <w:t xml:space="preserve"> </w:t>
      </w:r>
      <w:r>
        <w:rPr>
          <w:i/>
        </w:rPr>
        <w:t>Second TRS Numbering Order</w:t>
      </w:r>
      <w:r>
        <w:t>,</w:t>
      </w:r>
      <w:r>
        <w:rPr>
          <w:i/>
        </w:rPr>
        <w:t xml:space="preserve"> </w:t>
      </w:r>
      <w:r>
        <w:t>24 FCC Rcd at 821, para. 67).</w:t>
      </w:r>
    </w:p>
  </w:footnote>
  <w:footnote w:id="289">
    <w:p w:rsidR="00134604" w:rsidRDefault="00134604" w:rsidP="00134604">
      <w:pPr>
        <w:pStyle w:val="FootnoteText"/>
      </w:pPr>
      <w:r>
        <w:rPr>
          <w:rStyle w:val="FootnoteReference"/>
        </w:rPr>
        <w:footnoteRef/>
      </w:r>
      <w:r>
        <w:t xml:space="preserve"> Commenters to VTCSecure’s petition for waiver generally recognized the benefits of DVC customer support services, but VRS providers raised concerns that granting non-VRS providers access to the TRS Numbering Directory would create technical, security, and cost issues and suggested the Commission conduct a rulemaking to address such issues.  </w:t>
      </w:r>
      <w:r>
        <w:rPr>
          <w:i/>
        </w:rPr>
        <w:t>See</w:t>
      </w:r>
      <w:r>
        <w:t xml:space="preserve"> </w:t>
      </w:r>
      <w:r>
        <w:rPr>
          <w:i/>
        </w:rPr>
        <w:t>VTCSecure Waiver Order</w:t>
      </w:r>
      <w:r>
        <w:t xml:space="preserve">, </w:t>
      </w:r>
      <w:r w:rsidRPr="00AA4C61">
        <w:t>32 FCC Rcd at 779</w:t>
      </w:r>
      <w:r>
        <w:t xml:space="preserve">, paras. 11-16.  We are using the rulemaking process to consider allowing providers of DVC customer support services similar access to the TRS Numbering Directory.  </w:t>
      </w:r>
    </w:p>
  </w:footnote>
  <w:footnote w:id="290">
    <w:p w:rsidR="00134604" w:rsidRPr="00FB539A" w:rsidRDefault="00134604" w:rsidP="00134604">
      <w:pPr>
        <w:pStyle w:val="FootnoteText"/>
      </w:pPr>
      <w:r>
        <w:rPr>
          <w:rStyle w:val="FootnoteReference"/>
        </w:rPr>
        <w:footnoteRef/>
      </w:r>
      <w:r>
        <w:t xml:space="preserve"> 47 CFR § 64.615(a)(1);</w:t>
      </w:r>
      <w:r w:rsidRPr="001A4B5D">
        <w:t xml:space="preserve"> </w:t>
      </w:r>
      <w:r>
        <w:rPr>
          <w:i/>
        </w:rPr>
        <w:t>see also VRS Reform Order</w:t>
      </w:r>
      <w:r>
        <w:t>, 28 FCC Rcd at 8651, para. 72.  VRS providers may offer to register users who are not confirmed by the per-call validation, but where eligibility cannot be established, the provider must terminate the call and will not be compensated for the call.  47 CFR § 64.615(a)(1)(ii), (iii).</w:t>
      </w:r>
    </w:p>
  </w:footnote>
  <w:footnote w:id="291">
    <w:p w:rsidR="00134604" w:rsidRDefault="00134604" w:rsidP="00134604">
      <w:pPr>
        <w:pStyle w:val="FootnoteText"/>
      </w:pPr>
      <w:r>
        <w:rPr>
          <w:rStyle w:val="FootnoteReference"/>
        </w:rPr>
        <w:footnoteRef/>
      </w:r>
      <w:r>
        <w:t xml:space="preserve"> </w:t>
      </w:r>
      <w:r>
        <w:rPr>
          <w:i/>
        </w:rPr>
        <w:t>VRS Reform Order</w:t>
      </w:r>
      <w:r>
        <w:t>, 28 FCC Rcd at 8649, para. 68.</w:t>
      </w:r>
    </w:p>
  </w:footnote>
  <w:footnote w:id="292">
    <w:p w:rsidR="00134604" w:rsidRDefault="00134604" w:rsidP="00134604">
      <w:pPr>
        <w:pStyle w:val="FootnoteText"/>
      </w:pPr>
      <w:r>
        <w:rPr>
          <w:rStyle w:val="FootnoteReference"/>
        </w:rPr>
        <w:footnoteRef/>
      </w:r>
      <w:r>
        <w:t xml:space="preserve"> </w:t>
      </w:r>
      <w:r>
        <w:rPr>
          <w:i/>
        </w:rPr>
        <w:t xml:space="preserve">Id. </w:t>
      </w:r>
      <w:r>
        <w:t>para. 68 &amp; n.167.</w:t>
      </w:r>
    </w:p>
  </w:footnote>
  <w:footnote w:id="293">
    <w:p w:rsidR="00134604" w:rsidRDefault="00134604" w:rsidP="00134604">
      <w:pPr>
        <w:pStyle w:val="FootnoteText"/>
      </w:pPr>
      <w:r>
        <w:rPr>
          <w:rStyle w:val="FootnoteReference"/>
        </w:rPr>
        <w:footnoteRef/>
      </w:r>
      <w:r>
        <w:t xml:space="preserve"> The TRS-URD will continuously update the valid number list in the TRS Numbering Directory.</w:t>
      </w:r>
    </w:p>
  </w:footnote>
  <w:footnote w:id="294">
    <w:p w:rsidR="00134604" w:rsidRDefault="00134604" w:rsidP="00134604">
      <w:pPr>
        <w:pStyle w:val="FootnoteText"/>
      </w:pPr>
      <w:r>
        <w:rPr>
          <w:rStyle w:val="FootnoteReference"/>
        </w:rPr>
        <w:footnoteRef/>
      </w:r>
      <w:r>
        <w:t xml:space="preserve"> 47 CFR § 64.615(a)(1).</w:t>
      </w:r>
    </w:p>
  </w:footnote>
  <w:footnote w:id="295">
    <w:p w:rsidR="00134604" w:rsidRDefault="00134604" w:rsidP="00134604">
      <w:pPr>
        <w:pStyle w:val="FootnoteText"/>
      </w:pPr>
      <w:r>
        <w:rPr>
          <w:rStyle w:val="FootnoteReference"/>
        </w:rPr>
        <w:footnoteRef/>
      </w:r>
      <w:r>
        <w:t xml:space="preserve"> </w:t>
      </w:r>
      <w:r w:rsidRPr="00B42817">
        <w:rPr>
          <w:i/>
        </w:rPr>
        <w:t>Technology Transitions, ‎AT</w:t>
      </w:r>
      <w:r>
        <w:rPr>
          <w:i/>
        </w:rPr>
        <w:t>&amp;</w:t>
      </w:r>
      <w:r w:rsidRPr="00B42817">
        <w:rPr>
          <w:i/>
        </w:rPr>
        <w:t>T Petition to Launch Proceeding Concerning the TDM-to-IP Transition, Connect America Fund, Structure and Practices of the Video Relay Service Program, Telecommunications Relay Services and Speech-to-Speech Services for People with Hearing and Speech Disabilities, Numbering Policies for Modern Communications</w:t>
      </w:r>
      <w:r w:rsidRPr="00B42817">
        <w:t>, Order, Report and Order and Further Notice of Proposed Rulemaking, Report and Order, Order and Further Notice of Proposed Rulemaking, Proposal for Ongoing Data Initiative, 29 FCC Rcd 1433 (2014).</w:t>
      </w:r>
    </w:p>
  </w:footnote>
  <w:footnote w:id="296">
    <w:p w:rsidR="00134604" w:rsidRDefault="00134604" w:rsidP="00134604">
      <w:pPr>
        <w:pStyle w:val="FootnoteText"/>
      </w:pPr>
      <w:r w:rsidRPr="00105ABD">
        <w:rPr>
          <w:rStyle w:val="FootnoteReference"/>
        </w:rPr>
        <w:footnoteRef/>
      </w:r>
      <w:r w:rsidRPr="00AD2F35">
        <w:rPr>
          <w:i/>
        </w:rPr>
        <w:t xml:space="preserve"> </w:t>
      </w:r>
      <w:r>
        <w:rPr>
          <w:i/>
        </w:rPr>
        <w:t>Id.</w:t>
      </w:r>
      <w:r>
        <w:t xml:space="preserve"> at 1482,</w:t>
      </w:r>
      <w:r>
        <w:rPr>
          <w:i/>
        </w:rPr>
        <w:t xml:space="preserve"> </w:t>
      </w:r>
      <w:r>
        <w:t>para. 149</w:t>
      </w:r>
      <w:r>
        <w:rPr>
          <w:i/>
        </w:rPr>
        <w:t xml:space="preserve"> </w:t>
      </w:r>
      <w:r>
        <w:t>(</w:t>
      </w:r>
      <w:r>
        <w:rPr>
          <w:i/>
        </w:rPr>
        <w:t xml:space="preserve">citing </w:t>
      </w:r>
      <w:r w:rsidRPr="00AD2F35">
        <w:t>Letter from David Rolka, President, R</w:t>
      </w:r>
      <w:r>
        <w:t xml:space="preserve">olka </w:t>
      </w:r>
      <w:r w:rsidRPr="00AD2F35">
        <w:t>L</w:t>
      </w:r>
      <w:r>
        <w:t xml:space="preserve">oube </w:t>
      </w:r>
      <w:r w:rsidRPr="00AD2F35">
        <w:t>S</w:t>
      </w:r>
      <w:r>
        <w:t xml:space="preserve">altzer </w:t>
      </w:r>
      <w:r w:rsidRPr="00AD2F35">
        <w:t>A</w:t>
      </w:r>
      <w:r>
        <w:t>ssociates (RLSA)</w:t>
      </w:r>
      <w:r w:rsidRPr="00AD2F35">
        <w:t xml:space="preserve">, to Marlene H. Dortch, Secretary, </w:t>
      </w:r>
      <w:r>
        <w:t>FCC</w:t>
      </w:r>
      <w:r w:rsidRPr="00AD2F35">
        <w:t>, CG Docket Nos. 10-51, 03-123, at 3 (filed Apr. 23, 2013)</w:t>
      </w:r>
      <w:r>
        <w:t>)</w:t>
      </w:r>
      <w:r w:rsidRPr="00AD2F35">
        <w:t>.</w:t>
      </w:r>
    </w:p>
  </w:footnote>
  <w:footnote w:id="297">
    <w:p w:rsidR="00134604" w:rsidRDefault="00134604" w:rsidP="00134604">
      <w:pPr>
        <w:pStyle w:val="FootnoteText"/>
      </w:pPr>
      <w:r>
        <w:rPr>
          <w:rStyle w:val="FootnoteReference"/>
        </w:rPr>
        <w:footnoteRef/>
      </w:r>
      <w:r>
        <w:t xml:space="preserve"> </w:t>
      </w:r>
      <w:r w:rsidRPr="00F95851">
        <w:rPr>
          <w:i/>
        </w:rPr>
        <w:t>Id</w:t>
      </w:r>
      <w:r>
        <w:t>.  In that Order, the Commission made clear that p</w:t>
      </w:r>
      <w:r w:rsidRPr="00A31E42">
        <w:t xml:space="preserve">roviders </w:t>
      </w:r>
      <w:r>
        <w:t xml:space="preserve">would </w:t>
      </w:r>
      <w:r w:rsidRPr="00A31E42">
        <w:t xml:space="preserve">continue to receive compensation for R&amp;D expenses that are necessary to meet </w:t>
      </w:r>
      <w:r>
        <w:t>the Commission’s</w:t>
      </w:r>
      <w:r w:rsidRPr="00A31E42">
        <w:t xml:space="preserve"> mandatory minimum standards</w:t>
      </w:r>
      <w:r>
        <w:t>.</w:t>
      </w:r>
    </w:p>
  </w:footnote>
  <w:footnote w:id="298">
    <w:p w:rsidR="00134604" w:rsidRDefault="00134604" w:rsidP="00134604">
      <w:pPr>
        <w:pStyle w:val="FootnoteText"/>
      </w:pPr>
      <w:r w:rsidRPr="00105ABD">
        <w:rPr>
          <w:rStyle w:val="FootnoteReference"/>
        </w:rPr>
        <w:footnoteRef/>
      </w:r>
      <w:r w:rsidRPr="00AD2F35">
        <w:t xml:space="preserve"> </w:t>
      </w:r>
      <w:r w:rsidRPr="00AD2F35">
        <w:rPr>
          <w:i/>
        </w:rPr>
        <w:t>See, e.g.</w:t>
      </w:r>
      <w:r w:rsidRPr="00A2454F">
        <w:t>,</w:t>
      </w:r>
      <w:r w:rsidRPr="00AD2F35">
        <w:rPr>
          <w:i/>
        </w:rPr>
        <w:t xml:space="preserve"> </w:t>
      </w:r>
      <w:r w:rsidRPr="00AD2F35">
        <w:t xml:space="preserve">47 U.S.C. § 225(a)(3) (defining TRS as </w:t>
      </w:r>
      <w:r w:rsidRPr="00AD2F35">
        <w:rPr>
          <w:snapToGrid w:val="0"/>
        </w:rPr>
        <w:t xml:space="preserve">providing </w:t>
      </w:r>
      <w:r>
        <w:rPr>
          <w:snapToGrid w:val="0"/>
        </w:rPr>
        <w:t>“</w:t>
      </w:r>
      <w:r w:rsidRPr="00AD2F35">
        <w:rPr>
          <w:snapToGrid w:val="0"/>
        </w:rPr>
        <w:t>functionally equivalent</w:t>
      </w:r>
      <w:r>
        <w:rPr>
          <w:snapToGrid w:val="0"/>
        </w:rPr>
        <w:t>”</w:t>
      </w:r>
      <w:r w:rsidRPr="00AD2F35">
        <w:rPr>
          <w:snapToGrid w:val="0"/>
        </w:rPr>
        <w:t xml:space="preserve"> telephone service for persons with hearing or speech disabilities)</w:t>
      </w:r>
      <w:r>
        <w:rPr>
          <w:snapToGrid w:val="0"/>
        </w:rPr>
        <w:t>,</w:t>
      </w:r>
      <w:r w:rsidRPr="00AD2F35">
        <w:rPr>
          <w:snapToGrid w:val="0"/>
        </w:rPr>
        <w:t xml:space="preserve"> </w:t>
      </w:r>
      <w:r w:rsidRPr="00AD2F35">
        <w:t>(d)(2) (requiring that the Commission</w:t>
      </w:r>
      <w:r>
        <w:t>’</w:t>
      </w:r>
      <w:r w:rsidRPr="00AD2F35">
        <w:t xml:space="preserve">s regulations </w:t>
      </w:r>
      <w:r>
        <w:t>“</w:t>
      </w:r>
      <w:r w:rsidRPr="00AD2F35">
        <w:t>do not discourage or impair the development of improved technology</w:t>
      </w:r>
      <w:r>
        <w:t>”</w:t>
      </w:r>
      <w:r w:rsidRPr="00AD2F35">
        <w:t>)</w:t>
      </w:r>
      <w:r>
        <w:t>.</w:t>
      </w:r>
    </w:p>
  </w:footnote>
  <w:footnote w:id="299">
    <w:p w:rsidR="00134604" w:rsidRDefault="00134604" w:rsidP="00134604">
      <w:pPr>
        <w:pStyle w:val="FootnoteText"/>
      </w:pPr>
      <w:r>
        <w:rPr>
          <w:rStyle w:val="FootnoteReference"/>
        </w:rPr>
        <w:footnoteRef/>
      </w:r>
      <w:r>
        <w:t xml:space="preserve"> </w:t>
      </w:r>
      <w:r w:rsidRPr="00687E3C">
        <w:rPr>
          <w:i/>
          <w:iCs/>
        </w:rPr>
        <w:t>See, e.g.</w:t>
      </w:r>
      <w:r w:rsidRPr="00687E3C">
        <w:t xml:space="preserve">, </w:t>
      </w:r>
      <w:r w:rsidRPr="00687E3C">
        <w:rPr>
          <w:i/>
          <w:iCs/>
        </w:rPr>
        <w:t>Telecommunications Relay Services and Speech-to-Speech Services for Individuals with Hearing and</w:t>
      </w:r>
      <w:r>
        <w:rPr>
          <w:i/>
          <w:iCs/>
        </w:rPr>
        <w:t xml:space="preserve"> </w:t>
      </w:r>
      <w:r w:rsidRPr="00687E3C">
        <w:rPr>
          <w:i/>
          <w:iCs/>
        </w:rPr>
        <w:t>Speech Disabilities</w:t>
      </w:r>
      <w:r w:rsidRPr="00687E3C">
        <w:t>, Declaratory Ruling, 20 FCC Rcd 1466 (CGB</w:t>
      </w:r>
      <w:r>
        <w:t xml:space="preserve"> </w:t>
      </w:r>
      <w:r w:rsidRPr="00687E3C">
        <w:t>2005) (prohibiting a provider’s “Brown Bag” program, as it was</w:t>
      </w:r>
      <w:r>
        <w:t xml:space="preserve"> </w:t>
      </w:r>
      <w:r w:rsidRPr="00687E3C">
        <w:t>called, which allowed customers to receive five points for every minute of VRS placed through the company, with</w:t>
      </w:r>
      <w:r>
        <w:t xml:space="preserve"> </w:t>
      </w:r>
      <w:r w:rsidRPr="00687E3C">
        <w:t xml:space="preserve">the customer being able to cash in the points for high speed Internet service); </w:t>
      </w:r>
      <w:r>
        <w:rPr>
          <w:i/>
          <w:iCs/>
        </w:rPr>
        <w:t>2005 Call Handling PN</w:t>
      </w:r>
      <w:r w:rsidRPr="00687E3C">
        <w:t xml:space="preserve">, 20 FCC Rcd 1471 </w:t>
      </w:r>
      <w:r w:rsidRPr="00687E3C">
        <w:rPr>
          <w:iCs/>
        </w:rPr>
        <w:t xml:space="preserve">(prohibiting direct and indirect financial or other tangible incentives to make relay calls and prohibiting financial incentives or rewards to register with the provider, and emphasizing that financial incentives are prohibited, even when the benefit goes to a third party rather than the consumer); </w:t>
      </w:r>
      <w:r w:rsidRPr="00687E3C">
        <w:rPr>
          <w:i/>
          <w:iCs/>
        </w:rPr>
        <w:t>Telecommunications Relay Services and Speech-to-Speech Services for Individuals with Hearing and Speech Disabilities</w:t>
      </w:r>
      <w:r w:rsidRPr="00687E3C">
        <w:rPr>
          <w:iCs/>
        </w:rPr>
        <w:t xml:space="preserve">, Order, 20 FCC Rcd 12503, 12505-06, </w:t>
      </w:r>
      <w:r>
        <w:rPr>
          <w:iCs/>
        </w:rPr>
        <w:t>para.</w:t>
      </w:r>
      <w:r w:rsidRPr="00687E3C">
        <w:rPr>
          <w:iCs/>
        </w:rPr>
        <w:t xml:space="preserve"> 6 (CGB 2005) (concluding that offering free or discount long distance service to TRS consumers constitutes an impermissible financial incentive, and that the programs “directed at giving the consumer an incentive to make a TRS call in the first place . . . are prohibited”); </w:t>
      </w:r>
      <w:r w:rsidRPr="00687E3C">
        <w:rPr>
          <w:i/>
          <w:iCs/>
        </w:rPr>
        <w:t>2007 TRS Rate Methodology Order</w:t>
      </w:r>
      <w:r>
        <w:rPr>
          <w:iCs/>
        </w:rPr>
        <w:t>,</w:t>
      </w:r>
      <w:r w:rsidRPr="00687E3C">
        <w:rPr>
          <w:i/>
          <w:iCs/>
        </w:rPr>
        <w:t xml:space="preserve"> </w:t>
      </w:r>
      <w:r w:rsidRPr="00687E3C">
        <w:rPr>
          <w:iCs/>
        </w:rPr>
        <w:t xml:space="preserve">22 FCC Rcd </w:t>
      </w:r>
      <w:r>
        <w:rPr>
          <w:iCs/>
        </w:rPr>
        <w:t>at</w:t>
      </w:r>
      <w:r w:rsidRPr="00687E3C">
        <w:rPr>
          <w:iCs/>
        </w:rPr>
        <w:t xml:space="preserve"> 20173-75, </w:t>
      </w:r>
      <w:r>
        <w:rPr>
          <w:iCs/>
        </w:rPr>
        <w:t>paras.</w:t>
      </w:r>
      <w:r w:rsidRPr="00687E3C">
        <w:rPr>
          <w:iCs/>
        </w:rPr>
        <w:t xml:space="preserve"> 89-94 (clarifying that providers </w:t>
      </w:r>
      <w:r>
        <w:rPr>
          <w:iCs/>
        </w:rPr>
        <w:t>“</w:t>
      </w:r>
      <w:r w:rsidRPr="00687E3C">
        <w:rPr>
          <w:iCs/>
        </w:rPr>
        <w:t xml:space="preserve">may not offer consumers financial or other incentives, directly or indirectly, to make TRS calls” and </w:t>
      </w:r>
      <w:r>
        <w:rPr>
          <w:iCs/>
        </w:rPr>
        <w:t>setting</w:t>
      </w:r>
      <w:r w:rsidRPr="00687E3C">
        <w:rPr>
          <w:iCs/>
        </w:rPr>
        <w:t xml:space="preserve"> forth </w:t>
      </w:r>
      <w:r>
        <w:rPr>
          <w:iCs/>
        </w:rPr>
        <w:t>“</w:t>
      </w:r>
      <w:r w:rsidRPr="00687E3C">
        <w:rPr>
          <w:iCs/>
        </w:rPr>
        <w:t xml:space="preserve">in greater detail the kinds of incentives that are impermissible under our rules”); </w:t>
      </w:r>
      <w:r w:rsidRPr="00687E3C">
        <w:rPr>
          <w:i/>
          <w:iCs/>
        </w:rPr>
        <w:t>2013</w:t>
      </w:r>
      <w:r>
        <w:rPr>
          <w:iCs/>
        </w:rPr>
        <w:t xml:space="preserve"> </w:t>
      </w:r>
      <w:r w:rsidRPr="00687E3C">
        <w:rPr>
          <w:i/>
          <w:iCs/>
        </w:rPr>
        <w:t>VRS Reform Order</w:t>
      </w:r>
      <w:r w:rsidRPr="00687E3C">
        <w:rPr>
          <w:iCs/>
        </w:rPr>
        <w:t xml:space="preserve">, 28 FCC Rcd at 8669, </w:t>
      </w:r>
      <w:r>
        <w:rPr>
          <w:iCs/>
        </w:rPr>
        <w:t>para.</w:t>
      </w:r>
      <w:r w:rsidRPr="00687E3C">
        <w:rPr>
          <w:iCs/>
        </w:rPr>
        <w:t xml:space="preserve"> 133 (codifying a rule in the VRS context that will “encompass, but not be limited by, the Commission's numerous prior declaratory rulings describing wasteful, fraudulent, and abusive practices that violate section 225”).</w:t>
      </w:r>
    </w:p>
  </w:footnote>
  <w:footnote w:id="300">
    <w:p w:rsidR="00134604" w:rsidRDefault="00134604" w:rsidP="00134604">
      <w:pPr>
        <w:pStyle w:val="FootnoteText"/>
      </w:pPr>
      <w:r>
        <w:rPr>
          <w:rStyle w:val="FootnoteReference"/>
        </w:rPr>
        <w:footnoteRef/>
      </w:r>
      <w:r>
        <w:t xml:space="preserve"> </w:t>
      </w:r>
      <w:r w:rsidRPr="00731435">
        <w:rPr>
          <w:i/>
        </w:rPr>
        <w:t>See supra</w:t>
      </w:r>
      <w:r>
        <w:t xml:space="preserve"> para. </w:t>
      </w:r>
      <w:r w:rsidRPr="00431BD7">
        <w:t>99</w:t>
      </w:r>
      <w:r>
        <w:t>.</w:t>
      </w:r>
    </w:p>
  </w:footnote>
  <w:footnote w:id="301">
    <w:p w:rsidR="00134604" w:rsidRDefault="00134604" w:rsidP="00134604">
      <w:pPr>
        <w:pStyle w:val="FootnoteText"/>
      </w:pPr>
      <w:r>
        <w:rPr>
          <w:rStyle w:val="FootnoteReference"/>
        </w:rPr>
        <w:footnoteRef/>
      </w:r>
      <w:r>
        <w:t xml:space="preserve"> 47 CFR § 64.604(c)(8)(i); </w:t>
      </w:r>
      <w:r w:rsidRPr="00731435">
        <w:rPr>
          <w:i/>
        </w:rPr>
        <w:t>see also</w:t>
      </w:r>
      <w:r>
        <w:t xml:space="preserve"> </w:t>
      </w:r>
      <w:r w:rsidRPr="0069567C">
        <w:rPr>
          <w:i/>
        </w:rPr>
        <w:t>Misuse of Internet Protocol (IP) Captioned Telephone Service et al.</w:t>
      </w:r>
      <w:r>
        <w:t>, Report and Order and Further Notice of Proposed Rulemaking, 28 FCC Rcd 13420, 13428-35, paras. 16-29 (2013) (adopting this and related prohibitions on providing incentives to register for or use IP CTS).</w:t>
      </w:r>
    </w:p>
  </w:footnote>
  <w:footnote w:id="302">
    <w:p w:rsidR="00134604" w:rsidRPr="00133935" w:rsidRDefault="00134604" w:rsidP="00134604">
      <w:pPr>
        <w:pStyle w:val="FootnoteText"/>
        <w:rPr>
          <w:i/>
        </w:rPr>
      </w:pPr>
      <w:r w:rsidRPr="00133935">
        <w:rPr>
          <w:rStyle w:val="FootnoteReference"/>
        </w:rPr>
        <w:footnoteRef/>
      </w:r>
      <w:r w:rsidRPr="00133935">
        <w:t xml:space="preserve"> </w:t>
      </w:r>
      <w:r w:rsidRPr="00133935">
        <w:rPr>
          <w:i/>
        </w:rPr>
        <w:t>See</w:t>
      </w:r>
      <w:r w:rsidRPr="00133935">
        <w:t xml:space="preserve"> Hands On VRS (HOVRS), CSDVRS, Snap, GoAmerica and CAC, Petition for Declaratory Ruling and Complaint Concerning the Provision of Video Relay Services by Sorenson Communications, Inc., CG Docket No. 03-123 </w:t>
      </w:r>
      <w:r>
        <w:t xml:space="preserve">(filed </w:t>
      </w:r>
      <w:r w:rsidRPr="00133935">
        <w:t>May 18, 2007</w:t>
      </w:r>
      <w:r>
        <w:t>)</w:t>
      </w:r>
      <w:r w:rsidRPr="00133935">
        <w:t xml:space="preserve">.  </w:t>
      </w:r>
    </w:p>
  </w:footnote>
  <w:footnote w:id="303">
    <w:p w:rsidR="00134604" w:rsidRPr="00133935" w:rsidRDefault="00134604" w:rsidP="00134604">
      <w:pPr>
        <w:pStyle w:val="FootnoteText"/>
      </w:pPr>
      <w:r w:rsidRPr="00133935">
        <w:rPr>
          <w:rStyle w:val="FootnoteReference"/>
        </w:rPr>
        <w:footnoteRef/>
      </w:r>
      <w:r w:rsidRPr="00133935">
        <w:t xml:space="preserve"> </w:t>
      </w:r>
      <w:r w:rsidRPr="005F70E0">
        <w:rPr>
          <w:i/>
        </w:rPr>
        <w:t>Ex Parte</w:t>
      </w:r>
      <w:r w:rsidRPr="00133935">
        <w:t xml:space="preserve"> communications were filed by HOVRS (June 5, 2007; Sept. 24, 2007; Jan. 22, 2008; May 23, 2008); American Association of People with Disabilities (late-filed comments) (Sept. 21, 2007); CSDVRS and HOVRS (Mar. 17, 2008); GoAmerica (merged with HOVRS) (Mar. 26, 2008); Sorenson (Apr. 25, 2008; May 2, 2008;</w:t>
      </w:r>
      <w:r>
        <w:t xml:space="preserve"> </w:t>
      </w:r>
      <w:r w:rsidRPr="00133935">
        <w:t>May 14, 2008; June 26, 2008; July 10, 2008).</w:t>
      </w:r>
    </w:p>
  </w:footnote>
  <w:footnote w:id="304">
    <w:p w:rsidR="00134604" w:rsidRPr="00133935" w:rsidRDefault="00134604" w:rsidP="00134604">
      <w:pPr>
        <w:pStyle w:val="FootnoteText"/>
      </w:pPr>
      <w:r w:rsidRPr="00133935">
        <w:rPr>
          <w:rStyle w:val="FootnoteReference"/>
        </w:rPr>
        <w:footnoteRef/>
      </w:r>
      <w:r w:rsidRPr="00133935">
        <w:t xml:space="preserve"> </w:t>
      </w:r>
      <w:r w:rsidRPr="00133935">
        <w:rPr>
          <w:i/>
        </w:rPr>
        <w:t>2013 VRS Reform FNPRM</w:t>
      </w:r>
      <w:r w:rsidRPr="00133935">
        <w:t>, 28 FCC Rcd at 8723-24, para. 279</w:t>
      </w:r>
      <w:r>
        <w:t>;</w:t>
      </w:r>
      <w:r w:rsidRPr="00133935">
        <w:t xml:space="preserve"> </w:t>
      </w:r>
      <w:r>
        <w:rPr>
          <w:i/>
        </w:rPr>
        <w:t>s</w:t>
      </w:r>
      <w:r w:rsidRPr="00F605D6">
        <w:rPr>
          <w:i/>
        </w:rPr>
        <w:t>ee</w:t>
      </w:r>
      <w:r>
        <w:rPr>
          <w:i/>
        </w:rPr>
        <w:t xml:space="preserve"> also,</w:t>
      </w:r>
      <w:r w:rsidRPr="00F605D6">
        <w:rPr>
          <w:i/>
        </w:rPr>
        <w:t xml:space="preserve"> e.g.</w:t>
      </w:r>
      <w:r w:rsidRPr="00133935">
        <w:t>, ASL Services Comments at 50; Convo Reply Comments at 30-31; ZVRS Comments at 46-48; CWA Comments at 4-6; Purple Comments at 23-24; RID Comments at 18-20; RID Reply Comments at 3-4; Consumer Groups Comments at 24; Warren Baim Comments at 3-5 (each supporting a prohibition); Sorenson Comments at 76-78</w:t>
      </w:r>
      <w:r>
        <w:t xml:space="preserve"> (opposing a prohibition)</w:t>
      </w:r>
      <w:r w:rsidRPr="00133935">
        <w:t>.</w:t>
      </w:r>
    </w:p>
  </w:footnote>
  <w:footnote w:id="305">
    <w:p w:rsidR="00134604" w:rsidRPr="00133935" w:rsidRDefault="00134604" w:rsidP="00134604">
      <w:pPr>
        <w:pStyle w:val="FootnoteText"/>
      </w:pPr>
      <w:r w:rsidRPr="00133935">
        <w:rPr>
          <w:rStyle w:val="FootnoteReference"/>
        </w:rPr>
        <w:footnoteRef/>
      </w:r>
      <w:r w:rsidRPr="00133935">
        <w:t xml:space="preserve"> </w:t>
      </w:r>
      <w:r w:rsidRPr="00133935">
        <w:rPr>
          <w:i/>
        </w:rPr>
        <w:t>See</w:t>
      </w:r>
      <w:r w:rsidRPr="00133935">
        <w:t xml:space="preserve"> Purple, </w:t>
      </w:r>
      <w:r w:rsidRPr="005F70E0">
        <w:rPr>
          <w:i/>
        </w:rPr>
        <w:t>Ex Parte</w:t>
      </w:r>
      <w:r w:rsidRPr="00133935">
        <w:t xml:space="preserve"> Letter (March 1, 2013) (Purple March 1, 2013 </w:t>
      </w:r>
      <w:r w:rsidRPr="005F70E0">
        <w:rPr>
          <w:i/>
        </w:rPr>
        <w:t>Ex Parte</w:t>
      </w:r>
      <w:r w:rsidRPr="00133935">
        <w:t xml:space="preserve">).  </w:t>
      </w:r>
    </w:p>
  </w:footnote>
  <w:footnote w:id="306">
    <w:p w:rsidR="00134604" w:rsidRPr="00133935" w:rsidRDefault="00134604" w:rsidP="00134604">
      <w:pPr>
        <w:pStyle w:val="FootnoteText"/>
        <w:rPr>
          <w:i/>
        </w:rPr>
      </w:pPr>
      <w:r w:rsidRPr="00133935">
        <w:rPr>
          <w:rStyle w:val="FootnoteReference"/>
        </w:rPr>
        <w:footnoteRef/>
      </w:r>
      <w:r w:rsidRPr="00133935">
        <w:t xml:space="preserve"> </w:t>
      </w:r>
      <w:r w:rsidRPr="00133935">
        <w:rPr>
          <w:i/>
        </w:rPr>
        <w:t>See</w:t>
      </w:r>
      <w:r w:rsidRPr="00133935">
        <w:t xml:space="preserve"> Sorenson, </w:t>
      </w:r>
      <w:r w:rsidRPr="005F70E0">
        <w:rPr>
          <w:i/>
        </w:rPr>
        <w:t>Ex Parte</w:t>
      </w:r>
      <w:r w:rsidRPr="00133935">
        <w:rPr>
          <w:i/>
        </w:rPr>
        <w:t xml:space="preserve"> </w:t>
      </w:r>
      <w:r w:rsidRPr="00133935">
        <w:t>Letter (April 17, 2013) (maintaining that its employment contracts are limited in duration to six months following the employee’s termination of employment with Sorenson, limited to the state where the employee works for Sorenson, and limited to employment with a competing VRS provider).</w:t>
      </w:r>
    </w:p>
  </w:footnote>
  <w:footnote w:id="307">
    <w:p w:rsidR="00134604" w:rsidRPr="00DC17F9" w:rsidRDefault="00134604" w:rsidP="00134604">
      <w:pPr>
        <w:pStyle w:val="FootnoteText"/>
      </w:pPr>
      <w:r w:rsidRPr="00133935">
        <w:rPr>
          <w:rStyle w:val="FootnoteReference"/>
        </w:rPr>
        <w:footnoteRef/>
      </w:r>
      <w:r w:rsidRPr="00DC17F9">
        <w:t xml:space="preserve"> 47 U.S.C. § 225(d)(1)(A).</w:t>
      </w:r>
    </w:p>
  </w:footnote>
  <w:footnote w:id="308">
    <w:p w:rsidR="00134604" w:rsidRDefault="00134604" w:rsidP="00134604">
      <w:pPr>
        <w:pStyle w:val="FootnoteText"/>
      </w:pPr>
      <w:r>
        <w:rPr>
          <w:rStyle w:val="FootnoteReference"/>
        </w:rPr>
        <w:footnoteRef/>
      </w:r>
      <w:r>
        <w:t xml:space="preserve"> 47 CFR § 1.1117. </w:t>
      </w:r>
    </w:p>
  </w:footnote>
  <w:footnote w:id="309">
    <w:p w:rsidR="00134604" w:rsidRDefault="00134604" w:rsidP="00134604">
      <w:pPr>
        <w:pStyle w:val="FootnoteText"/>
      </w:pPr>
      <w:r>
        <w:rPr>
          <w:rStyle w:val="FootnoteReference"/>
        </w:rPr>
        <w:footnoteRef/>
      </w:r>
      <w:r>
        <w:t xml:space="preserve"> </w:t>
      </w:r>
      <w:r w:rsidRPr="003B049D">
        <w:rPr>
          <w:i/>
          <w:iCs/>
        </w:rPr>
        <w:t>CGB 2017 R&amp;O</w:t>
      </w:r>
      <w:r>
        <w:rPr>
          <w:iCs/>
        </w:rPr>
        <w:t>, 32 FCC Rcd at 699, App</w:t>
      </w:r>
      <w:r>
        <w:t>.</w:t>
      </w:r>
    </w:p>
  </w:footnote>
  <w:footnote w:id="310">
    <w:p w:rsidR="00134604" w:rsidRDefault="00134604" w:rsidP="00134604">
      <w:pPr>
        <w:pStyle w:val="FootnoteText"/>
      </w:pPr>
      <w:r>
        <w:rPr>
          <w:rStyle w:val="FootnoteReference"/>
        </w:rPr>
        <w:footnoteRef/>
      </w:r>
      <w:r>
        <w:t xml:space="preserve"> VRS </w:t>
      </w:r>
      <w:r w:rsidRPr="00F55ACA">
        <w:rPr>
          <w:bCs/>
        </w:rPr>
        <w:t>Provider Interoperability Profile § 9.1.1.</w:t>
      </w:r>
    </w:p>
  </w:footnote>
  <w:footnote w:id="311">
    <w:p w:rsidR="00134604" w:rsidRDefault="00134604" w:rsidP="00134604">
      <w:pPr>
        <w:pStyle w:val="FootnoteText"/>
      </w:pPr>
      <w:r>
        <w:rPr>
          <w:rStyle w:val="FootnoteReference"/>
        </w:rPr>
        <w:footnoteRef/>
      </w:r>
      <w:r>
        <w:t xml:space="preserve"> </w:t>
      </w:r>
      <w:r w:rsidRPr="005A4ADF">
        <w:t>47 CFR § 64.613</w:t>
      </w:r>
      <w:r>
        <w:t xml:space="preserve">(a)(2).  </w:t>
      </w:r>
      <w:r w:rsidRPr="00E52946">
        <w:t xml:space="preserve">For </w:t>
      </w:r>
      <w:r>
        <w:t xml:space="preserve">an </w:t>
      </w:r>
      <w:r w:rsidRPr="00E52946">
        <w:t>IP Relay</w:t>
      </w:r>
      <w:r>
        <w:t xml:space="preserve"> user’s telephone number, by contrast, the rule specifies that the URI contain a</w:t>
      </w:r>
      <w:r w:rsidRPr="00E52946">
        <w:t xml:space="preserve"> </w:t>
      </w:r>
      <w:r>
        <w:t>“</w:t>
      </w:r>
      <w:r w:rsidRPr="00E52946">
        <w:t>domain name that can be subsequently resolved to reach the user.</w:t>
      </w:r>
      <w:r>
        <w:t xml:space="preserve">”  </w:t>
      </w:r>
      <w:r w:rsidRPr="00C01CCE">
        <w:rPr>
          <w:i/>
        </w:rPr>
        <w:t>Id</w:t>
      </w:r>
      <w:r>
        <w:t xml:space="preserve">.; </w:t>
      </w:r>
      <w:r>
        <w:rPr>
          <w:i/>
        </w:rPr>
        <w:t>s</w:t>
      </w:r>
      <w:r w:rsidRPr="00F170CE">
        <w:rPr>
          <w:i/>
        </w:rPr>
        <w:t>ee</w:t>
      </w:r>
      <w:r>
        <w:t xml:space="preserve"> </w:t>
      </w:r>
      <w:r w:rsidRPr="00062F2F">
        <w:rPr>
          <w:i/>
        </w:rPr>
        <w:t>also</w:t>
      </w:r>
      <w:r>
        <w:t xml:space="preserve"> </w:t>
      </w:r>
      <w:r w:rsidRPr="00F170CE">
        <w:rPr>
          <w:i/>
        </w:rPr>
        <w:t>First</w:t>
      </w:r>
      <w:r w:rsidRPr="00F170CE">
        <w:t xml:space="preserve"> </w:t>
      </w:r>
      <w:r w:rsidRPr="00F170CE">
        <w:rPr>
          <w:i/>
        </w:rPr>
        <w:t>TRS Numbering Order</w:t>
      </w:r>
      <w:r w:rsidRPr="00F170CE">
        <w:t xml:space="preserve">, 23 FCC Rcd </w:t>
      </w:r>
      <w:r>
        <w:t xml:space="preserve">at </w:t>
      </w:r>
      <w:r w:rsidRPr="00DD2854">
        <w:t>11612-13, paras. 50-53</w:t>
      </w:r>
      <w:r w:rsidRPr="00F170CE">
        <w:t>.</w:t>
      </w:r>
      <w:r>
        <w:t xml:space="preserve">  </w:t>
      </w:r>
    </w:p>
  </w:footnote>
  <w:footnote w:id="312">
    <w:p w:rsidR="00134604" w:rsidRDefault="00134604" w:rsidP="00134604">
      <w:pPr>
        <w:pStyle w:val="FootnoteText"/>
      </w:pPr>
      <w:r>
        <w:rPr>
          <w:rStyle w:val="FootnoteReference"/>
        </w:rPr>
        <w:footnoteRef/>
      </w:r>
      <w:r>
        <w:t xml:space="preserve"> </w:t>
      </w:r>
      <w:r>
        <w:rPr>
          <w:i/>
        </w:rPr>
        <w:t>CGB 2017 R&amp;O</w:t>
      </w:r>
      <w:r>
        <w:t>, 32 FCC Rcd at 690, para. 8; 47 CFR § 64.621(b)(1).</w:t>
      </w:r>
    </w:p>
  </w:footnote>
  <w:footnote w:id="313">
    <w:p w:rsidR="00134604" w:rsidRDefault="00134604" w:rsidP="00134604">
      <w:pPr>
        <w:pStyle w:val="FootnoteText"/>
      </w:pPr>
      <w:r>
        <w:rPr>
          <w:rStyle w:val="FootnoteReference"/>
        </w:rPr>
        <w:footnoteRef/>
      </w:r>
      <w:r>
        <w:t xml:space="preserve"> 5 U.S.C. § 601 </w:t>
      </w:r>
      <w:r>
        <w:rPr>
          <w:i/>
        </w:rPr>
        <w:t>et seq</w:t>
      </w:r>
      <w:r>
        <w:t>.</w:t>
      </w:r>
    </w:p>
  </w:footnote>
  <w:footnote w:id="314">
    <w:p w:rsidR="00134604" w:rsidRPr="00F45417" w:rsidRDefault="00134604" w:rsidP="00134604">
      <w:pPr>
        <w:pStyle w:val="FootnoteText"/>
      </w:pPr>
      <w:r w:rsidRPr="00F45417">
        <w:rPr>
          <w:rStyle w:val="FootnoteReference"/>
        </w:rPr>
        <w:footnoteRef/>
      </w:r>
      <w:r w:rsidRPr="00F45417">
        <w:t xml:space="preserve"> </w:t>
      </w:r>
      <w:r w:rsidRPr="003B6D3F">
        <w:rPr>
          <w:i/>
          <w:iCs/>
        </w:rPr>
        <w:t>See</w:t>
      </w:r>
      <w:r>
        <w:rPr>
          <w:iCs/>
        </w:rPr>
        <w:t xml:space="preserve"> </w:t>
      </w:r>
      <w:r w:rsidRPr="00062F2F">
        <w:rPr>
          <w:i/>
          <w:iCs/>
        </w:rPr>
        <w:t>id</w:t>
      </w:r>
      <w:r>
        <w:rPr>
          <w:iCs/>
        </w:rPr>
        <w:t>.</w:t>
      </w:r>
      <w:r w:rsidRPr="003B6D3F">
        <w:t xml:space="preserve"> </w:t>
      </w:r>
      <w:r w:rsidRPr="00CF5336">
        <w:t>§ 603</w:t>
      </w:r>
      <w:r w:rsidRPr="00F45417">
        <w:t>.</w:t>
      </w:r>
    </w:p>
  </w:footnote>
  <w:footnote w:id="315">
    <w:p w:rsidR="00134604" w:rsidRPr="00F45417" w:rsidRDefault="00134604" w:rsidP="00134604">
      <w:pPr>
        <w:pStyle w:val="FootnoteText"/>
      </w:pPr>
      <w:r w:rsidRPr="00F45417">
        <w:rPr>
          <w:rStyle w:val="FootnoteReference"/>
        </w:rPr>
        <w:footnoteRef/>
      </w:r>
      <w:r w:rsidRPr="00F45417">
        <w:t xml:space="preserve"> </w:t>
      </w:r>
      <w:r w:rsidRPr="004B5B3A">
        <w:rPr>
          <w:i/>
          <w:iCs/>
        </w:rPr>
        <w:t>See</w:t>
      </w:r>
      <w:r w:rsidRPr="00F45417">
        <w:t xml:space="preserve"> </w:t>
      </w:r>
      <w:r w:rsidRPr="004B5B3A">
        <w:rPr>
          <w:i/>
          <w:iCs/>
        </w:rPr>
        <w:t>id</w:t>
      </w:r>
      <w:r w:rsidRPr="00F45417">
        <w:t>. § 603(a).</w:t>
      </w:r>
    </w:p>
  </w:footnote>
  <w:footnote w:id="316">
    <w:p w:rsidR="00134604" w:rsidRPr="00F45417" w:rsidRDefault="00134604" w:rsidP="00134604">
      <w:pPr>
        <w:pStyle w:val="FootnoteText"/>
      </w:pPr>
      <w:r w:rsidRPr="00F45417">
        <w:rPr>
          <w:rStyle w:val="FootnoteReference"/>
        </w:rPr>
        <w:footnoteRef/>
      </w:r>
      <w:r w:rsidRPr="00F45417">
        <w:t xml:space="preserve"> </w:t>
      </w:r>
      <w:r w:rsidRPr="004B5B3A">
        <w:rPr>
          <w:i/>
          <w:iCs/>
        </w:rPr>
        <w:t>Id.</w:t>
      </w:r>
    </w:p>
  </w:footnote>
  <w:footnote w:id="317">
    <w:p w:rsidR="00134604" w:rsidRDefault="00134604" w:rsidP="00134604">
      <w:pPr>
        <w:pStyle w:val="FootnoteText"/>
      </w:pPr>
      <w:r>
        <w:rPr>
          <w:rStyle w:val="FootnoteReference"/>
        </w:rPr>
        <w:footnoteRef/>
      </w:r>
      <w:r>
        <w:t xml:space="preserve"> Pub. L. No. 104-13, 109 Stat 163 (1995) (codified at 44 U.S.C. §§ 3501-3520).</w:t>
      </w:r>
    </w:p>
  </w:footnote>
  <w:footnote w:id="318">
    <w:p w:rsidR="00134604" w:rsidRDefault="00134604" w:rsidP="00134604">
      <w:pPr>
        <w:pStyle w:val="FootnoteText"/>
      </w:pPr>
      <w:r>
        <w:rPr>
          <w:rStyle w:val="FootnoteReference"/>
        </w:rPr>
        <w:footnoteRef/>
      </w:r>
      <w:r>
        <w:t xml:space="preserve"> 44 U.S.C. § 3507(d).</w:t>
      </w:r>
    </w:p>
  </w:footnote>
  <w:footnote w:id="319">
    <w:p w:rsidR="00134604" w:rsidRDefault="00134604" w:rsidP="00134604">
      <w:pPr>
        <w:pStyle w:val="FootnoteText"/>
      </w:pPr>
      <w:r>
        <w:rPr>
          <w:rStyle w:val="FootnoteReference"/>
        </w:rPr>
        <w:footnoteRef/>
      </w:r>
      <w:r>
        <w:t xml:space="preserve"> Pub. L. No. 107-198, 116 Stat. 729 (2002); 44 U.S.C. § 3506(c)(4).</w:t>
      </w:r>
    </w:p>
  </w:footnote>
  <w:footnote w:id="320">
    <w:p w:rsidR="00134604" w:rsidRDefault="00134604" w:rsidP="00134604">
      <w:pPr>
        <w:pStyle w:val="FootnoteText"/>
      </w:pPr>
      <w:r>
        <w:rPr>
          <w:rStyle w:val="FootnoteReference"/>
        </w:rPr>
        <w:footnoteRef/>
      </w:r>
      <w:r>
        <w:t xml:space="preserve"> </w:t>
      </w:r>
      <w:r w:rsidRPr="00D25763">
        <w:rPr>
          <w:i/>
        </w:rPr>
        <w:t>2015 VRS FNPRM</w:t>
      </w:r>
      <w:r w:rsidRPr="00D25763">
        <w:t>, 30 FCC Rcd at 1299</w:t>
      </w:r>
      <w:r>
        <w:t>8-99</w:t>
      </w:r>
      <w:r w:rsidRPr="00D25763">
        <w:t xml:space="preserve">, para. </w:t>
      </w:r>
      <w:r>
        <w:t>70.</w:t>
      </w:r>
    </w:p>
  </w:footnote>
  <w:footnote w:id="321">
    <w:p w:rsidR="00134604" w:rsidRDefault="00134604" w:rsidP="00134604">
      <w:pPr>
        <w:pStyle w:val="FootnoteText"/>
      </w:pPr>
      <w:r>
        <w:rPr>
          <w:rStyle w:val="FootnoteReference"/>
        </w:rPr>
        <w:footnoteRef/>
      </w:r>
      <w:r>
        <w:t xml:space="preserve"> 44 U.S.C. §§ 3501-3520.</w:t>
      </w:r>
    </w:p>
  </w:footnote>
  <w:footnote w:id="322">
    <w:p w:rsidR="00134604" w:rsidRDefault="00134604" w:rsidP="00134604">
      <w:pPr>
        <w:pStyle w:val="FootnoteText"/>
      </w:pPr>
      <w:r>
        <w:rPr>
          <w:rStyle w:val="FootnoteReference"/>
        </w:rPr>
        <w:footnoteRef/>
      </w:r>
      <w:r>
        <w:t xml:space="preserve"> </w:t>
      </w:r>
      <w:r>
        <w:rPr>
          <w:i/>
        </w:rPr>
        <w:t>Id.</w:t>
      </w:r>
      <w:r>
        <w:t xml:space="preserve"> § 3506(c)(4). </w:t>
      </w:r>
    </w:p>
  </w:footnote>
  <w:footnote w:id="323">
    <w:p w:rsidR="00134604" w:rsidRDefault="00134604" w:rsidP="00134604">
      <w:pPr>
        <w:pStyle w:val="FootnoteText"/>
      </w:pPr>
      <w:r>
        <w:rPr>
          <w:rStyle w:val="FootnoteReference"/>
        </w:rPr>
        <w:footnoteRef/>
      </w:r>
      <w:r>
        <w:t xml:space="preserve"> 47 CFR § 1.415(b); </w:t>
      </w:r>
      <w:r w:rsidRPr="002D18F6">
        <w:rPr>
          <w:i/>
        </w:rPr>
        <w:t>see also</w:t>
      </w:r>
      <w:r>
        <w:t xml:space="preserve"> 5 U.S.C. § 553(c).</w:t>
      </w:r>
    </w:p>
  </w:footnote>
  <w:footnote w:id="324">
    <w:p w:rsidR="00134604" w:rsidRPr="004A0BC9" w:rsidRDefault="00134604" w:rsidP="00134604">
      <w:pPr>
        <w:pStyle w:val="FootnoteText"/>
      </w:pPr>
      <w:r>
        <w:rPr>
          <w:rStyle w:val="FootnoteReference"/>
        </w:rPr>
        <w:footnoteRef/>
      </w:r>
      <w:r>
        <w:t xml:space="preserve"> </w:t>
      </w:r>
      <w:r>
        <w:rPr>
          <w:i/>
        </w:rPr>
        <w:t>See supra</w:t>
      </w:r>
      <w:r>
        <w:t xml:space="preserve"> section IV.A.</w:t>
      </w:r>
    </w:p>
  </w:footnote>
  <w:footnote w:id="325">
    <w:p w:rsidR="00134604" w:rsidRDefault="00134604" w:rsidP="00134604">
      <w:pPr>
        <w:pStyle w:val="FootnoteText"/>
      </w:pPr>
      <w:r>
        <w:rPr>
          <w:rStyle w:val="FootnoteReference"/>
        </w:rPr>
        <w:footnoteRef/>
      </w:r>
      <w:r>
        <w:t xml:space="preserve"> </w:t>
      </w:r>
      <w:r w:rsidRPr="002D18F6">
        <w:rPr>
          <w:i/>
          <w:iCs/>
        </w:rPr>
        <w:t>See, e.g., First TRS Numbering Order</w:t>
      </w:r>
      <w:r>
        <w:rPr>
          <w:iCs/>
        </w:rPr>
        <w:t>,</w:t>
      </w:r>
      <w:r w:rsidRPr="00831071">
        <w:rPr>
          <w:snapToGrid w:val="0"/>
          <w:kern w:val="28"/>
          <w:sz w:val="22"/>
        </w:rPr>
        <w:t xml:space="preserve"> </w:t>
      </w:r>
      <w:r>
        <w:rPr>
          <w:iCs/>
        </w:rPr>
        <w:t>23 FCC Rcd at 11591</w:t>
      </w:r>
      <w:r w:rsidRPr="002D18F6">
        <w:t xml:space="preserve"> (Further Notice of Proposed Rulemaking with comments due 21 days after the date of publication in the Federal Register and reply comments due 36 days after the date of publication in the Federal Register).</w:t>
      </w:r>
    </w:p>
  </w:footnote>
  <w:footnote w:id="326">
    <w:p w:rsidR="00134604" w:rsidRDefault="00134604" w:rsidP="00134604">
      <w:pPr>
        <w:pStyle w:val="FootnoteText"/>
      </w:pPr>
      <w:r>
        <w:rPr>
          <w:rStyle w:val="FootnoteReference"/>
        </w:rPr>
        <w:footnoteRef/>
      </w:r>
      <w:r>
        <w:t xml:space="preserve"> </w:t>
      </w:r>
      <w:r>
        <w:rPr>
          <w:i/>
        </w:rPr>
        <w:t>See supra</w:t>
      </w:r>
      <w:r>
        <w:t xml:space="preserve"> section IV.B.</w:t>
      </w:r>
    </w:p>
  </w:footnote>
  <w:footnote w:id="327">
    <w:p w:rsidR="00134604" w:rsidRPr="00F45417" w:rsidRDefault="00134604" w:rsidP="00134604">
      <w:pPr>
        <w:pStyle w:val="FootnoteText"/>
        <w:rPr>
          <w:i/>
          <w:iCs/>
        </w:rPr>
      </w:pPr>
      <w:r w:rsidRPr="00F45417">
        <w:rPr>
          <w:rStyle w:val="FootnoteReference"/>
        </w:rPr>
        <w:footnoteRef/>
      </w:r>
      <w:r w:rsidRPr="00F45417">
        <w:t xml:space="preserve"> 47 CFR § 1.1200 </w:t>
      </w:r>
      <w:r w:rsidRPr="3055A5F8">
        <w:rPr>
          <w:i/>
          <w:iCs/>
        </w:rPr>
        <w:t>et seq.</w:t>
      </w:r>
    </w:p>
  </w:footnote>
  <w:footnote w:id="328">
    <w:p w:rsidR="00134604" w:rsidRDefault="00134604" w:rsidP="00134604">
      <w:pPr>
        <w:pStyle w:val="FootnoteText"/>
      </w:pPr>
      <w:r>
        <w:rPr>
          <w:rStyle w:val="FootnoteReference"/>
        </w:rPr>
        <w:footnoteRef/>
      </w:r>
      <w:r>
        <w:t xml:space="preserve"> </w:t>
      </w:r>
      <w:r w:rsidRPr="00403358">
        <w:rPr>
          <w:i/>
        </w:rPr>
        <w:t>See</w:t>
      </w:r>
      <w:r>
        <w:t xml:space="preserve"> 5 U.S.C. § 603.  The RFA, </w:t>
      </w:r>
      <w:r w:rsidRPr="00FD775F">
        <w:rPr>
          <w:i/>
        </w:rPr>
        <w:t>see</w:t>
      </w:r>
      <w:r>
        <w:t xml:space="preserve"> 5 U.S.C. §§ 601-612, has been amended by the Small Business Regulatory Enforcement Fairness Act of 1996 (SBREFA), Pub. L. No. 104-121, Title II, 110 Stat. 857 (1996).</w:t>
      </w:r>
    </w:p>
  </w:footnote>
  <w:footnote w:id="329">
    <w:p w:rsidR="00134604" w:rsidRDefault="00134604" w:rsidP="00134604">
      <w:pPr>
        <w:pStyle w:val="FootnoteText"/>
      </w:pPr>
      <w:r>
        <w:rPr>
          <w:rStyle w:val="FootnoteReference"/>
        </w:rPr>
        <w:footnoteRef/>
      </w:r>
      <w:r>
        <w:t xml:space="preserve"> </w:t>
      </w:r>
      <w:r w:rsidRPr="00D00DAE">
        <w:rPr>
          <w:i/>
        </w:rPr>
        <w:t>Structure and Practices of the Video Relay Service Program</w:t>
      </w:r>
      <w:r>
        <w:t>, Further Notice of Proposed Rulemaking, 28 FCC Rcd 8618, 8760-71 (2013) (</w:t>
      </w:r>
      <w:r w:rsidRPr="00D00DAE">
        <w:rPr>
          <w:i/>
        </w:rPr>
        <w:t>201</w:t>
      </w:r>
      <w:r>
        <w:rPr>
          <w:i/>
        </w:rPr>
        <w:t>3</w:t>
      </w:r>
      <w:r w:rsidRPr="00D00DAE">
        <w:rPr>
          <w:i/>
        </w:rPr>
        <w:t xml:space="preserve"> </w:t>
      </w:r>
      <w:r>
        <w:rPr>
          <w:i/>
        </w:rPr>
        <w:t>VRS Reform Order</w:t>
      </w:r>
      <w:r>
        <w:t xml:space="preserve">); </w:t>
      </w:r>
      <w:r w:rsidRPr="00D00DAE">
        <w:rPr>
          <w:i/>
        </w:rPr>
        <w:t>Structure and Practices of the Video Relay Service Program</w:t>
      </w:r>
      <w:r>
        <w:t>, Further Notice of Proposed Rulemaking, 30 FCC Rcd 12973, 13000-03 (2015) (</w:t>
      </w:r>
      <w:r w:rsidRPr="00D00DAE">
        <w:rPr>
          <w:i/>
        </w:rPr>
        <w:t xml:space="preserve">2015 </w:t>
      </w:r>
      <w:r>
        <w:rPr>
          <w:i/>
        </w:rPr>
        <w:t xml:space="preserve">VRS </w:t>
      </w:r>
      <w:r w:rsidRPr="00D00DAE">
        <w:rPr>
          <w:i/>
        </w:rPr>
        <w:t>FNPRM</w:t>
      </w:r>
      <w:r>
        <w:t>).</w:t>
      </w:r>
    </w:p>
  </w:footnote>
  <w:footnote w:id="330">
    <w:p w:rsidR="00134604" w:rsidRDefault="00134604" w:rsidP="00134604">
      <w:pPr>
        <w:pStyle w:val="FootnoteText"/>
      </w:pPr>
      <w:r>
        <w:rPr>
          <w:rStyle w:val="FootnoteReference"/>
        </w:rPr>
        <w:footnoteRef/>
      </w:r>
      <w:r>
        <w:t xml:space="preserve"> </w:t>
      </w:r>
      <w:r>
        <w:rPr>
          <w:i/>
        </w:rPr>
        <w:t>2013 VRS Reform Order</w:t>
      </w:r>
      <w:r>
        <w:t xml:space="preserve">, 28 FCC Rcd at 8726, 8760-71, para. 286, App.; </w:t>
      </w:r>
      <w:r>
        <w:rPr>
          <w:i/>
        </w:rPr>
        <w:t>2015 VRS FNPRM</w:t>
      </w:r>
      <w:r>
        <w:t xml:space="preserve">, 30 FCC Rcd at 12997, 13000-03, para. 67, App. </w:t>
      </w:r>
    </w:p>
  </w:footnote>
  <w:footnote w:id="331">
    <w:p w:rsidR="00134604" w:rsidRDefault="00134604" w:rsidP="00134604">
      <w:pPr>
        <w:pStyle w:val="FootnoteText"/>
      </w:pPr>
      <w:r>
        <w:rPr>
          <w:rStyle w:val="FootnoteReference"/>
        </w:rPr>
        <w:footnoteRef/>
      </w:r>
      <w:r>
        <w:t xml:space="preserve"> </w:t>
      </w:r>
      <w:r w:rsidRPr="00403358">
        <w:rPr>
          <w:i/>
        </w:rPr>
        <w:t>See</w:t>
      </w:r>
      <w:r>
        <w:t xml:space="preserve"> 5 U.S.C. § 604.</w:t>
      </w:r>
    </w:p>
  </w:footnote>
  <w:footnote w:id="332">
    <w:p w:rsidR="00134604" w:rsidRDefault="00134604" w:rsidP="00134604">
      <w:pPr>
        <w:pStyle w:val="FootnoteText"/>
      </w:pPr>
      <w:r>
        <w:rPr>
          <w:rStyle w:val="FootnoteReference"/>
        </w:rPr>
        <w:footnoteRef/>
      </w:r>
      <w:r>
        <w:t xml:space="preserve"> </w:t>
      </w:r>
      <w:r w:rsidRPr="009B24C6">
        <w:rPr>
          <w:i/>
        </w:rPr>
        <w:t>See</w:t>
      </w:r>
      <w:r>
        <w:t xml:space="preserve"> </w:t>
      </w:r>
      <w:r w:rsidRPr="00062F2F">
        <w:rPr>
          <w:i/>
        </w:rPr>
        <w:t>id</w:t>
      </w:r>
      <w:r>
        <w:t>. § 604(b).</w:t>
      </w:r>
    </w:p>
  </w:footnote>
  <w:footnote w:id="333">
    <w:p w:rsidR="00134604" w:rsidRDefault="00134604" w:rsidP="00134604">
      <w:pPr>
        <w:pStyle w:val="FootnoteText"/>
      </w:pPr>
      <w:r>
        <w:rPr>
          <w:rStyle w:val="FootnoteReference"/>
        </w:rPr>
        <w:footnoteRef/>
      </w:r>
      <w:r>
        <w:t xml:space="preserve"> </w:t>
      </w:r>
      <w:r w:rsidRPr="00062F2F">
        <w:rPr>
          <w:i/>
        </w:rPr>
        <w:t>Id</w:t>
      </w:r>
      <w:r>
        <w:t>. § 604(a)(3).</w:t>
      </w:r>
    </w:p>
  </w:footnote>
  <w:footnote w:id="334">
    <w:p w:rsidR="00134604" w:rsidRPr="00796C61" w:rsidRDefault="00134604" w:rsidP="00134604">
      <w:pPr>
        <w:pStyle w:val="FootnoteText"/>
      </w:pPr>
      <w:r w:rsidRPr="00796C61">
        <w:rPr>
          <w:rStyle w:val="FootnoteReference"/>
        </w:rPr>
        <w:footnoteRef/>
      </w:r>
      <w:r w:rsidRPr="00796C61">
        <w:t xml:space="preserve"> </w:t>
      </w:r>
      <w:r w:rsidRPr="00062F2F">
        <w:rPr>
          <w:i/>
        </w:rPr>
        <w:t>Id</w:t>
      </w:r>
      <w:r w:rsidRPr="00062F2F">
        <w:t xml:space="preserve">. </w:t>
      </w:r>
      <w:r w:rsidRPr="00796C61">
        <w:t>§</w:t>
      </w:r>
      <w:r>
        <w:t> </w:t>
      </w:r>
      <w:r w:rsidRPr="00796C61">
        <w:t xml:space="preserve">603(b)(3). </w:t>
      </w:r>
    </w:p>
  </w:footnote>
  <w:footnote w:id="335">
    <w:p w:rsidR="00134604" w:rsidRPr="00796C61" w:rsidRDefault="00134604" w:rsidP="00134604">
      <w:pPr>
        <w:pStyle w:val="FootnoteText"/>
      </w:pPr>
      <w:r w:rsidRPr="00796C61">
        <w:rPr>
          <w:rStyle w:val="FootnoteReference"/>
        </w:rPr>
        <w:footnoteRef/>
      </w:r>
      <w:r w:rsidRPr="00796C61">
        <w:t xml:space="preserve"> </w:t>
      </w:r>
      <w:r w:rsidRPr="00862763">
        <w:rPr>
          <w:i/>
        </w:rPr>
        <w:t>Id</w:t>
      </w:r>
      <w:r w:rsidRPr="00796C61">
        <w:t xml:space="preserve">. § 601(6). </w:t>
      </w:r>
    </w:p>
  </w:footnote>
  <w:footnote w:id="336">
    <w:p w:rsidR="00134604" w:rsidRPr="00796C61" w:rsidRDefault="00134604" w:rsidP="00134604">
      <w:pPr>
        <w:pStyle w:val="FootnoteText"/>
      </w:pPr>
      <w:r w:rsidRPr="00796C61">
        <w:rPr>
          <w:rStyle w:val="FootnoteReference"/>
        </w:rPr>
        <w:footnoteRef/>
      </w:r>
      <w:r w:rsidRPr="00796C61">
        <w:t xml:space="preserve"> </w:t>
      </w:r>
      <w:r w:rsidRPr="00862763">
        <w:rPr>
          <w:i/>
        </w:rPr>
        <w:t>Id</w:t>
      </w:r>
      <w:r w:rsidRPr="00862763">
        <w:t xml:space="preserve">. </w:t>
      </w:r>
      <w:r w:rsidRPr="00796C61">
        <w:t>§ 601(3) (incorporating by reference the definition of “small-business concern” in the Small Business Act, 15 U.S.C. §</w:t>
      </w:r>
      <w:r>
        <w:t> </w:t>
      </w:r>
      <w:r w:rsidRPr="00796C61">
        <w:t xml:space="preserve">632).  </w:t>
      </w:r>
      <w:r>
        <w:t>T</w:t>
      </w:r>
      <w:r w:rsidRPr="00796C61">
        <w:t xml:space="preserve">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r>
        <w:t xml:space="preserve"> </w:t>
      </w:r>
      <w:r w:rsidRPr="00B75702">
        <w:rPr>
          <w:i/>
        </w:rPr>
        <w:t>Id</w:t>
      </w:r>
      <w:r w:rsidRPr="00B75702">
        <w:t>.</w:t>
      </w:r>
    </w:p>
  </w:footnote>
  <w:footnote w:id="337">
    <w:p w:rsidR="00134604" w:rsidRPr="00796C61" w:rsidRDefault="00134604" w:rsidP="00134604">
      <w:pPr>
        <w:pStyle w:val="FootnoteText"/>
      </w:pPr>
      <w:r w:rsidRPr="00796C61">
        <w:rPr>
          <w:rStyle w:val="FootnoteReference"/>
        </w:rPr>
        <w:footnoteRef/>
      </w:r>
      <w:r w:rsidRPr="00796C61">
        <w:t xml:space="preserve"> </w:t>
      </w:r>
      <w:r>
        <w:t xml:space="preserve">15 U.S.C. </w:t>
      </w:r>
      <w:r w:rsidRPr="00796C61">
        <w:t xml:space="preserve">§ 632. </w:t>
      </w:r>
    </w:p>
  </w:footnote>
  <w:footnote w:id="338">
    <w:p w:rsidR="00134604" w:rsidRDefault="00134604" w:rsidP="00134604">
      <w:pPr>
        <w:pStyle w:val="FootnoteText"/>
      </w:pPr>
      <w:r>
        <w:rPr>
          <w:rStyle w:val="FootnoteReference"/>
        </w:rPr>
        <w:footnoteRef/>
      </w:r>
      <w:r>
        <w:t xml:space="preserve"> </w:t>
      </w:r>
      <w:hyperlink r:id="rId10" w:history="1">
        <w:r w:rsidRPr="00080C31">
          <w:rPr>
            <w:rStyle w:val="Hyperlink"/>
          </w:rPr>
          <w:t>http://www.census.gov/cgi-bin/ssssd/naics/naicsrch</w:t>
        </w:r>
      </w:hyperlink>
      <w:r>
        <w:t>.</w:t>
      </w:r>
    </w:p>
  </w:footnote>
  <w:footnote w:id="339">
    <w:p w:rsidR="00134604" w:rsidRDefault="00134604" w:rsidP="00134604">
      <w:pPr>
        <w:pStyle w:val="FootnoteText"/>
      </w:pPr>
      <w:r>
        <w:rPr>
          <w:rStyle w:val="FootnoteReference"/>
        </w:rPr>
        <w:footnoteRef/>
      </w:r>
      <w:r>
        <w:t xml:space="preserve"> 13 CFR § 121.201; NAICS Code 517919.</w:t>
      </w:r>
    </w:p>
  </w:footnote>
  <w:footnote w:id="340">
    <w:p w:rsidR="00134604" w:rsidRPr="00B013DC" w:rsidRDefault="00134604" w:rsidP="00134604">
      <w:pPr>
        <w:pStyle w:val="FootnoteText"/>
      </w:pPr>
      <w:r>
        <w:rPr>
          <w:rStyle w:val="FootnoteReference"/>
        </w:rPr>
        <w:footnoteRef/>
      </w:r>
      <w:r>
        <w:t xml:space="preserve"> </w:t>
      </w:r>
      <w:hyperlink r:id="rId11" w:history="1">
        <w:r w:rsidRPr="006E61E2">
          <w:rPr>
            <w:rStyle w:val="Hyperlink"/>
          </w:rPr>
          <w:t>http://factfinder.census.gov/faces/tableservices/jsf/pages/productview.xhtml?pid=ECN_2012_US_51SSSZ4&amp;prodType=table</w:t>
        </w:r>
      </w:hyperlink>
      <w:r w:rsidRPr="00B013DC">
        <w:t>.</w:t>
      </w:r>
    </w:p>
  </w:footnote>
  <w:footnote w:id="341">
    <w:p w:rsidR="00134604" w:rsidRPr="00796C61" w:rsidRDefault="00134604" w:rsidP="00134604">
      <w:pPr>
        <w:pStyle w:val="FootnoteText"/>
      </w:pPr>
      <w:r w:rsidRPr="00796C61">
        <w:rPr>
          <w:rStyle w:val="FootnoteReference"/>
        </w:rPr>
        <w:footnoteRef/>
      </w:r>
      <w:r w:rsidRPr="00796C61">
        <w:t xml:space="preserve"> 5 U.S.C. </w:t>
      </w:r>
      <w:r>
        <w:t xml:space="preserve">§ </w:t>
      </w:r>
      <w:r w:rsidRPr="00796C61">
        <w:t xml:space="preserve">603(b). </w:t>
      </w:r>
    </w:p>
  </w:footnote>
  <w:footnote w:id="342">
    <w:p w:rsidR="00134604" w:rsidRDefault="00134604" w:rsidP="00134604">
      <w:pPr>
        <w:pStyle w:val="FootnoteText"/>
      </w:pPr>
      <w:r>
        <w:rPr>
          <w:rStyle w:val="FootnoteReference"/>
        </w:rPr>
        <w:footnoteRef/>
      </w:r>
      <w:r>
        <w:t xml:space="preserve"> Joint Proposal of All Six VRS Providers for Improving Functional Equivalence and Stabilizing Rates, CG Docket Nos. 10-51, 03-123, at 4-6 (filed Mar. 30, 2015).</w:t>
      </w:r>
    </w:p>
  </w:footnote>
  <w:footnote w:id="343">
    <w:p w:rsidR="00134604" w:rsidRDefault="00134604" w:rsidP="00134604">
      <w:pPr>
        <w:pStyle w:val="FootnoteText"/>
      </w:pPr>
      <w:r>
        <w:rPr>
          <w:rStyle w:val="FootnoteReference"/>
        </w:rPr>
        <w:footnoteRef/>
      </w:r>
      <w:r>
        <w:t xml:space="preserve"> </w:t>
      </w:r>
      <w:r>
        <w:rPr>
          <w:i/>
        </w:rPr>
        <w:t>See, e</w:t>
      </w:r>
      <w:r w:rsidRPr="0083442C">
        <w:rPr>
          <w:i/>
        </w:rPr>
        <w:t>.g.</w:t>
      </w:r>
      <w:r>
        <w:t xml:space="preserve">, 2015 </w:t>
      </w:r>
      <w:r w:rsidRPr="00C167F6">
        <w:t>ASL</w:t>
      </w:r>
      <w:r>
        <w:t xml:space="preserve"> Services</w:t>
      </w:r>
      <w:r w:rsidRPr="00C167F6">
        <w:t xml:space="preserve"> Comments at 1</w:t>
      </w:r>
      <w:r>
        <w:t>6;</w:t>
      </w:r>
      <w:r w:rsidRPr="00C167F6">
        <w:t xml:space="preserve"> </w:t>
      </w:r>
      <w:r>
        <w:t xml:space="preserve">2015 Convo Comments at 9, 14; </w:t>
      </w:r>
      <w:r w:rsidRPr="00BB5E97">
        <w:t xml:space="preserve">2015 </w:t>
      </w:r>
      <w:r w:rsidRPr="00C901A9">
        <w:t>ZVRS Comments at 16.</w:t>
      </w:r>
    </w:p>
  </w:footnote>
  <w:footnote w:id="344">
    <w:p w:rsidR="00134604" w:rsidRDefault="00134604" w:rsidP="00134604">
      <w:pPr>
        <w:pStyle w:val="FootnoteText"/>
      </w:pPr>
      <w:r>
        <w:rPr>
          <w:rStyle w:val="FootnoteReference"/>
        </w:rPr>
        <w:footnoteRef/>
      </w:r>
      <w:r>
        <w:t xml:space="preserve"> </w:t>
      </w:r>
      <w:r>
        <w:rPr>
          <w:i/>
        </w:rPr>
        <w:t>See, e</w:t>
      </w:r>
      <w:r w:rsidRPr="0037256B">
        <w:rPr>
          <w:i/>
        </w:rPr>
        <w:t>.g.</w:t>
      </w:r>
      <w:r>
        <w:t xml:space="preserve">, 2015 Purple Comments at 3-4; 2015 </w:t>
      </w:r>
      <w:r w:rsidRPr="00826DE5">
        <w:t xml:space="preserve">Sorenson Reply Comments at </w:t>
      </w:r>
      <w:r>
        <w:t xml:space="preserve">2-3; 2015 </w:t>
      </w:r>
      <w:r w:rsidRPr="00826DE5">
        <w:t>Consumer Groups Comments at 6</w:t>
      </w:r>
      <w:r>
        <w:t>.</w:t>
      </w:r>
    </w:p>
  </w:footnote>
  <w:footnote w:id="345">
    <w:p w:rsidR="00134604" w:rsidRDefault="00134604" w:rsidP="00134604">
      <w:pPr>
        <w:pStyle w:val="FootnoteText"/>
      </w:pPr>
      <w:r>
        <w:rPr>
          <w:rStyle w:val="FootnoteReference"/>
        </w:rPr>
        <w:footnoteRef/>
      </w:r>
      <w:r>
        <w:t xml:space="preserve"> </w:t>
      </w:r>
      <w:r w:rsidRPr="00416278">
        <w:rPr>
          <w:i/>
        </w:rPr>
        <w:t xml:space="preserve">See </w:t>
      </w:r>
      <w:r>
        <w:t>5 U.S.C. § 801(a)(1)(A).</w:t>
      </w:r>
    </w:p>
  </w:footnote>
  <w:footnote w:id="346">
    <w:p w:rsidR="00134604" w:rsidRDefault="00134604" w:rsidP="00134604">
      <w:pPr>
        <w:pStyle w:val="FootnoteText"/>
      </w:pPr>
      <w:r>
        <w:rPr>
          <w:rStyle w:val="FootnoteReference"/>
        </w:rPr>
        <w:footnoteRef/>
      </w:r>
      <w:r>
        <w:t xml:space="preserve"> </w:t>
      </w:r>
      <w:r>
        <w:rPr>
          <w:i/>
        </w:rPr>
        <w:t>See</w:t>
      </w:r>
      <w:r>
        <w:t xml:space="preserve"> 5 U.S.C. § 603.  The RFA, </w:t>
      </w:r>
      <w:r>
        <w:rPr>
          <w:i/>
        </w:rPr>
        <w:t>see</w:t>
      </w:r>
      <w:r>
        <w:t xml:space="preserve"> 5 U.S.C. § 601–612, was amended by the Small Business Regulatory Enforcement Fairness Act of 1996 (SBREFA), Pub. L. No. 104-121, Title II, 110 Stat. 857 (1996).</w:t>
      </w:r>
    </w:p>
  </w:footnote>
  <w:footnote w:id="347">
    <w:p w:rsidR="00134604" w:rsidRPr="00514F87" w:rsidRDefault="00134604" w:rsidP="00134604">
      <w:pPr>
        <w:pStyle w:val="FootnoteText"/>
      </w:pPr>
      <w:r>
        <w:rPr>
          <w:rStyle w:val="FootnoteReference"/>
        </w:rPr>
        <w:footnoteRef/>
      </w:r>
      <w:r>
        <w:t xml:space="preserve"> </w:t>
      </w:r>
      <w:r>
        <w:rPr>
          <w:i/>
        </w:rPr>
        <w:t xml:space="preserve">See </w:t>
      </w:r>
      <w:r>
        <w:t>5 U.S.C. § 603(a).</w:t>
      </w:r>
    </w:p>
  </w:footnote>
  <w:footnote w:id="348">
    <w:p w:rsidR="00134604" w:rsidRPr="00514F87" w:rsidRDefault="00134604" w:rsidP="00134604">
      <w:pPr>
        <w:pStyle w:val="FootnoteText"/>
      </w:pPr>
      <w:r>
        <w:rPr>
          <w:rStyle w:val="FootnoteReference"/>
        </w:rPr>
        <w:footnoteRef/>
      </w:r>
      <w:r>
        <w:t xml:space="preserve"> </w:t>
      </w:r>
      <w:r>
        <w:rPr>
          <w:i/>
        </w:rPr>
        <w:t>See id.</w:t>
      </w:r>
    </w:p>
  </w:footnote>
  <w:footnote w:id="349">
    <w:p w:rsidR="00134604" w:rsidRDefault="00134604" w:rsidP="00134604">
      <w:pPr>
        <w:pStyle w:val="FootnoteText"/>
      </w:pPr>
      <w:r>
        <w:rPr>
          <w:rStyle w:val="FootnoteReference"/>
        </w:rPr>
        <w:footnoteRef/>
      </w:r>
      <w:r>
        <w:t xml:space="preserve"> </w:t>
      </w:r>
      <w:r w:rsidRPr="00CD6482">
        <w:t xml:space="preserve">SIP Forum, US </w:t>
      </w:r>
      <w:r>
        <w:t>VR</w:t>
      </w:r>
      <w:r w:rsidRPr="00CD6482">
        <w:rPr>
          <w:bCs/>
        </w:rPr>
        <w:t>S</w:t>
      </w:r>
      <w:r w:rsidRPr="00CD6482">
        <w:rPr>
          <w:b/>
          <w:bCs/>
        </w:rPr>
        <w:t xml:space="preserve"> </w:t>
      </w:r>
      <w:r w:rsidRPr="00CD6482">
        <w:rPr>
          <w:bCs/>
          <w:iCs/>
        </w:rPr>
        <w:t xml:space="preserve">Provider Interoperability Profile, </w:t>
      </w:r>
      <w:r>
        <w:rPr>
          <w:bCs/>
          <w:iCs/>
        </w:rPr>
        <w:t>SI</w:t>
      </w:r>
      <w:r w:rsidRPr="00CD6482">
        <w:rPr>
          <w:bCs/>
          <w:iCs/>
        </w:rPr>
        <w:t>P Forum Document Number: VRS US Providers Profile TWG-6-</w:t>
      </w:r>
      <w:r>
        <w:rPr>
          <w:bCs/>
          <w:iCs/>
        </w:rPr>
        <w:t>1</w:t>
      </w:r>
      <w:r w:rsidRPr="00CD6482">
        <w:rPr>
          <w:bCs/>
          <w:iCs/>
        </w:rPr>
        <w:t>.</w:t>
      </w:r>
      <w:r>
        <w:rPr>
          <w:bCs/>
          <w:iCs/>
        </w:rPr>
        <w:t xml:space="preserve">0, </w:t>
      </w:r>
      <w:r w:rsidRPr="00F55ACA">
        <w:rPr>
          <w:bCs/>
        </w:rPr>
        <w:t>§ 9.1.1</w:t>
      </w:r>
      <w:r>
        <w:rPr>
          <w:bCs/>
        </w:rPr>
        <w:t xml:space="preserve"> </w:t>
      </w:r>
      <w:r w:rsidRPr="00CD6482">
        <w:rPr>
          <w:bCs/>
          <w:iCs/>
        </w:rPr>
        <w:t>(</w:t>
      </w:r>
      <w:r>
        <w:rPr>
          <w:bCs/>
          <w:iCs/>
        </w:rPr>
        <w:t>Oct. 14</w:t>
      </w:r>
      <w:r w:rsidRPr="00CD6482">
        <w:rPr>
          <w:bCs/>
          <w:iCs/>
        </w:rPr>
        <w:t>, 2015) (</w:t>
      </w:r>
      <w:r>
        <w:rPr>
          <w:bCs/>
          <w:iCs/>
        </w:rPr>
        <w:t xml:space="preserve">VRS </w:t>
      </w:r>
      <w:r w:rsidRPr="00CD6482">
        <w:rPr>
          <w:bCs/>
          <w:iCs/>
        </w:rPr>
        <w:t>Provider Interoperability Profile),</w:t>
      </w:r>
      <w:r>
        <w:rPr>
          <w:bCs/>
          <w:iCs/>
        </w:rPr>
        <w:t xml:space="preserve"> </w:t>
      </w:r>
      <w:hyperlink r:id="rId12" w:history="1">
        <w:r w:rsidRPr="00653D83">
          <w:rPr>
            <w:rStyle w:val="Hyperlink"/>
            <w:bCs/>
            <w:iCs/>
          </w:rPr>
          <w:t>http://www.sipforum.org/component/option,com_docman/task,doc_download/gid,786/Itemid,261/</w:t>
        </w:r>
      </w:hyperlink>
      <w:r>
        <w:rPr>
          <w:bCs/>
        </w:rPr>
        <w:t xml:space="preserve">; </w:t>
      </w:r>
      <w:r w:rsidRPr="005A4ADF">
        <w:t>47 CFR §</w:t>
      </w:r>
      <w:r>
        <w:t> </w:t>
      </w:r>
      <w:r w:rsidRPr="005A4ADF">
        <w:t>64.613</w:t>
      </w:r>
      <w:r>
        <w:t xml:space="preserve">(a)(2). </w:t>
      </w:r>
    </w:p>
  </w:footnote>
  <w:footnote w:id="350">
    <w:p w:rsidR="00134604" w:rsidRDefault="00134604" w:rsidP="00134604">
      <w:pPr>
        <w:pStyle w:val="FootnoteText"/>
      </w:pPr>
      <w:r>
        <w:rPr>
          <w:rStyle w:val="FootnoteReference"/>
        </w:rPr>
        <w:footnoteRef/>
      </w:r>
      <w:r>
        <w:t xml:space="preserve"> Letter from Gabrielle Joseph, Vice President, ASL Holdings LLC et al., to Marlene H. Dortch, Secretary, FCC, CGB Docket </w:t>
      </w:r>
      <w:r w:rsidRPr="005A7E2E">
        <w:t>No. 03-123, et al., at 1</w:t>
      </w:r>
      <w:r>
        <w:t xml:space="preserve"> (filed Jan. 8, 2015)</w:t>
      </w:r>
    </w:p>
  </w:footnote>
  <w:footnote w:id="351">
    <w:p w:rsidR="00134604" w:rsidRDefault="00134604" w:rsidP="00134604">
      <w:pPr>
        <w:pStyle w:val="FootnoteText"/>
      </w:pPr>
      <w:r>
        <w:rPr>
          <w:rStyle w:val="FootnoteReference"/>
        </w:rPr>
        <w:footnoteRef/>
      </w:r>
      <w:r>
        <w:t xml:space="preserve"> For purposes of the FNPRM, the Commission</w:t>
      </w:r>
      <w:r w:rsidRPr="00834FEF">
        <w:t xml:space="preserve"> use</w:t>
      </w:r>
      <w:r>
        <w:t>s</w:t>
      </w:r>
      <w:r w:rsidRPr="00834FEF">
        <w:t xml:space="preserve"> the term “enterprise</w:t>
      </w:r>
      <w:r>
        <w:t xml:space="preserve"> videophones” to refer to videophones provided by entities such as businesses, organizations and governmental agencies that are</w:t>
      </w:r>
      <w:r w:rsidRPr="00DD703D">
        <w:rPr>
          <w:szCs w:val="22"/>
        </w:rPr>
        <w:t xml:space="preserve"> designated for use by their employees who use </w:t>
      </w:r>
      <w:r>
        <w:rPr>
          <w:szCs w:val="22"/>
        </w:rPr>
        <w:t>American Sign Language (</w:t>
      </w:r>
      <w:r w:rsidRPr="00DD703D">
        <w:rPr>
          <w:szCs w:val="22"/>
        </w:rPr>
        <w:t>ASL</w:t>
      </w:r>
      <w:r>
        <w:rPr>
          <w:szCs w:val="22"/>
        </w:rPr>
        <w:t>)</w:t>
      </w:r>
      <w:r w:rsidRPr="00DD703D">
        <w:rPr>
          <w:szCs w:val="22"/>
        </w:rPr>
        <w:t xml:space="preserve">.  These phones can be situated </w:t>
      </w:r>
      <w:r>
        <w:t>in a variety of locations, including private or shared offices, conference rooms, or other common rooms.</w:t>
      </w:r>
      <w:r w:rsidRPr="00DD703D">
        <w:rPr>
          <w:szCs w:val="22"/>
        </w:rPr>
        <w:t xml:space="preserve"> </w:t>
      </w:r>
      <w:r>
        <w:t xml:space="preserve"> “</w:t>
      </w:r>
      <w:r w:rsidRPr="00DD703D">
        <w:rPr>
          <w:szCs w:val="22"/>
        </w:rPr>
        <w:t>Public videophones,” for purposes of th</w:t>
      </w:r>
      <w:r>
        <w:rPr>
          <w:szCs w:val="22"/>
        </w:rPr>
        <w:t>e</w:t>
      </w:r>
      <w:r w:rsidRPr="00DD703D">
        <w:rPr>
          <w:szCs w:val="22"/>
        </w:rPr>
        <w:t xml:space="preserve"> FNPRM, are those made available in public spaces, such as schools, hospitals, libraries, </w:t>
      </w:r>
      <w:r>
        <w:t xml:space="preserve">airports, </w:t>
      </w:r>
      <w:r w:rsidRPr="00DD703D">
        <w:rPr>
          <w:szCs w:val="22"/>
        </w:rPr>
        <w:t>and governmental agencies, for use by any individuals who communicate through ASL</w:t>
      </w:r>
      <w:r>
        <w:rPr>
          <w:szCs w:val="22"/>
        </w:rPr>
        <w:t>.</w:t>
      </w:r>
      <w:r>
        <w:t xml:space="preserve"> </w:t>
      </w:r>
    </w:p>
  </w:footnote>
  <w:footnote w:id="352">
    <w:p w:rsidR="00134604" w:rsidRDefault="00134604" w:rsidP="00134604">
      <w:pPr>
        <w:pStyle w:val="FootnoteText"/>
      </w:pPr>
      <w:r>
        <w:rPr>
          <w:rStyle w:val="FootnoteReference"/>
        </w:rPr>
        <w:footnoteRef/>
      </w:r>
      <w:r>
        <w:t xml:space="preserve"> 47 CFR §§ 64.611(a)(4)(ii), 64.615(a).</w:t>
      </w:r>
    </w:p>
  </w:footnote>
  <w:footnote w:id="353">
    <w:p w:rsidR="00134604" w:rsidRDefault="00134604" w:rsidP="00134604">
      <w:pPr>
        <w:pStyle w:val="FootnoteText"/>
      </w:pPr>
      <w:r>
        <w:rPr>
          <w:rStyle w:val="FootnoteReference"/>
        </w:rPr>
        <w:footnoteRef/>
      </w:r>
      <w:r>
        <w:t xml:space="preserve"> </w:t>
      </w:r>
      <w:r>
        <w:rPr>
          <w:i/>
        </w:rPr>
        <w:t>See</w:t>
      </w:r>
      <w:r>
        <w:t xml:space="preserve"> 47 U.S.C. § 225(a)(3).</w:t>
      </w:r>
    </w:p>
  </w:footnote>
  <w:footnote w:id="354">
    <w:p w:rsidR="00134604" w:rsidRDefault="00134604" w:rsidP="00134604">
      <w:pPr>
        <w:pStyle w:val="FootnoteText"/>
      </w:pPr>
      <w:r>
        <w:rPr>
          <w:rStyle w:val="FootnoteReference"/>
        </w:rPr>
        <w:footnoteRef/>
      </w:r>
      <w:r>
        <w:t xml:space="preserve"> 47 CFR § 64.615(a)(1)(i).</w:t>
      </w:r>
    </w:p>
  </w:footnote>
  <w:footnote w:id="355">
    <w:p w:rsidR="00134604" w:rsidRDefault="00134604" w:rsidP="00134604">
      <w:pPr>
        <w:pStyle w:val="FootnoteText"/>
      </w:pPr>
      <w:r>
        <w:rPr>
          <w:rStyle w:val="FootnoteReference"/>
        </w:rPr>
        <w:footnoteRef/>
      </w:r>
      <w:r>
        <w:t xml:space="preserve"> 5 U.S.C. § 603(b)(3). </w:t>
      </w:r>
    </w:p>
  </w:footnote>
  <w:footnote w:id="356">
    <w:p w:rsidR="00134604" w:rsidRDefault="00134604" w:rsidP="00134604">
      <w:pPr>
        <w:pStyle w:val="FootnoteText"/>
      </w:pPr>
      <w:r>
        <w:rPr>
          <w:rStyle w:val="FootnoteReference"/>
        </w:rPr>
        <w:footnoteRef/>
      </w:r>
      <w:r>
        <w:t xml:space="preserve"> </w:t>
      </w:r>
      <w:r w:rsidRPr="004770A3">
        <w:rPr>
          <w:i/>
        </w:rPr>
        <w:t>Id</w:t>
      </w:r>
      <w:r w:rsidRPr="004770A3">
        <w:t xml:space="preserve">. </w:t>
      </w:r>
      <w:r>
        <w:t xml:space="preserve">§ 601(6). </w:t>
      </w:r>
    </w:p>
  </w:footnote>
  <w:footnote w:id="357">
    <w:p w:rsidR="00134604" w:rsidRDefault="00134604" w:rsidP="00134604">
      <w:pPr>
        <w:pStyle w:val="FootnoteText"/>
      </w:pPr>
      <w:r>
        <w:rPr>
          <w:rStyle w:val="FootnoteReference"/>
        </w:rPr>
        <w:footnoteRef/>
      </w:r>
      <w:r>
        <w:t xml:space="preserve"> </w:t>
      </w:r>
      <w:r w:rsidRPr="004770A3">
        <w:rPr>
          <w:i/>
        </w:rPr>
        <w:t>Id</w:t>
      </w:r>
      <w:r w:rsidRPr="004770A3">
        <w:t xml:space="preserve">. </w:t>
      </w:r>
      <w:r>
        <w:t xml:space="preserve">§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p>
  </w:footnote>
  <w:footnote w:id="358">
    <w:p w:rsidR="00134604" w:rsidRDefault="00134604" w:rsidP="00134604">
      <w:pPr>
        <w:pStyle w:val="FootnoteText"/>
      </w:pPr>
      <w:r>
        <w:rPr>
          <w:rStyle w:val="FootnoteReference"/>
        </w:rPr>
        <w:footnoteRef/>
      </w:r>
      <w:r>
        <w:t xml:space="preserve"> 15 U.S.C. § 632. </w:t>
      </w:r>
    </w:p>
  </w:footnote>
  <w:footnote w:id="359">
    <w:p w:rsidR="00134604" w:rsidRDefault="00134604" w:rsidP="00134604">
      <w:pPr>
        <w:pStyle w:val="FootnoteText"/>
      </w:pPr>
      <w:r>
        <w:rPr>
          <w:rStyle w:val="FootnoteReference"/>
        </w:rPr>
        <w:footnoteRef/>
      </w:r>
      <w:r>
        <w:t xml:space="preserve"> </w:t>
      </w:r>
      <w:hyperlink r:id="rId13" w:history="1">
        <w:r w:rsidRPr="00080C31">
          <w:rPr>
            <w:rStyle w:val="Hyperlink"/>
          </w:rPr>
          <w:t>http://www.census.gov/cgi-bin/ssssd/naics/naicsrch</w:t>
        </w:r>
      </w:hyperlink>
      <w:r>
        <w:t>.</w:t>
      </w:r>
    </w:p>
  </w:footnote>
  <w:footnote w:id="360">
    <w:p w:rsidR="00134604" w:rsidRDefault="00134604" w:rsidP="00134604">
      <w:pPr>
        <w:pStyle w:val="FootnoteText"/>
      </w:pPr>
      <w:r>
        <w:rPr>
          <w:rStyle w:val="FootnoteReference"/>
        </w:rPr>
        <w:footnoteRef/>
      </w:r>
      <w:r>
        <w:t xml:space="preserve"> 13 CFR § 121.201; NAICS Code 517919.</w:t>
      </w:r>
    </w:p>
  </w:footnote>
  <w:footnote w:id="361">
    <w:p w:rsidR="00134604" w:rsidRPr="00B013DC" w:rsidRDefault="00134604" w:rsidP="00134604">
      <w:pPr>
        <w:pStyle w:val="FootnoteText"/>
      </w:pPr>
      <w:r>
        <w:rPr>
          <w:rStyle w:val="FootnoteReference"/>
        </w:rPr>
        <w:footnoteRef/>
      </w:r>
      <w:r>
        <w:t xml:space="preserve"> </w:t>
      </w:r>
      <w:hyperlink r:id="rId14" w:history="1">
        <w:r w:rsidRPr="006E61E2">
          <w:rPr>
            <w:rStyle w:val="Hyperlink"/>
          </w:rPr>
          <w:t>http://factfinder.census.gov/faces/tableservices/jsf/pages/productview.xhtml?pid=ECN_2012_US_51SSSZ4&amp;prodType=table</w:t>
        </w:r>
      </w:hyperlink>
      <w:r w:rsidRPr="00B013DC">
        <w:t>.</w:t>
      </w:r>
    </w:p>
  </w:footnote>
  <w:footnote w:id="362">
    <w:p w:rsidR="00134604" w:rsidRDefault="00134604" w:rsidP="00134604">
      <w:pPr>
        <w:pStyle w:val="FootnoteText"/>
      </w:pPr>
      <w:r>
        <w:rPr>
          <w:rStyle w:val="FootnoteReference"/>
        </w:rPr>
        <w:footnoteRef/>
      </w:r>
      <w:r>
        <w:t xml:space="preserve"> 5 U.S.C. § 603(b). </w:t>
      </w:r>
    </w:p>
  </w:footnote>
  <w:footnote w:id="363">
    <w:p w:rsidR="00134604" w:rsidRDefault="00134604" w:rsidP="00134604">
      <w:pPr>
        <w:pStyle w:val="FootnoteText"/>
      </w:pPr>
      <w:r>
        <w:rPr>
          <w:rStyle w:val="FootnoteReference"/>
        </w:rPr>
        <w:footnoteRef/>
      </w:r>
      <w:r>
        <w:t xml:space="preserve"> The rate structures are discussed in section </w:t>
      </w:r>
      <w:r w:rsidRPr="00197515">
        <w:t>IV.A</w:t>
      </w:r>
      <w:r>
        <w:t xml:space="preserve"> of the FNPRM.</w:t>
      </w:r>
    </w:p>
  </w:footnote>
  <w:footnote w:id="364">
    <w:p w:rsidR="006125D9" w:rsidRPr="008F6213" w:rsidRDefault="006125D9" w:rsidP="006125D9">
      <w:pPr>
        <w:pStyle w:val="FootnoteText"/>
      </w:pPr>
      <w:r w:rsidRPr="008F6213">
        <w:rPr>
          <w:rStyle w:val="FootnoteReference"/>
        </w:rPr>
        <w:footnoteRef/>
      </w:r>
      <w:r w:rsidRPr="008F6213">
        <w:t xml:space="preserve"> </w:t>
      </w:r>
      <w:r w:rsidRPr="008F6213">
        <w:rPr>
          <w:i/>
        </w:rPr>
        <w:t>Supra</w:t>
      </w:r>
      <w:r w:rsidRPr="008F6213">
        <w:t xml:space="preserve"> para. 1 (citing S. Rep. No. 116, 101</w:t>
      </w:r>
      <w:r w:rsidRPr="008F6213">
        <w:rPr>
          <w:vertAlign w:val="superscript"/>
        </w:rPr>
        <w:t>st</w:t>
      </w:r>
      <w:r w:rsidRPr="008F6213">
        <w:t xml:space="preserve"> Cong., 1</w:t>
      </w:r>
      <w:r w:rsidRPr="008F6213">
        <w:rPr>
          <w:vertAlign w:val="superscript"/>
        </w:rPr>
        <w:t>st</w:t>
      </w:r>
      <w:r w:rsidRPr="008F6213">
        <w:t xml:space="preserve"> Sess</w:t>
      </w:r>
      <w:r>
        <w:t>.</w:t>
      </w:r>
      <w:r w:rsidRPr="008F6213">
        <w:t xml:space="preserve"> at 78 (1989)).</w:t>
      </w:r>
    </w:p>
  </w:footnote>
  <w:footnote w:id="365">
    <w:p w:rsidR="006125D9" w:rsidRPr="008F6213" w:rsidRDefault="006125D9" w:rsidP="006125D9">
      <w:pPr>
        <w:pStyle w:val="FootnoteText"/>
      </w:pPr>
      <w:r w:rsidRPr="008F6213">
        <w:rPr>
          <w:rStyle w:val="FootnoteReference"/>
        </w:rPr>
        <w:footnoteRef/>
      </w:r>
      <w:r w:rsidRPr="008F6213">
        <w:t xml:space="preserve"> 47 U.S.C. § 225(b)(1).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C1" w:rsidRDefault="002717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04" w:rsidRDefault="00134604" w:rsidP="00810B6F">
    <w:pPr>
      <w:pStyle w:val="Header"/>
      <w:rPr>
        <w:b w:val="0"/>
      </w:rPr>
    </w:pPr>
    <w:r>
      <w:tab/>
      <w:t>Federal Communications Commission</w:t>
    </w:r>
    <w:r>
      <w:tab/>
    </w:r>
    <w:r w:rsidR="00EE1768">
      <w:t>FCC 17-26</w:t>
    </w:r>
  </w:p>
  <w:p w:rsidR="00134604" w:rsidRDefault="00E80D97">
    <w:pPr>
      <w:tabs>
        <w:tab w:val="left" w:pos="-720"/>
      </w:tabs>
      <w:suppressAutoHyphens/>
      <w:spacing w:line="19" w:lineRule="exact"/>
      <w:rPr>
        <w:spacing w:val="-2"/>
      </w:rPr>
    </w:pPr>
    <w:r>
      <w:rPr>
        <w:noProof/>
      </w:rPr>
      <w:pict>
        <v:rect id="_x0000_s2052" style="position:absolute;margin-left:0;margin-top:0;width:468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w:r>
  </w:p>
  <w:p w:rsidR="00134604" w:rsidRDefault="00134604">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04" w:rsidRDefault="00E80D97" w:rsidP="00810B6F">
    <w:pPr>
      <w:pStyle w:val="Header"/>
      <w:rPr>
        <w:b w:val="0"/>
      </w:rPr>
    </w:pPr>
    <w:r>
      <w:rPr>
        <w:noProof/>
      </w:rPr>
      <w:pict>
        <v:rect id="_x0000_s2051" style="position:absolute;margin-left:.6pt;margin-top:12.65pt;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w:r>
    <w:r w:rsidR="00134604">
      <w:tab/>
      <w:t>Federal Communications Commission</w:t>
    </w:r>
    <w:r w:rsidR="00134604">
      <w:tab/>
    </w:r>
    <w:r w:rsidR="00EE1768">
      <w:rPr>
        <w:spacing w:val="-2"/>
      </w:rPr>
      <w:t>FCC 17-26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810B6F">
    <w:pPr>
      <w:pStyle w:val="Header"/>
      <w:rPr>
        <w:b w:val="0"/>
      </w:rPr>
    </w:pPr>
    <w:r>
      <w:tab/>
      <w:t>Federal Communications Commission</w:t>
    </w:r>
    <w:r>
      <w:tab/>
    </w:r>
    <w:r w:rsidR="00C254BF">
      <w:t>FCC 17-26</w:t>
    </w:r>
  </w:p>
  <w:p w:rsidR="00D25FB5" w:rsidRDefault="00E80D97">
    <w:pPr>
      <w:tabs>
        <w:tab w:val="left" w:pos="-720"/>
      </w:tabs>
      <w:suppressAutoHyphens/>
      <w:spacing w:line="19" w:lineRule="exact"/>
      <w:rPr>
        <w:spacing w:val="-2"/>
      </w:rPr>
    </w:pPr>
    <w:r>
      <w:rPr>
        <w:noProof/>
      </w:rPr>
      <w:pict>
        <v:rect id="Rectangle 1" o:spid="_x0000_s2050" style="position:absolute;margin-left:0;margin-top:0;width:468pt;height:.9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w:r>
  </w:p>
  <w:p w:rsidR="00D25FB5" w:rsidRDefault="00D25FB5">
    <w:pPr>
      <w:spacing w:after="389" w:line="100" w:lineRule="exact"/>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E80D97" w:rsidP="00810B6F">
    <w:pPr>
      <w:pStyle w:val="Header"/>
      <w:rPr>
        <w:b w:val="0"/>
      </w:rPr>
    </w:pPr>
    <w:r>
      <w:rPr>
        <w:noProof/>
      </w:rPr>
      <w:pict>
        <v:rect id="Rectangle 3" o:spid="_x0000_s2049" style="position:absolute;margin-left:.6pt;margin-top:12.65pt;width:468pt;height:.9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w:r>
    <w:r w:rsidR="00D25FB5">
      <w:tab/>
      <w:t>Federal Communications Commission</w:t>
    </w:r>
    <w:r w:rsidR="00D25FB5">
      <w:tab/>
    </w:r>
    <w:r w:rsidR="0028301F">
      <w:rPr>
        <w:spacing w:val="-2"/>
      </w:rPr>
      <w:fldChar w:fldCharType="begin"/>
    </w:r>
    <w:r w:rsidR="0028301F">
      <w:rPr>
        <w:spacing w:val="-2"/>
      </w:rPr>
      <w:instrText xml:space="preserve"> MACROBUTTON  Overtype "FCC  XX-XXX" </w:instrText>
    </w:r>
    <w:r w:rsidR="0028301F">
      <w:rPr>
        <w:spacing w:val="-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EA56BE"/>
    <w:multiLevelType w:val="hybridMultilevel"/>
    <w:tmpl w:val="5FDFAB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692A364"/>
    <w:multiLevelType w:val="hybridMultilevel"/>
    <w:tmpl w:val="79464C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D7524E"/>
    <w:multiLevelType w:val="hybridMultilevel"/>
    <w:tmpl w:val="866685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84B453C"/>
    <w:multiLevelType w:val="singleLevel"/>
    <w:tmpl w:val="40A8E97A"/>
    <w:lvl w:ilvl="0">
      <w:start w:val="1"/>
      <w:numFmt w:val="decimal"/>
      <w:lvlText w:val="%1."/>
      <w:lvlJc w:val="left"/>
      <w:pPr>
        <w:tabs>
          <w:tab w:val="num" w:pos="1080"/>
        </w:tabs>
        <w:ind w:left="0" w:firstLine="720"/>
      </w:pPr>
    </w:lvl>
  </w:abstractNum>
  <w:abstractNum w:abstractNumId="4">
    <w:nsid w:val="084B58C9"/>
    <w:multiLevelType w:val="hybridMultilevel"/>
    <w:tmpl w:val="C97C0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B7A0094"/>
    <w:multiLevelType w:val="hybridMultilevel"/>
    <w:tmpl w:val="A0FE9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ED3D91"/>
    <w:multiLevelType w:val="hybridMultilevel"/>
    <w:tmpl w:val="69D23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nsid w:val="248246F3"/>
    <w:multiLevelType w:val="singleLevel"/>
    <w:tmpl w:val="B1F45678"/>
    <w:lvl w:ilvl="0">
      <w:start w:val="1"/>
      <w:numFmt w:val="decimal"/>
      <w:lvlText w:val="%1."/>
      <w:lvlJc w:val="left"/>
      <w:pPr>
        <w:tabs>
          <w:tab w:val="num" w:pos="1080"/>
        </w:tabs>
        <w:ind w:left="0" w:firstLine="720"/>
      </w:p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29FF4458"/>
    <w:multiLevelType w:val="hybridMultilevel"/>
    <w:tmpl w:val="2B5E4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C7639D"/>
    <w:multiLevelType w:val="hybridMultilevel"/>
    <w:tmpl w:val="7512B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7BA72E"/>
    <w:multiLevelType w:val="hybridMultilevel"/>
    <w:tmpl w:val="6DCC88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7E316EC"/>
    <w:multiLevelType w:val="hybridMultilevel"/>
    <w:tmpl w:val="21EE2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501159CB"/>
    <w:multiLevelType w:val="hybridMultilevel"/>
    <w:tmpl w:val="FDC4E414"/>
    <w:lvl w:ilvl="0" w:tplc="04090001">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880"/>
        </w:tabs>
        <w:ind w:left="2880" w:hanging="360"/>
      </w:pPr>
      <w:rPr>
        <w:rFonts w:cs="Times New Roman" w:hint="default"/>
      </w:rPr>
    </w:lvl>
    <w:lvl w:ilvl="2" w:tplc="FFFFFFFF">
      <w:start w:val="1"/>
      <w:numFmt w:val="lowerRoman"/>
      <w:lvlText w:val="%3."/>
      <w:lvlJc w:val="right"/>
      <w:pPr>
        <w:tabs>
          <w:tab w:val="num" w:pos="3600"/>
        </w:tabs>
        <w:ind w:left="3600" w:hanging="180"/>
      </w:pPr>
      <w:rPr>
        <w:rFonts w:cs="Times New Roman"/>
      </w:rPr>
    </w:lvl>
    <w:lvl w:ilvl="3" w:tplc="FFFFFFFF">
      <w:numFmt w:val="bullet"/>
      <w:lvlText w:val="-"/>
      <w:lvlJc w:val="left"/>
      <w:pPr>
        <w:tabs>
          <w:tab w:val="num" w:pos="2160"/>
        </w:tabs>
        <w:ind w:left="2160" w:hanging="360"/>
      </w:pPr>
      <w:rPr>
        <w:rFonts w:ascii="Times New Roman" w:eastAsia="Times New Roman" w:hAnsi="Times New Roman" w:hint="default"/>
      </w:rPr>
    </w:lvl>
    <w:lvl w:ilvl="4" w:tplc="FFFFFFFF">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6">
    <w:nsid w:val="52357D23"/>
    <w:multiLevelType w:val="hybridMultilevel"/>
    <w:tmpl w:val="DA56B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C23277"/>
    <w:multiLevelType w:val="hybridMultilevel"/>
    <w:tmpl w:val="74AA0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7D0640"/>
    <w:multiLevelType w:val="hybridMultilevel"/>
    <w:tmpl w:val="0576E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0">
    <w:nsid w:val="63B60BAA"/>
    <w:multiLevelType w:val="hybridMultilevel"/>
    <w:tmpl w:val="5DC2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1C5C5F"/>
    <w:multiLevelType w:val="hybridMultilevel"/>
    <w:tmpl w:val="E34E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9"/>
  </w:num>
  <w:num w:numId="4">
    <w:abstractNumId w:val="14"/>
  </w:num>
  <w:num w:numId="5">
    <w:abstractNumId w:val="8"/>
  </w:num>
  <w:num w:numId="6">
    <w:abstractNumId w:val="3"/>
  </w:num>
  <w:num w:numId="7">
    <w:abstractNumId w:val="10"/>
  </w:num>
  <w:num w:numId="8">
    <w:abstractNumId w:val="15"/>
  </w:num>
  <w:num w:numId="9">
    <w:abstractNumId w:val="18"/>
  </w:num>
  <w:num w:numId="10">
    <w:abstractNumId w:val="6"/>
  </w:num>
  <w:num w:numId="11">
    <w:abstractNumId w:val="16"/>
  </w:num>
  <w:num w:numId="12">
    <w:abstractNumId w:val="17"/>
  </w:num>
  <w:num w:numId="13">
    <w:abstractNumId w:val="5"/>
  </w:num>
  <w:num w:numId="14">
    <w:abstractNumId w:val="2"/>
  </w:num>
  <w:num w:numId="15">
    <w:abstractNumId w:val="13"/>
  </w:num>
  <w:num w:numId="16">
    <w:abstractNumId w:val="11"/>
  </w:num>
  <w:num w:numId="17">
    <w:abstractNumId w:val="20"/>
  </w:num>
  <w:num w:numId="18">
    <w:abstractNumId w:val="21"/>
  </w:num>
  <w:num w:numId="19">
    <w:abstractNumId w:val="19"/>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604"/>
    <w:rsid w:val="00036039"/>
    <w:rsid w:val="00037F90"/>
    <w:rsid w:val="00046F6A"/>
    <w:rsid w:val="00070A3A"/>
    <w:rsid w:val="000875BF"/>
    <w:rsid w:val="00096D8C"/>
    <w:rsid w:val="000C0B65"/>
    <w:rsid w:val="000E05FE"/>
    <w:rsid w:val="000E3D42"/>
    <w:rsid w:val="000F784D"/>
    <w:rsid w:val="00122BD5"/>
    <w:rsid w:val="00133F79"/>
    <w:rsid w:val="00134604"/>
    <w:rsid w:val="00194A66"/>
    <w:rsid w:val="001D50D0"/>
    <w:rsid w:val="001D6BCF"/>
    <w:rsid w:val="001E01CA"/>
    <w:rsid w:val="00221DC9"/>
    <w:rsid w:val="002717C1"/>
    <w:rsid w:val="00275CF5"/>
    <w:rsid w:val="0028301F"/>
    <w:rsid w:val="00285017"/>
    <w:rsid w:val="002A2D2E"/>
    <w:rsid w:val="002C00E8"/>
    <w:rsid w:val="00343749"/>
    <w:rsid w:val="003660ED"/>
    <w:rsid w:val="003B0550"/>
    <w:rsid w:val="003B694F"/>
    <w:rsid w:val="003F171C"/>
    <w:rsid w:val="00412FC5"/>
    <w:rsid w:val="00422276"/>
    <w:rsid w:val="004242F1"/>
    <w:rsid w:val="00445A00"/>
    <w:rsid w:val="00451B0F"/>
    <w:rsid w:val="004C2EE3"/>
    <w:rsid w:val="004E4A22"/>
    <w:rsid w:val="00511968"/>
    <w:rsid w:val="0055614C"/>
    <w:rsid w:val="005961FA"/>
    <w:rsid w:val="005E14C2"/>
    <w:rsid w:val="00607BA5"/>
    <w:rsid w:val="0061180A"/>
    <w:rsid w:val="006125D9"/>
    <w:rsid w:val="00626EB6"/>
    <w:rsid w:val="00655D03"/>
    <w:rsid w:val="00670A93"/>
    <w:rsid w:val="00683388"/>
    <w:rsid w:val="00683F84"/>
    <w:rsid w:val="00684868"/>
    <w:rsid w:val="006A6A81"/>
    <w:rsid w:val="006F7393"/>
    <w:rsid w:val="0070224F"/>
    <w:rsid w:val="007115F7"/>
    <w:rsid w:val="00741232"/>
    <w:rsid w:val="00785689"/>
    <w:rsid w:val="0079754B"/>
    <w:rsid w:val="007A1E6D"/>
    <w:rsid w:val="007B0EB2"/>
    <w:rsid w:val="00810B6F"/>
    <w:rsid w:val="00822CE0"/>
    <w:rsid w:val="00841AB1"/>
    <w:rsid w:val="008C68F1"/>
    <w:rsid w:val="00921803"/>
    <w:rsid w:val="00926503"/>
    <w:rsid w:val="009726D8"/>
    <w:rsid w:val="009F76DB"/>
    <w:rsid w:val="00A32C3B"/>
    <w:rsid w:val="00A45F4F"/>
    <w:rsid w:val="00A600A9"/>
    <w:rsid w:val="00AA55B7"/>
    <w:rsid w:val="00AA5B9E"/>
    <w:rsid w:val="00AB2407"/>
    <w:rsid w:val="00AB53DF"/>
    <w:rsid w:val="00B07E5C"/>
    <w:rsid w:val="00B811F7"/>
    <w:rsid w:val="00BA5DC6"/>
    <w:rsid w:val="00BA6196"/>
    <w:rsid w:val="00BC6D8C"/>
    <w:rsid w:val="00C254BF"/>
    <w:rsid w:val="00C34006"/>
    <w:rsid w:val="00C426B1"/>
    <w:rsid w:val="00C66160"/>
    <w:rsid w:val="00C721AC"/>
    <w:rsid w:val="00C90D6A"/>
    <w:rsid w:val="00CA247E"/>
    <w:rsid w:val="00CC72B6"/>
    <w:rsid w:val="00D0218D"/>
    <w:rsid w:val="00D25FB5"/>
    <w:rsid w:val="00D44223"/>
    <w:rsid w:val="00DA2529"/>
    <w:rsid w:val="00DB130A"/>
    <w:rsid w:val="00DB2EBB"/>
    <w:rsid w:val="00DC10A1"/>
    <w:rsid w:val="00DC655F"/>
    <w:rsid w:val="00DD0B59"/>
    <w:rsid w:val="00DD7EBD"/>
    <w:rsid w:val="00DF62B6"/>
    <w:rsid w:val="00E07225"/>
    <w:rsid w:val="00E5409F"/>
    <w:rsid w:val="00E80D97"/>
    <w:rsid w:val="00EA5C9B"/>
    <w:rsid w:val="00EE1768"/>
    <w:rsid w:val="00EE6488"/>
    <w:rsid w:val="00F021FA"/>
    <w:rsid w:val="00F62E97"/>
    <w:rsid w:val="00F64209"/>
    <w:rsid w:val="00F9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604"/>
    <w:pPr>
      <w:widowControl w:val="0"/>
    </w:pPr>
    <w:rPr>
      <w:snapToGrid w:val="0"/>
      <w:kern w:val="28"/>
      <w:sz w:val="22"/>
    </w:rPr>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2 Char,UNDERRUBRIK 1-2 Char,Heading 2 Char1,Heading 2 Char Char1,Heading 2 Char Char Char Char,Heading 2 Char1 Char Char1 Char Char,Heading 2 Char Char3 Char Char Char Char,Heading 2 Char1 Char Char Char Char1 Char Char,Char"/>
    <w:basedOn w:val="Normal"/>
    <w:next w:val="ParaNum"/>
    <w:autoRedefine/>
    <w:qFormat/>
    <w:rsid w:val="007A1E6D"/>
    <w:pPr>
      <w:keepNext/>
      <w:numPr>
        <w:ilvl w:val="1"/>
        <w:numId w:val="3"/>
      </w:numPr>
      <w:spacing w:after="120"/>
      <w:outlineLvl w:val="1"/>
    </w:pPr>
    <w:rPr>
      <w:b/>
    </w:rPr>
  </w:style>
  <w:style w:type="paragraph" w:styleId="Heading3">
    <w:name w:val="heading 3"/>
    <w:aliases w:val="3 Char,Titre 3 Char,1 Char,31 Char,Titre 31 Char,?? 3 Char,3,Titre 3,1,31,Titre 31,?? 3,Heading 3 Char1,Heading 3 Char Char,Heading 3 Char1 Char Char,Heading 3 Char Char Char Char,Heading 3 Char2 Char1 Char Char,Heading 3 Char Char1 Ch"/>
    <w:basedOn w:val="Normal"/>
    <w:next w:val="ParaNum"/>
    <w:qFormat/>
    <w:rsid w:val="00BA6196"/>
    <w:pPr>
      <w:keepNext/>
      <w:numPr>
        <w:ilvl w:val="2"/>
        <w:numId w:val="3"/>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Heading 4 Char2 Char Char,Heading 4 Char1 Char1 Char Char,Heading 4 Char Char Char1 Char Char,Heading 4 Char Char1 Char Ch"/>
    <w:basedOn w:val="Normal"/>
    <w:next w:val="ParaNum"/>
    <w:qFormat/>
    <w:rsid w:val="00C426B1"/>
    <w:pPr>
      <w:keepNext/>
      <w:numPr>
        <w:ilvl w:val="3"/>
        <w:numId w:val="3"/>
      </w:numPr>
      <w:tabs>
        <w:tab w:val="left" w:pos="2880"/>
      </w:tabs>
      <w:spacing w:after="120"/>
      <w:outlineLvl w:val="3"/>
    </w:pPr>
    <w:rPr>
      <w:b/>
    </w:rPr>
  </w:style>
  <w:style w:type="paragraph" w:styleId="Heading5">
    <w:name w:val="heading 5"/>
    <w:aliases w:val="Heading 5 Char2,Heading 5 Char1 Char1,Heading 5 Char Char Char1,Heading 5 Char1 Char Char Char,Heading 5 Char Char Char Char Char,Heading 5 Char Char1 Char,Heading 5 Char Char2,Heading 5 Char1 Char Char1,Heading 5 Char Char Char Char1"/>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6,Heading 6 Char2,Heading 6 Char1 Char,Heading 6 Char Char Char,Heading 6 Char Char1,Heading 6 Char1,Heading 6 Char Char"/>
    <w:basedOn w:val="Normal"/>
    <w:next w:val="ParaNum"/>
    <w:qFormat/>
    <w:rsid w:val="00036039"/>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Heading 9 Char,Topic,table,t,9,Heading 9.table,Titre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3,Footnote Text Char2 Char1,Footnote Text Char Char Char2,Footnote Text Char1 Char2 Char Char1,Footnote Text Char Char Char2 Char Char,Footnote Text Char1 Char2 Char Char1 Char Char,Footnote Text Char2,Footnote Text Char5"/>
    <w:link w:val="FootnoteTextChar"/>
    <w:uiPriority w:val="99"/>
    <w:rsid w:val="000E3D42"/>
    <w:pPr>
      <w:spacing w:after="120"/>
    </w:pPr>
  </w:style>
  <w:style w:type="character" w:styleId="FootnoteReference">
    <w:name w:val="footnote reference"/>
    <w:aliases w:val="Style 12,(NECG) Footnote Reference,Appel note de bas de p,Style 124,Style 13,fr,o,Style 3,FR,Style 17,Style 6,Footnote Reference/,Style 4,Style 7,Footnote Reference1,Style 34,Style 9,A"/>
    <w:uiPriority w:val="99"/>
    <w:rsid w:val="00A32C3B"/>
    <w:rPr>
      <w:rFonts w:ascii="Times New Roman" w:hAnsi="Times New Roman"/>
      <w:dstrike w:val="0"/>
      <w:color w:val="auto"/>
      <w:sz w:val="20"/>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uiPriority w:val="39"/>
    <w:pPr>
      <w:tabs>
        <w:tab w:val="left" w:pos="720"/>
        <w:tab w:val="right" w:leader="dot" w:pos="9360"/>
      </w:tabs>
      <w:suppressAutoHyphens/>
      <w:ind w:left="720" w:right="720" w:hanging="360"/>
    </w:pPr>
    <w:rPr>
      <w:noProof/>
    </w:rPr>
  </w:style>
  <w:style w:type="paragraph" w:styleId="TOC3">
    <w:name w:val="toc 3"/>
    <w:basedOn w:val="Normal"/>
    <w:next w:val="Normal"/>
    <w:uiPriority w:val="39"/>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noteTextChar">
    <w:name w:val="Footnote Text Char"/>
    <w:aliases w:val="Footnote Text Char3 Char,Footnote Text Char2 Char1 Char,Footnote Text Char Char Char2 Char,Footnote Text Char1 Char2 Char Char1 Char,Footnote Text Char Char Char2 Char Char Char,Footnote Text Char1 Char2 Char Char1 Char Char Char"/>
    <w:link w:val="FootnoteText"/>
    <w:uiPriority w:val="99"/>
    <w:locked/>
    <w:rsid w:val="00134604"/>
  </w:style>
  <w:style w:type="paragraph" w:styleId="BalloonText">
    <w:name w:val="Balloon Text"/>
    <w:basedOn w:val="Normal"/>
    <w:link w:val="BalloonTextChar"/>
    <w:rsid w:val="00134604"/>
    <w:rPr>
      <w:rFonts w:ascii="Segoe UI" w:hAnsi="Segoe UI" w:cs="Segoe UI"/>
      <w:sz w:val="18"/>
      <w:szCs w:val="18"/>
    </w:rPr>
  </w:style>
  <w:style w:type="character" w:customStyle="1" w:styleId="BalloonTextChar">
    <w:name w:val="Balloon Text Char"/>
    <w:basedOn w:val="DefaultParagraphFont"/>
    <w:link w:val="BalloonText"/>
    <w:rsid w:val="00134604"/>
    <w:rPr>
      <w:rFonts w:ascii="Segoe UI" w:hAnsi="Segoe UI" w:cs="Segoe UI"/>
      <w:snapToGrid w:val="0"/>
      <w:kern w:val="28"/>
      <w:sz w:val="18"/>
      <w:szCs w:val="18"/>
    </w:rPr>
  </w:style>
  <w:style w:type="character" w:customStyle="1" w:styleId="FootnoteTextCharChar">
    <w:name w:val="Footnote Text Char Char"/>
    <w:aliases w:val="Footnote Text Char3 Char Char,Footnote Text Char2 Char1 Char Char,Footnote Text Char Char Char Char1 Char,Footnote Text Char1 Char Char1 Char Char Char,Footnote Text Char Char1 Char Char Char Char Char,fn Char,f Char"/>
    <w:rsid w:val="00134604"/>
    <w:rPr>
      <w:rFonts w:eastAsia="Times New Roman"/>
      <w:sz w:val="20"/>
      <w:szCs w:val="20"/>
    </w:rPr>
  </w:style>
  <w:style w:type="character" w:styleId="CommentReference">
    <w:name w:val="annotation reference"/>
    <w:rsid w:val="00134604"/>
    <w:rPr>
      <w:sz w:val="16"/>
      <w:szCs w:val="16"/>
    </w:rPr>
  </w:style>
  <w:style w:type="paragraph" w:styleId="CommentText">
    <w:name w:val="annotation text"/>
    <w:basedOn w:val="Normal"/>
    <w:link w:val="CommentTextChar"/>
    <w:rsid w:val="00134604"/>
    <w:rPr>
      <w:sz w:val="20"/>
    </w:rPr>
  </w:style>
  <w:style w:type="character" w:customStyle="1" w:styleId="CommentTextChar">
    <w:name w:val="Comment Text Char"/>
    <w:basedOn w:val="DefaultParagraphFont"/>
    <w:link w:val="CommentText"/>
    <w:rsid w:val="00134604"/>
    <w:rPr>
      <w:snapToGrid w:val="0"/>
      <w:kern w:val="28"/>
    </w:rPr>
  </w:style>
  <w:style w:type="paragraph" w:styleId="CommentSubject">
    <w:name w:val="annotation subject"/>
    <w:basedOn w:val="CommentText"/>
    <w:next w:val="CommentText"/>
    <w:link w:val="CommentSubjectChar"/>
    <w:rsid w:val="00134604"/>
    <w:rPr>
      <w:b/>
      <w:bCs/>
    </w:rPr>
  </w:style>
  <w:style w:type="character" w:customStyle="1" w:styleId="CommentSubjectChar">
    <w:name w:val="Comment Subject Char"/>
    <w:basedOn w:val="CommentTextChar"/>
    <w:link w:val="CommentSubject"/>
    <w:rsid w:val="00134604"/>
    <w:rPr>
      <w:b/>
      <w:bCs/>
      <w:snapToGrid w:val="0"/>
      <w:kern w:val="28"/>
    </w:rPr>
  </w:style>
  <w:style w:type="paragraph" w:styleId="Revision">
    <w:name w:val="Revision"/>
    <w:hidden/>
    <w:uiPriority w:val="99"/>
    <w:semiHidden/>
    <w:rsid w:val="00134604"/>
    <w:rPr>
      <w:snapToGrid w:val="0"/>
      <w:kern w:val="28"/>
      <w:sz w:val="22"/>
    </w:rPr>
  </w:style>
  <w:style w:type="paragraph" w:styleId="ListParagraph">
    <w:name w:val="List Paragraph"/>
    <w:basedOn w:val="Normal"/>
    <w:uiPriority w:val="34"/>
    <w:qFormat/>
    <w:rsid w:val="00134604"/>
    <w:pPr>
      <w:widowControl/>
      <w:spacing w:after="120"/>
      <w:ind w:left="720"/>
    </w:pPr>
    <w:rPr>
      <w:rFonts w:eastAsia="Calibri"/>
      <w:snapToGrid/>
      <w:kern w:val="0"/>
      <w:szCs w:val="22"/>
    </w:rPr>
  </w:style>
  <w:style w:type="character" w:customStyle="1" w:styleId="FooterChar">
    <w:name w:val="Footer Char"/>
    <w:link w:val="Footer"/>
    <w:uiPriority w:val="99"/>
    <w:rsid w:val="00134604"/>
    <w:rPr>
      <w:snapToGrid w:val="0"/>
      <w:kern w:val="28"/>
      <w:sz w:val="22"/>
    </w:rPr>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link w:val="Heading1"/>
    <w:rsid w:val="00134604"/>
    <w:rPr>
      <w:rFonts w:ascii="Times New Roman Bold" w:hAnsi="Times New Roman Bold"/>
      <w:b/>
      <w:caps/>
      <w:snapToGrid w:val="0"/>
      <w:kern w:val="28"/>
      <w:sz w:val="22"/>
    </w:rPr>
  </w:style>
  <w:style w:type="character" w:customStyle="1" w:styleId="FootnoteTextChar1">
    <w:name w:val="Footnote Text Char1"/>
    <w:aliases w:val="Footnote Text Char1 Char1 Char Char,Footnote Text Char Char Char Char Char,Footnote Text Char1 Char Char Char Char Char,Footnote Text Char Char Char Char Char Char Char,Footnote Text Char3 Char Char Char Char Char Char Char Char"/>
    <w:locked/>
    <w:rsid w:val="00134604"/>
  </w:style>
  <w:style w:type="character" w:customStyle="1" w:styleId="ParaNumChar1">
    <w:name w:val="ParaNum Char1"/>
    <w:link w:val="ParaNum"/>
    <w:rsid w:val="00134604"/>
    <w:rPr>
      <w:snapToGrid w:val="0"/>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jallfoss.fcc.gov/ecfs2/" TargetMode="External"/><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ipforum.org/content/view/404/291/" TargetMode="External"/><Relationship Id="rId13" Type="http://schemas.openxmlformats.org/officeDocument/2006/relationships/hyperlink" Target="http://www.census.gov/cgi-bin/ssssd/naics/naicsrch" TargetMode="External"/><Relationship Id="rId3" Type="http://schemas.openxmlformats.org/officeDocument/2006/relationships/hyperlink" Target="http://gao.gov/assets/670/669916.pdf" TargetMode="External"/><Relationship Id="rId7" Type="http://schemas.openxmlformats.org/officeDocument/2006/relationships/hyperlink" Target="http://www.sipforum.org/component/option,com_docman/task,doc_download/gid,786/Itemid,261/" TargetMode="External"/><Relationship Id="rId12" Type="http://schemas.openxmlformats.org/officeDocument/2006/relationships/hyperlink" Target="http://www.sipforum.org/component/option,com_docman/task,doc_download/gid,786/Itemid,261/" TargetMode="External"/><Relationship Id="rId2" Type="http://schemas.openxmlformats.org/officeDocument/2006/relationships/hyperlink" Target="http://data.fcc.gov/download/measuring-broadband-america/2015/2015-Fixed-Measuring-Broadband-America-Report.pdf" TargetMode="External"/><Relationship Id="rId1" Type="http://schemas.openxmlformats.org/officeDocument/2006/relationships/hyperlink" Target="https://apps.fcc.gov/edocs_public/attachmatch/DOC-334156A1.pdf" TargetMode="External"/><Relationship Id="rId6" Type="http://schemas.openxmlformats.org/officeDocument/2006/relationships/hyperlink" Target="https://ecfsapi.fcc.gov/file/60001046238.pdf" TargetMode="External"/><Relationship Id="rId11" Type="http://schemas.openxmlformats.org/officeDocument/2006/relationships/hyperlink" Target="http://factfinder.census.gov/faces/tableservices/jsf/pages/productview.xhtml?pid=ECN_2012_US_51SSSZ4&amp;prodType=table" TargetMode="External"/><Relationship Id="rId5" Type="http://schemas.openxmlformats.org/officeDocument/2006/relationships/hyperlink" Target="https://ecfsapi.fcc.gov/file/60001044735.pdf" TargetMode="External"/><Relationship Id="rId10" Type="http://schemas.openxmlformats.org/officeDocument/2006/relationships/hyperlink" Target="http://www.census.gov/cgi-bin/ssssd/naics/naicsrch" TargetMode="External"/><Relationship Id="rId4" Type="http://schemas.openxmlformats.org/officeDocument/2006/relationships/hyperlink" Target="http://media.wix.com/ugd/455e4d_00e8e2bdaf984b8c97caaf7763607c90.pptx?dn=Alkebsi%20_Bosson_September%20iTRS%20Advisory%20Council%20Presentation.pptx" TargetMode="External"/><Relationship Id="rId9" Type="http://schemas.openxmlformats.org/officeDocument/2006/relationships/hyperlink" Target="https://ecfsapi.fcc.gov/file/10216021924400/2017-02-16%20FINAL%20Pet%20for%20Recon%20re%20VTCSecure%20Waiver.pdf" TargetMode="External"/><Relationship Id="rId14" Type="http://schemas.openxmlformats.org/officeDocument/2006/relationships/hyperlink" Target="http://factfinder.census.gov/faces/tableservices/jsf/pages/productview.xhtml?pid=ECN_2012_US_51SSSZ4&amp;prodType=ta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32996</Words>
  <Characters>178339</Characters>
  <Application>Microsoft Office Word</Application>
  <DocSecurity>0</DocSecurity>
  <Lines>2709</Lines>
  <Paragraphs>716</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211597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2005-07-20T16:06:00Z</cp:lastPrinted>
  <dcterms:created xsi:type="dcterms:W3CDTF">2017-03-23T22:34:00Z</dcterms:created>
  <dcterms:modified xsi:type="dcterms:W3CDTF">2017-03-23T22:34:00Z</dcterms:modified>
  <cp:category> </cp:category>
  <cp:contentStatus> </cp:contentStatus>
</cp:coreProperties>
</file>