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15DFC" w14:textId="43C97080" w:rsidR="00C12FDF" w:rsidRPr="00594722" w:rsidRDefault="00C12FDF" w:rsidP="00C12FDF">
      <w:pPr>
        <w:rPr>
          <w:bCs/>
          <w:i/>
          <w:iCs/>
          <w:sz w:val="22"/>
          <w:szCs w:val="22"/>
        </w:rPr>
      </w:pPr>
      <w:r>
        <w:rPr>
          <w:b/>
          <w:sz w:val="22"/>
          <w:szCs w:val="22"/>
        </w:rPr>
        <w:t>S12 Table</w:t>
      </w:r>
      <w:r w:rsidRPr="00594722">
        <w:rPr>
          <w:b/>
          <w:sz w:val="22"/>
          <w:szCs w:val="22"/>
        </w:rPr>
        <w:t xml:space="preserve">. </w:t>
      </w:r>
      <w:r>
        <w:rPr>
          <w:b/>
          <w:sz w:val="22"/>
          <w:szCs w:val="22"/>
        </w:rPr>
        <w:t>Lagged exposure variable and MS-related visits</w:t>
      </w:r>
      <w:r w:rsidRPr="00594722">
        <w:rPr>
          <w:b/>
          <w:sz w:val="22"/>
          <w:szCs w:val="22"/>
        </w:rPr>
        <w:t>, 2003–2017</w:t>
      </w:r>
      <w:r>
        <w:rPr>
          <w:b/>
          <w:sz w:val="22"/>
          <w:szCs w:val="22"/>
          <w:vertAlign w:val="superscript"/>
        </w:rPr>
        <w:t xml:space="preserve"> </w:t>
      </w:r>
      <w:r w:rsidRPr="006453F1">
        <w:rPr>
          <w:b/>
          <w:sz w:val="22"/>
          <w:szCs w:val="22"/>
          <w:vertAlign w:val="superscript"/>
        </w:rPr>
        <w:t>1</w:t>
      </w:r>
      <w:r>
        <w:rPr>
          <w:b/>
          <w:sz w:val="22"/>
          <w:szCs w:val="22"/>
          <w:vertAlign w:val="superscript"/>
        </w:rPr>
        <w:t>,2,3,4</w:t>
      </w:r>
    </w:p>
    <w:tbl>
      <w:tblPr>
        <w:tblStyle w:val="TableGrid"/>
        <w:tblW w:w="0" w:type="auto"/>
        <w:tblBorders>
          <w:bottom w:val="none" w:sz="0" w:space="0" w:color="auto"/>
        </w:tblBorders>
        <w:tblLook w:val="04A0" w:firstRow="1" w:lastRow="0" w:firstColumn="1" w:lastColumn="0" w:noHBand="0" w:noVBand="1"/>
      </w:tblPr>
      <w:tblGrid>
        <w:gridCol w:w="3232"/>
        <w:gridCol w:w="3232"/>
        <w:gridCol w:w="3233"/>
        <w:gridCol w:w="3233"/>
      </w:tblGrid>
      <w:tr w:rsidR="00C12FDF" w:rsidRPr="006453F1" w14:paraId="5A995FEB" w14:textId="77777777" w:rsidTr="006B2A7A">
        <w:tc>
          <w:tcPr>
            <w:tcW w:w="3232" w:type="dxa"/>
            <w:tcBorders>
              <w:top w:val="single" w:sz="12" w:space="0" w:color="auto"/>
              <w:left w:val="single" w:sz="12" w:space="0" w:color="auto"/>
              <w:bottom w:val="single" w:sz="12" w:space="0" w:color="auto"/>
              <w:right w:val="single" w:sz="12" w:space="0" w:color="auto"/>
            </w:tcBorders>
          </w:tcPr>
          <w:p w14:paraId="22FF797F" w14:textId="77777777" w:rsidR="00C12FDF" w:rsidRPr="006453F1" w:rsidRDefault="00C12FDF" w:rsidP="006B2A7A">
            <w:pPr>
              <w:rPr>
                <w:bCs/>
                <w:sz w:val="16"/>
                <w:szCs w:val="16"/>
              </w:rPr>
            </w:pPr>
          </w:p>
        </w:tc>
        <w:tc>
          <w:tcPr>
            <w:tcW w:w="3232" w:type="dxa"/>
            <w:tcBorders>
              <w:top w:val="single" w:sz="12" w:space="0" w:color="auto"/>
              <w:left w:val="single" w:sz="12" w:space="0" w:color="auto"/>
              <w:bottom w:val="single" w:sz="12" w:space="0" w:color="auto"/>
            </w:tcBorders>
          </w:tcPr>
          <w:p w14:paraId="3DE4B4A9" w14:textId="77777777" w:rsidR="00C12FDF" w:rsidRPr="00506E4C" w:rsidRDefault="00C12FDF" w:rsidP="006B2A7A">
            <w:pPr>
              <w:jc w:val="center"/>
              <w:rPr>
                <w:b/>
                <w:sz w:val="22"/>
                <w:szCs w:val="22"/>
              </w:rPr>
            </w:pPr>
            <w:r>
              <w:rPr>
                <w:b/>
                <w:sz w:val="22"/>
                <w:szCs w:val="22"/>
              </w:rPr>
              <w:t>Lagged Back One Month</w:t>
            </w:r>
          </w:p>
          <w:p w14:paraId="09F381BA" w14:textId="77777777" w:rsidR="00C12FDF" w:rsidRPr="00506E4C" w:rsidRDefault="00C12FDF" w:rsidP="006B2A7A">
            <w:pPr>
              <w:jc w:val="center"/>
              <w:rPr>
                <w:bCs/>
                <w:sz w:val="22"/>
                <w:szCs w:val="22"/>
              </w:rPr>
            </w:pPr>
            <w:r>
              <w:rPr>
                <w:bCs/>
                <w:sz w:val="22"/>
                <w:szCs w:val="22"/>
              </w:rPr>
              <w:t>R</w:t>
            </w:r>
            <w:r w:rsidRPr="00506E4C">
              <w:rPr>
                <w:bCs/>
                <w:sz w:val="22"/>
                <w:szCs w:val="22"/>
              </w:rPr>
              <w:t>R (95% CI)</w:t>
            </w:r>
          </w:p>
        </w:tc>
        <w:tc>
          <w:tcPr>
            <w:tcW w:w="3233" w:type="dxa"/>
            <w:tcBorders>
              <w:top w:val="single" w:sz="12" w:space="0" w:color="auto"/>
              <w:bottom w:val="single" w:sz="12" w:space="0" w:color="auto"/>
            </w:tcBorders>
          </w:tcPr>
          <w:p w14:paraId="5DC4773D" w14:textId="77777777" w:rsidR="00C12FDF" w:rsidRPr="00506E4C" w:rsidRDefault="00C12FDF" w:rsidP="006B2A7A">
            <w:pPr>
              <w:jc w:val="center"/>
              <w:rPr>
                <w:b/>
                <w:sz w:val="22"/>
                <w:szCs w:val="22"/>
              </w:rPr>
            </w:pPr>
            <w:r>
              <w:rPr>
                <w:b/>
                <w:sz w:val="22"/>
                <w:szCs w:val="22"/>
              </w:rPr>
              <w:t>No Lag</w:t>
            </w:r>
          </w:p>
          <w:p w14:paraId="551F419D" w14:textId="77777777" w:rsidR="00C12FDF" w:rsidRPr="00506E4C" w:rsidRDefault="00C12FDF" w:rsidP="006B2A7A">
            <w:pPr>
              <w:jc w:val="center"/>
              <w:rPr>
                <w:bCs/>
                <w:sz w:val="22"/>
                <w:szCs w:val="22"/>
              </w:rPr>
            </w:pPr>
            <w:r>
              <w:rPr>
                <w:bCs/>
                <w:sz w:val="22"/>
                <w:szCs w:val="22"/>
              </w:rPr>
              <w:t>R</w:t>
            </w:r>
            <w:r w:rsidRPr="00506E4C">
              <w:rPr>
                <w:bCs/>
                <w:sz w:val="22"/>
                <w:szCs w:val="22"/>
              </w:rPr>
              <w:t>R (95% CI)</w:t>
            </w:r>
          </w:p>
        </w:tc>
        <w:tc>
          <w:tcPr>
            <w:tcW w:w="3233" w:type="dxa"/>
            <w:tcBorders>
              <w:top w:val="single" w:sz="12" w:space="0" w:color="auto"/>
              <w:bottom w:val="single" w:sz="12" w:space="0" w:color="auto"/>
              <w:right w:val="single" w:sz="12" w:space="0" w:color="auto"/>
            </w:tcBorders>
          </w:tcPr>
          <w:p w14:paraId="2B2517CD" w14:textId="77777777" w:rsidR="00C12FDF" w:rsidRPr="00506E4C" w:rsidRDefault="00C12FDF" w:rsidP="006B2A7A">
            <w:pPr>
              <w:jc w:val="center"/>
              <w:rPr>
                <w:b/>
                <w:sz w:val="22"/>
                <w:szCs w:val="22"/>
              </w:rPr>
            </w:pPr>
            <w:r>
              <w:rPr>
                <w:b/>
                <w:sz w:val="22"/>
                <w:szCs w:val="22"/>
              </w:rPr>
              <w:t>Lagged Forward One Month</w:t>
            </w:r>
          </w:p>
          <w:p w14:paraId="490EDF4D" w14:textId="77777777" w:rsidR="00C12FDF" w:rsidRPr="00506E4C" w:rsidRDefault="00C12FDF" w:rsidP="006B2A7A">
            <w:pPr>
              <w:jc w:val="center"/>
              <w:rPr>
                <w:bCs/>
                <w:sz w:val="22"/>
                <w:szCs w:val="22"/>
              </w:rPr>
            </w:pPr>
            <w:r>
              <w:rPr>
                <w:bCs/>
                <w:sz w:val="22"/>
                <w:szCs w:val="22"/>
              </w:rPr>
              <w:t>R</w:t>
            </w:r>
            <w:r w:rsidRPr="00506E4C">
              <w:rPr>
                <w:bCs/>
                <w:sz w:val="22"/>
                <w:szCs w:val="22"/>
              </w:rPr>
              <w:t>R (95% CI)</w:t>
            </w:r>
          </w:p>
        </w:tc>
      </w:tr>
      <w:tr w:rsidR="00C12FDF" w:rsidRPr="006453F1" w14:paraId="1180D82E" w14:textId="77777777" w:rsidTr="006B2A7A">
        <w:trPr>
          <w:trHeight w:val="386"/>
        </w:trPr>
        <w:tc>
          <w:tcPr>
            <w:tcW w:w="3232" w:type="dxa"/>
            <w:tcBorders>
              <w:top w:val="single" w:sz="12" w:space="0" w:color="auto"/>
              <w:left w:val="single" w:sz="12" w:space="0" w:color="auto"/>
              <w:right w:val="single" w:sz="12" w:space="0" w:color="auto"/>
            </w:tcBorders>
            <w:vAlign w:val="center"/>
          </w:tcPr>
          <w:p w14:paraId="49019722" w14:textId="77777777" w:rsidR="00C12FDF" w:rsidRPr="00506E4C" w:rsidRDefault="00C12FDF" w:rsidP="006B2A7A">
            <w:pPr>
              <w:rPr>
                <w:b/>
                <w:sz w:val="22"/>
                <w:szCs w:val="22"/>
              </w:rPr>
            </w:pPr>
            <w:r w:rsidRPr="00506E4C">
              <w:rPr>
                <w:b/>
                <w:sz w:val="22"/>
                <w:szCs w:val="22"/>
              </w:rPr>
              <w:t xml:space="preserve">Outpatient Visits </w:t>
            </w:r>
            <w:r>
              <w:rPr>
                <w:b/>
                <w:sz w:val="22"/>
                <w:szCs w:val="22"/>
                <w:vertAlign w:val="superscript"/>
              </w:rPr>
              <w:t>5</w:t>
            </w:r>
          </w:p>
        </w:tc>
        <w:tc>
          <w:tcPr>
            <w:tcW w:w="3232" w:type="dxa"/>
            <w:tcBorders>
              <w:top w:val="single" w:sz="12" w:space="0" w:color="auto"/>
              <w:left w:val="single" w:sz="12" w:space="0" w:color="auto"/>
            </w:tcBorders>
            <w:vAlign w:val="center"/>
          </w:tcPr>
          <w:p w14:paraId="5D0FC83E" w14:textId="77777777" w:rsidR="00C12FDF" w:rsidRPr="00506E4C" w:rsidRDefault="00C12FDF" w:rsidP="006B2A7A">
            <w:pPr>
              <w:jc w:val="center"/>
              <w:rPr>
                <w:bCs/>
                <w:sz w:val="22"/>
                <w:szCs w:val="22"/>
              </w:rPr>
            </w:pPr>
            <w:r>
              <w:rPr>
                <w:bCs/>
                <w:sz w:val="22"/>
                <w:szCs w:val="22"/>
              </w:rPr>
              <w:t>1.003 (0.997 – 1.009)</w:t>
            </w:r>
          </w:p>
        </w:tc>
        <w:tc>
          <w:tcPr>
            <w:tcW w:w="3233" w:type="dxa"/>
            <w:tcBorders>
              <w:top w:val="single" w:sz="12" w:space="0" w:color="auto"/>
            </w:tcBorders>
            <w:vAlign w:val="center"/>
          </w:tcPr>
          <w:p w14:paraId="4181EB02" w14:textId="77777777" w:rsidR="00C12FDF" w:rsidRPr="00506E4C" w:rsidRDefault="00C12FDF" w:rsidP="006B2A7A">
            <w:pPr>
              <w:jc w:val="center"/>
              <w:rPr>
                <w:bCs/>
                <w:sz w:val="22"/>
                <w:szCs w:val="22"/>
              </w:rPr>
            </w:pPr>
            <w:r w:rsidRPr="00506E4C">
              <w:rPr>
                <w:bCs/>
                <w:sz w:val="22"/>
                <w:szCs w:val="22"/>
              </w:rPr>
              <w:t>1</w:t>
            </w:r>
            <w:r>
              <w:rPr>
                <w:bCs/>
                <w:sz w:val="22"/>
                <w:szCs w:val="22"/>
              </w:rPr>
              <w:t>.</w:t>
            </w:r>
            <w:r w:rsidRPr="00506E4C">
              <w:rPr>
                <w:bCs/>
                <w:sz w:val="22"/>
                <w:szCs w:val="22"/>
              </w:rPr>
              <w:t>010 (1</w:t>
            </w:r>
            <w:r>
              <w:rPr>
                <w:bCs/>
                <w:sz w:val="22"/>
                <w:szCs w:val="22"/>
              </w:rPr>
              <w:t>.</w:t>
            </w:r>
            <w:r w:rsidRPr="00506E4C">
              <w:rPr>
                <w:bCs/>
                <w:sz w:val="22"/>
                <w:szCs w:val="22"/>
              </w:rPr>
              <w:t>005 – 1</w:t>
            </w:r>
            <w:r>
              <w:rPr>
                <w:bCs/>
                <w:sz w:val="22"/>
                <w:szCs w:val="22"/>
              </w:rPr>
              <w:t>.</w:t>
            </w:r>
            <w:r w:rsidRPr="00506E4C">
              <w:rPr>
                <w:bCs/>
                <w:sz w:val="22"/>
                <w:szCs w:val="22"/>
              </w:rPr>
              <w:t>015)</w:t>
            </w:r>
          </w:p>
        </w:tc>
        <w:tc>
          <w:tcPr>
            <w:tcW w:w="3233" w:type="dxa"/>
            <w:tcBorders>
              <w:top w:val="single" w:sz="12" w:space="0" w:color="auto"/>
              <w:right w:val="single" w:sz="12" w:space="0" w:color="auto"/>
            </w:tcBorders>
            <w:vAlign w:val="center"/>
          </w:tcPr>
          <w:p w14:paraId="30218890" w14:textId="77777777" w:rsidR="00C12FDF" w:rsidRPr="00506E4C" w:rsidRDefault="00C12FDF" w:rsidP="006B2A7A">
            <w:pPr>
              <w:jc w:val="center"/>
              <w:rPr>
                <w:bCs/>
                <w:sz w:val="22"/>
                <w:szCs w:val="22"/>
              </w:rPr>
            </w:pPr>
            <w:r>
              <w:rPr>
                <w:bCs/>
                <w:sz w:val="22"/>
                <w:szCs w:val="22"/>
              </w:rPr>
              <w:t>0.990 (0.985 – 0.995)</w:t>
            </w:r>
          </w:p>
        </w:tc>
      </w:tr>
      <w:tr w:rsidR="00C12FDF" w:rsidRPr="006453F1" w14:paraId="4731E995" w14:textId="77777777" w:rsidTr="006B2A7A">
        <w:trPr>
          <w:trHeight w:val="350"/>
        </w:trPr>
        <w:tc>
          <w:tcPr>
            <w:tcW w:w="3232" w:type="dxa"/>
            <w:tcBorders>
              <w:left w:val="single" w:sz="12" w:space="0" w:color="auto"/>
              <w:right w:val="single" w:sz="12" w:space="0" w:color="auto"/>
            </w:tcBorders>
            <w:vAlign w:val="center"/>
          </w:tcPr>
          <w:p w14:paraId="16F2045A" w14:textId="77777777" w:rsidR="00C12FDF" w:rsidRPr="00506E4C" w:rsidRDefault="00C12FDF" w:rsidP="006B2A7A">
            <w:pPr>
              <w:rPr>
                <w:b/>
                <w:sz w:val="22"/>
                <w:szCs w:val="22"/>
              </w:rPr>
            </w:pPr>
            <w:r w:rsidRPr="00506E4C">
              <w:rPr>
                <w:b/>
                <w:sz w:val="22"/>
                <w:szCs w:val="22"/>
              </w:rPr>
              <w:t>Emergency Visits</w:t>
            </w:r>
          </w:p>
        </w:tc>
        <w:tc>
          <w:tcPr>
            <w:tcW w:w="3232" w:type="dxa"/>
            <w:tcBorders>
              <w:left w:val="single" w:sz="12" w:space="0" w:color="auto"/>
            </w:tcBorders>
            <w:vAlign w:val="center"/>
          </w:tcPr>
          <w:p w14:paraId="5D9DA78B" w14:textId="77777777" w:rsidR="00C12FDF" w:rsidRPr="00506E4C" w:rsidRDefault="00C12FDF" w:rsidP="006B2A7A">
            <w:pPr>
              <w:jc w:val="center"/>
              <w:rPr>
                <w:bCs/>
                <w:sz w:val="22"/>
                <w:szCs w:val="22"/>
              </w:rPr>
            </w:pPr>
            <w:r>
              <w:rPr>
                <w:bCs/>
                <w:sz w:val="22"/>
                <w:szCs w:val="22"/>
              </w:rPr>
              <w:t>1.015 (0.994 – 1.037)</w:t>
            </w:r>
          </w:p>
        </w:tc>
        <w:tc>
          <w:tcPr>
            <w:tcW w:w="3233" w:type="dxa"/>
            <w:vAlign w:val="center"/>
          </w:tcPr>
          <w:p w14:paraId="043157D7" w14:textId="77777777" w:rsidR="00C12FDF" w:rsidRPr="00506E4C" w:rsidRDefault="00C12FDF" w:rsidP="006B2A7A">
            <w:pPr>
              <w:jc w:val="center"/>
              <w:rPr>
                <w:bCs/>
                <w:sz w:val="22"/>
                <w:szCs w:val="22"/>
              </w:rPr>
            </w:pPr>
            <w:r w:rsidRPr="00506E4C">
              <w:rPr>
                <w:bCs/>
                <w:sz w:val="22"/>
                <w:szCs w:val="22"/>
              </w:rPr>
              <w:t>1.03</w:t>
            </w:r>
            <w:r>
              <w:rPr>
                <w:bCs/>
                <w:sz w:val="22"/>
                <w:szCs w:val="22"/>
              </w:rPr>
              <w:t xml:space="preserve">2 </w:t>
            </w:r>
            <w:r w:rsidRPr="00506E4C">
              <w:rPr>
                <w:bCs/>
                <w:sz w:val="22"/>
                <w:szCs w:val="22"/>
              </w:rPr>
              <w:t>(1</w:t>
            </w:r>
            <w:r>
              <w:rPr>
                <w:bCs/>
                <w:sz w:val="22"/>
                <w:szCs w:val="22"/>
              </w:rPr>
              <w:t>.</w:t>
            </w:r>
            <w:r w:rsidRPr="00506E4C">
              <w:rPr>
                <w:bCs/>
                <w:sz w:val="22"/>
                <w:szCs w:val="22"/>
              </w:rPr>
              <w:t>0</w:t>
            </w:r>
            <w:r>
              <w:rPr>
                <w:bCs/>
                <w:sz w:val="22"/>
                <w:szCs w:val="22"/>
              </w:rPr>
              <w:t>10</w:t>
            </w:r>
            <w:r w:rsidRPr="00506E4C">
              <w:rPr>
                <w:bCs/>
                <w:sz w:val="22"/>
                <w:szCs w:val="22"/>
              </w:rPr>
              <w:t xml:space="preserve"> – 1</w:t>
            </w:r>
            <w:r>
              <w:rPr>
                <w:bCs/>
                <w:sz w:val="22"/>
                <w:szCs w:val="22"/>
              </w:rPr>
              <w:t>.</w:t>
            </w:r>
            <w:r w:rsidRPr="00506E4C">
              <w:rPr>
                <w:bCs/>
                <w:sz w:val="22"/>
                <w:szCs w:val="22"/>
              </w:rPr>
              <w:t>0</w:t>
            </w:r>
            <w:r>
              <w:rPr>
                <w:bCs/>
                <w:sz w:val="22"/>
                <w:szCs w:val="22"/>
              </w:rPr>
              <w:t>54</w:t>
            </w:r>
            <w:r w:rsidRPr="00506E4C">
              <w:rPr>
                <w:bCs/>
                <w:sz w:val="22"/>
                <w:szCs w:val="22"/>
              </w:rPr>
              <w:t>)</w:t>
            </w:r>
          </w:p>
        </w:tc>
        <w:tc>
          <w:tcPr>
            <w:tcW w:w="3233" w:type="dxa"/>
            <w:tcBorders>
              <w:right w:val="single" w:sz="12" w:space="0" w:color="auto"/>
            </w:tcBorders>
            <w:vAlign w:val="center"/>
          </w:tcPr>
          <w:p w14:paraId="74038C7F" w14:textId="77777777" w:rsidR="00C12FDF" w:rsidRPr="00506E4C" w:rsidRDefault="00C12FDF" w:rsidP="006B2A7A">
            <w:pPr>
              <w:jc w:val="center"/>
              <w:rPr>
                <w:bCs/>
                <w:sz w:val="22"/>
                <w:szCs w:val="22"/>
              </w:rPr>
            </w:pPr>
            <w:r>
              <w:rPr>
                <w:bCs/>
                <w:sz w:val="22"/>
                <w:szCs w:val="22"/>
              </w:rPr>
              <w:t>1.000 (0.981 – 1.020)</w:t>
            </w:r>
          </w:p>
        </w:tc>
      </w:tr>
      <w:tr w:rsidR="00C12FDF" w:rsidRPr="006453F1" w14:paraId="06F5605F" w14:textId="77777777" w:rsidTr="006B2A7A">
        <w:trPr>
          <w:trHeight w:val="359"/>
        </w:trPr>
        <w:tc>
          <w:tcPr>
            <w:tcW w:w="3232" w:type="dxa"/>
            <w:tcBorders>
              <w:left w:val="single" w:sz="12" w:space="0" w:color="auto"/>
              <w:bottom w:val="single" w:sz="12" w:space="0" w:color="auto"/>
              <w:right w:val="single" w:sz="12" w:space="0" w:color="auto"/>
            </w:tcBorders>
            <w:vAlign w:val="center"/>
          </w:tcPr>
          <w:p w14:paraId="60DAE64C" w14:textId="77777777" w:rsidR="00C12FDF" w:rsidRPr="00506E4C" w:rsidRDefault="00C12FDF" w:rsidP="006B2A7A">
            <w:pPr>
              <w:rPr>
                <w:b/>
                <w:sz w:val="22"/>
                <w:szCs w:val="22"/>
              </w:rPr>
            </w:pPr>
            <w:r w:rsidRPr="00506E4C">
              <w:rPr>
                <w:b/>
                <w:sz w:val="22"/>
                <w:szCs w:val="22"/>
              </w:rPr>
              <w:t>Inpatient Visits</w:t>
            </w:r>
          </w:p>
        </w:tc>
        <w:tc>
          <w:tcPr>
            <w:tcW w:w="3232" w:type="dxa"/>
            <w:tcBorders>
              <w:left w:val="single" w:sz="12" w:space="0" w:color="auto"/>
              <w:bottom w:val="single" w:sz="12" w:space="0" w:color="auto"/>
            </w:tcBorders>
            <w:vAlign w:val="center"/>
          </w:tcPr>
          <w:p w14:paraId="48C1E466" w14:textId="77777777" w:rsidR="00C12FDF" w:rsidRPr="00506E4C" w:rsidRDefault="00C12FDF" w:rsidP="006B2A7A">
            <w:pPr>
              <w:jc w:val="center"/>
              <w:rPr>
                <w:bCs/>
                <w:sz w:val="22"/>
                <w:szCs w:val="22"/>
              </w:rPr>
            </w:pPr>
            <w:r>
              <w:rPr>
                <w:bCs/>
                <w:sz w:val="22"/>
                <w:szCs w:val="22"/>
              </w:rPr>
              <w:t>1.028 (1.010 – 1.047)</w:t>
            </w:r>
          </w:p>
        </w:tc>
        <w:tc>
          <w:tcPr>
            <w:tcW w:w="3233" w:type="dxa"/>
            <w:tcBorders>
              <w:bottom w:val="single" w:sz="12" w:space="0" w:color="auto"/>
            </w:tcBorders>
            <w:vAlign w:val="center"/>
          </w:tcPr>
          <w:p w14:paraId="51640162" w14:textId="77777777" w:rsidR="00C12FDF" w:rsidRPr="00506E4C" w:rsidRDefault="00C12FDF" w:rsidP="006B2A7A">
            <w:pPr>
              <w:jc w:val="center"/>
              <w:rPr>
                <w:bCs/>
                <w:sz w:val="22"/>
                <w:szCs w:val="22"/>
              </w:rPr>
            </w:pPr>
            <w:r w:rsidRPr="00506E4C">
              <w:rPr>
                <w:bCs/>
                <w:sz w:val="22"/>
                <w:szCs w:val="22"/>
              </w:rPr>
              <w:t>1.04</w:t>
            </w:r>
            <w:r>
              <w:rPr>
                <w:bCs/>
                <w:sz w:val="22"/>
                <w:szCs w:val="22"/>
              </w:rPr>
              <w:t>3</w:t>
            </w:r>
            <w:r w:rsidRPr="00506E4C">
              <w:rPr>
                <w:bCs/>
                <w:sz w:val="22"/>
                <w:szCs w:val="22"/>
              </w:rPr>
              <w:t xml:space="preserve"> (1</w:t>
            </w:r>
            <w:r>
              <w:rPr>
                <w:bCs/>
                <w:sz w:val="22"/>
                <w:szCs w:val="22"/>
              </w:rPr>
              <w:t>.</w:t>
            </w:r>
            <w:r w:rsidRPr="00506E4C">
              <w:rPr>
                <w:bCs/>
                <w:sz w:val="22"/>
                <w:szCs w:val="22"/>
              </w:rPr>
              <w:t>0</w:t>
            </w:r>
            <w:r>
              <w:rPr>
                <w:bCs/>
                <w:sz w:val="22"/>
                <w:szCs w:val="22"/>
              </w:rPr>
              <w:t>25</w:t>
            </w:r>
            <w:r w:rsidRPr="00506E4C">
              <w:rPr>
                <w:bCs/>
                <w:sz w:val="22"/>
                <w:szCs w:val="22"/>
              </w:rPr>
              <w:t xml:space="preserve"> – 1</w:t>
            </w:r>
            <w:r>
              <w:rPr>
                <w:bCs/>
                <w:sz w:val="22"/>
                <w:szCs w:val="22"/>
              </w:rPr>
              <w:t>.</w:t>
            </w:r>
            <w:r w:rsidRPr="00506E4C">
              <w:rPr>
                <w:bCs/>
                <w:sz w:val="22"/>
                <w:szCs w:val="22"/>
              </w:rPr>
              <w:t>0</w:t>
            </w:r>
            <w:r>
              <w:rPr>
                <w:bCs/>
                <w:sz w:val="22"/>
                <w:szCs w:val="22"/>
              </w:rPr>
              <w:t>62</w:t>
            </w:r>
            <w:r w:rsidRPr="00506E4C">
              <w:rPr>
                <w:bCs/>
                <w:sz w:val="22"/>
                <w:szCs w:val="22"/>
              </w:rPr>
              <w:t>)</w:t>
            </w:r>
          </w:p>
        </w:tc>
        <w:tc>
          <w:tcPr>
            <w:tcW w:w="3233" w:type="dxa"/>
            <w:tcBorders>
              <w:bottom w:val="single" w:sz="12" w:space="0" w:color="auto"/>
              <w:right w:val="single" w:sz="12" w:space="0" w:color="auto"/>
            </w:tcBorders>
            <w:vAlign w:val="center"/>
          </w:tcPr>
          <w:p w14:paraId="0495EEC3" w14:textId="77777777" w:rsidR="00C12FDF" w:rsidRPr="00506E4C" w:rsidRDefault="00C12FDF" w:rsidP="006B2A7A">
            <w:pPr>
              <w:jc w:val="center"/>
              <w:rPr>
                <w:bCs/>
                <w:sz w:val="22"/>
                <w:szCs w:val="22"/>
              </w:rPr>
            </w:pPr>
            <w:r>
              <w:rPr>
                <w:bCs/>
                <w:sz w:val="22"/>
                <w:szCs w:val="22"/>
              </w:rPr>
              <w:t>1.012 (0.994 – 1.030)</w:t>
            </w:r>
          </w:p>
        </w:tc>
      </w:tr>
    </w:tbl>
    <w:p w14:paraId="0E7ED277" w14:textId="77777777" w:rsidR="00C12FDF" w:rsidRPr="006453F1" w:rsidRDefault="00C12FDF" w:rsidP="00C12FDF">
      <w:pPr>
        <w:rPr>
          <w:bCs/>
          <w:sz w:val="4"/>
          <w:szCs w:val="4"/>
        </w:rPr>
      </w:pPr>
    </w:p>
    <w:p w14:paraId="325CCA51" w14:textId="77777777" w:rsidR="00C12FDF" w:rsidRPr="002E0527" w:rsidRDefault="00C12FDF" w:rsidP="00C12FDF">
      <w:pPr>
        <w:rPr>
          <w:bCs/>
          <w:sz w:val="4"/>
          <w:szCs w:val="4"/>
        </w:rPr>
      </w:pPr>
    </w:p>
    <w:p w14:paraId="2CCA49E9" w14:textId="77777777" w:rsidR="00C12FDF" w:rsidRDefault="00C12FDF" w:rsidP="00C12FDF">
      <w:pPr>
        <w:pStyle w:val="ListParagraph"/>
        <w:numPr>
          <w:ilvl w:val="0"/>
          <w:numId w:val="1"/>
        </w:numPr>
        <w:ind w:left="360"/>
        <w:rPr>
          <w:bCs/>
          <w:sz w:val="18"/>
          <w:szCs w:val="18"/>
        </w:rPr>
      </w:pPr>
      <w:r w:rsidRPr="00014D70">
        <w:rPr>
          <w:bCs/>
          <w:sz w:val="18"/>
          <w:szCs w:val="18"/>
        </w:rPr>
        <w:t>We defined anomalously warm weather as any month in which the average temperature was at least 1·5˚C above the long-term average for that month and county</w:t>
      </w:r>
      <w:r>
        <w:rPr>
          <w:bCs/>
          <w:sz w:val="18"/>
          <w:szCs w:val="18"/>
        </w:rPr>
        <w:t xml:space="preserve">. </w:t>
      </w:r>
    </w:p>
    <w:p w14:paraId="67824A3B" w14:textId="77777777" w:rsidR="00C12FDF" w:rsidRDefault="00C12FDF" w:rsidP="00C12FDF">
      <w:pPr>
        <w:pStyle w:val="ListParagraph"/>
        <w:numPr>
          <w:ilvl w:val="0"/>
          <w:numId w:val="1"/>
        </w:numPr>
        <w:ind w:left="360"/>
        <w:rPr>
          <w:bCs/>
          <w:sz w:val="18"/>
          <w:szCs w:val="18"/>
        </w:rPr>
      </w:pPr>
      <w:r>
        <w:rPr>
          <w:bCs/>
          <w:sz w:val="18"/>
          <w:szCs w:val="18"/>
        </w:rPr>
        <w:t xml:space="preserve">We created two alternative versions of the exposure metric that corresponds to whether there was an anomalously during the previous month (“lagged back”) and whether there was an anomaly one month in the future (“lagged forward”). </w:t>
      </w:r>
    </w:p>
    <w:p w14:paraId="0C66AA6E" w14:textId="77777777" w:rsidR="00C12FDF" w:rsidRPr="002101E8" w:rsidRDefault="00C12FDF" w:rsidP="00C12FDF">
      <w:pPr>
        <w:pStyle w:val="ListParagraph"/>
        <w:numPr>
          <w:ilvl w:val="0"/>
          <w:numId w:val="1"/>
        </w:numPr>
        <w:ind w:left="360"/>
        <w:rPr>
          <w:b/>
          <w:sz w:val="18"/>
          <w:szCs w:val="18"/>
        </w:rPr>
      </w:pPr>
      <w:r w:rsidRPr="002101E8">
        <w:rPr>
          <w:bCs/>
          <w:sz w:val="18"/>
          <w:szCs w:val="18"/>
        </w:rPr>
        <w:t xml:space="preserve">We defined </w:t>
      </w:r>
      <w:r>
        <w:rPr>
          <w:bCs/>
          <w:sz w:val="18"/>
          <w:szCs w:val="18"/>
        </w:rPr>
        <w:t xml:space="preserve">visits unrelated to MS as any visit without diagnostic codes </w:t>
      </w:r>
      <w:r w:rsidRPr="002101E8">
        <w:rPr>
          <w:bCs/>
          <w:sz w:val="18"/>
          <w:szCs w:val="18"/>
        </w:rPr>
        <w:t xml:space="preserve">340 (ICD-9) and G35 (ICD-10) </w:t>
      </w:r>
      <w:r>
        <w:rPr>
          <w:bCs/>
          <w:sz w:val="18"/>
          <w:szCs w:val="18"/>
        </w:rPr>
        <w:t>in the first through 25</w:t>
      </w:r>
      <w:r w:rsidRPr="002101E8">
        <w:rPr>
          <w:bCs/>
          <w:sz w:val="18"/>
          <w:szCs w:val="18"/>
          <w:vertAlign w:val="superscript"/>
        </w:rPr>
        <w:t>th</w:t>
      </w:r>
      <w:r>
        <w:rPr>
          <w:bCs/>
          <w:sz w:val="18"/>
          <w:szCs w:val="18"/>
        </w:rPr>
        <w:t xml:space="preserve"> position. </w:t>
      </w:r>
    </w:p>
    <w:p w14:paraId="59A4EE23" w14:textId="77777777" w:rsidR="00C12FDF" w:rsidRPr="002101E8" w:rsidRDefault="00C12FDF" w:rsidP="00C12FDF">
      <w:pPr>
        <w:pStyle w:val="ListParagraph"/>
        <w:numPr>
          <w:ilvl w:val="0"/>
          <w:numId w:val="1"/>
        </w:numPr>
        <w:ind w:left="360"/>
        <w:rPr>
          <w:b/>
          <w:sz w:val="18"/>
          <w:szCs w:val="18"/>
        </w:rPr>
      </w:pPr>
      <w:r>
        <w:rPr>
          <w:bCs/>
          <w:sz w:val="18"/>
          <w:szCs w:val="18"/>
        </w:rPr>
        <w:t>Log-linear models failed to converge for this analysis, therefore w</w:t>
      </w:r>
      <w:r w:rsidRPr="002101E8">
        <w:rPr>
          <w:bCs/>
          <w:sz w:val="18"/>
          <w:szCs w:val="18"/>
        </w:rPr>
        <w:t>e used generalized linear models with the binomial family and log</w:t>
      </w:r>
      <w:r>
        <w:rPr>
          <w:bCs/>
          <w:sz w:val="18"/>
          <w:szCs w:val="18"/>
        </w:rPr>
        <w:t>it link</w:t>
      </w:r>
      <w:r w:rsidRPr="002101E8">
        <w:rPr>
          <w:bCs/>
          <w:sz w:val="18"/>
          <w:szCs w:val="18"/>
        </w:rPr>
        <w:t xml:space="preserve"> specified to estimate </w:t>
      </w:r>
      <w:r>
        <w:rPr>
          <w:bCs/>
          <w:sz w:val="18"/>
          <w:szCs w:val="18"/>
        </w:rPr>
        <w:t>odds ratios</w:t>
      </w:r>
      <w:r w:rsidRPr="002101E8">
        <w:rPr>
          <w:bCs/>
          <w:sz w:val="18"/>
          <w:szCs w:val="18"/>
        </w:rPr>
        <w:t xml:space="preserve">. All models included controls categorical sex (male, female), continuous age defined by natural splines with three degrees of freedom, and a set of indicator variables for state and calendar year. We calculated robust-standard errors to account for potential non-independence of outcomes within individuals over time and within counties.    </w:t>
      </w:r>
    </w:p>
    <w:p w14:paraId="2750AD0D" w14:textId="77777777" w:rsidR="00C12FDF" w:rsidRDefault="00C12FDF" w:rsidP="00C12FDF">
      <w:pPr>
        <w:pStyle w:val="ListParagraph"/>
        <w:numPr>
          <w:ilvl w:val="0"/>
          <w:numId w:val="1"/>
        </w:numPr>
        <w:ind w:left="360"/>
        <w:rPr>
          <w:bCs/>
          <w:sz w:val="18"/>
          <w:szCs w:val="18"/>
        </w:rPr>
      </w:pPr>
      <w:r w:rsidRPr="00594722">
        <w:rPr>
          <w:bCs/>
          <w:sz w:val="18"/>
          <w:szCs w:val="18"/>
        </w:rPr>
        <w:t>Included visits to medical offices, outpatient hospitals, urgent care facilities, independent clinics, walk-in retail health clinics, and state or local public health clinics.</w:t>
      </w:r>
    </w:p>
    <w:p w14:paraId="43B2A34F" w14:textId="77777777" w:rsidR="00E83C43" w:rsidRDefault="00C12FDF"/>
    <w:sectPr w:rsidR="00E83C43" w:rsidSect="00C12F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A294A"/>
    <w:multiLevelType w:val="hybridMultilevel"/>
    <w:tmpl w:val="BEAA379A"/>
    <w:lvl w:ilvl="0" w:tplc="A0F8C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DF"/>
    <w:rsid w:val="00044C7E"/>
    <w:rsid w:val="000569FD"/>
    <w:rsid w:val="00063154"/>
    <w:rsid w:val="00087423"/>
    <w:rsid w:val="00106A7E"/>
    <w:rsid w:val="001537B8"/>
    <w:rsid w:val="00165E6F"/>
    <w:rsid w:val="00187703"/>
    <w:rsid w:val="001A27D6"/>
    <w:rsid w:val="001B135F"/>
    <w:rsid w:val="001C530A"/>
    <w:rsid w:val="00226738"/>
    <w:rsid w:val="00230F1C"/>
    <w:rsid w:val="00241EF3"/>
    <w:rsid w:val="00261771"/>
    <w:rsid w:val="002F0922"/>
    <w:rsid w:val="00355281"/>
    <w:rsid w:val="003F4B4E"/>
    <w:rsid w:val="003F5E8E"/>
    <w:rsid w:val="00430472"/>
    <w:rsid w:val="00471B9A"/>
    <w:rsid w:val="00483EF6"/>
    <w:rsid w:val="004B2E16"/>
    <w:rsid w:val="005334B4"/>
    <w:rsid w:val="005A65A4"/>
    <w:rsid w:val="005B02E7"/>
    <w:rsid w:val="005C7402"/>
    <w:rsid w:val="0060313E"/>
    <w:rsid w:val="00610E6D"/>
    <w:rsid w:val="006B3C77"/>
    <w:rsid w:val="006E6208"/>
    <w:rsid w:val="007651A6"/>
    <w:rsid w:val="007F7157"/>
    <w:rsid w:val="008C2A26"/>
    <w:rsid w:val="008F1C82"/>
    <w:rsid w:val="00905466"/>
    <w:rsid w:val="00937500"/>
    <w:rsid w:val="00951BA8"/>
    <w:rsid w:val="00965A81"/>
    <w:rsid w:val="009831AA"/>
    <w:rsid w:val="009D635C"/>
    <w:rsid w:val="00A43736"/>
    <w:rsid w:val="00AA5FF6"/>
    <w:rsid w:val="00AB2D71"/>
    <w:rsid w:val="00AF3381"/>
    <w:rsid w:val="00B8546B"/>
    <w:rsid w:val="00BE11B4"/>
    <w:rsid w:val="00BF2F7D"/>
    <w:rsid w:val="00BF449B"/>
    <w:rsid w:val="00C01FFF"/>
    <w:rsid w:val="00C05F33"/>
    <w:rsid w:val="00C12FDF"/>
    <w:rsid w:val="00C71C6C"/>
    <w:rsid w:val="00CC0143"/>
    <w:rsid w:val="00CD153B"/>
    <w:rsid w:val="00CF0695"/>
    <w:rsid w:val="00D453F7"/>
    <w:rsid w:val="00D75578"/>
    <w:rsid w:val="00DC60E4"/>
    <w:rsid w:val="00E1187D"/>
    <w:rsid w:val="00E27DEA"/>
    <w:rsid w:val="00E41D8C"/>
    <w:rsid w:val="00E93CFF"/>
    <w:rsid w:val="00F2371A"/>
    <w:rsid w:val="00F26C19"/>
    <w:rsid w:val="00FA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77841"/>
  <w15:chartTrackingRefBased/>
  <w15:docId w15:val="{86AB0AEC-519A-DA45-8F44-61FCA126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 Elser</dc:creator>
  <cp:keywords/>
  <dc:description/>
  <cp:lastModifiedBy>Holly C Elser</cp:lastModifiedBy>
  <cp:revision>1</cp:revision>
  <dcterms:created xsi:type="dcterms:W3CDTF">2021-03-14T00:50:00Z</dcterms:created>
  <dcterms:modified xsi:type="dcterms:W3CDTF">2021-03-14T00:51:00Z</dcterms:modified>
</cp:coreProperties>
</file>