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D9ADD" w14:textId="77777777" w:rsidR="0080541E" w:rsidRPr="00B157D2" w:rsidRDefault="0080541E">
      <w:pPr>
        <w:pStyle w:val="NoteHeading"/>
        <w:keepNext/>
        <w:jc w:val="center"/>
        <w:rPr>
          <w:b/>
        </w:rPr>
      </w:pPr>
      <w:bookmarkStart w:id="0" w:name="_GoBack"/>
      <w:bookmarkEnd w:id="0"/>
      <w:r w:rsidRPr="00B157D2">
        <w:rPr>
          <w:b/>
        </w:rPr>
        <w:t>Before the</w:t>
      </w:r>
    </w:p>
    <w:p w14:paraId="194AFFA2" w14:textId="77777777" w:rsidR="0080541E" w:rsidRPr="00B157D2" w:rsidRDefault="0080541E">
      <w:pPr>
        <w:pStyle w:val="NoteHeading"/>
        <w:keepNext/>
        <w:jc w:val="center"/>
        <w:rPr>
          <w:b/>
        </w:rPr>
      </w:pPr>
      <w:r w:rsidRPr="00B157D2">
        <w:rPr>
          <w:b/>
        </w:rPr>
        <w:t>Federal Communications Commission</w:t>
      </w:r>
    </w:p>
    <w:p w14:paraId="6D3D9A2E" w14:textId="77777777" w:rsidR="0080541E" w:rsidRPr="00B157D2" w:rsidRDefault="0080541E">
      <w:pPr>
        <w:pStyle w:val="NoteHeading"/>
        <w:keepNext/>
        <w:jc w:val="center"/>
        <w:rPr>
          <w:b/>
        </w:rPr>
      </w:pPr>
      <w:r w:rsidRPr="00B157D2">
        <w:rPr>
          <w:b/>
        </w:rPr>
        <w:t>Washington, D.C. 20554</w:t>
      </w:r>
    </w:p>
    <w:p w14:paraId="6F50B69E" w14:textId="77777777" w:rsidR="0080541E" w:rsidRPr="00B157D2" w:rsidRDefault="0080541E">
      <w:pPr>
        <w:keepNext/>
      </w:pPr>
    </w:p>
    <w:tbl>
      <w:tblPr>
        <w:tblW w:w="0" w:type="auto"/>
        <w:tblLayout w:type="fixed"/>
        <w:tblLook w:val="0000" w:firstRow="0" w:lastRow="0" w:firstColumn="0" w:lastColumn="0" w:noHBand="0" w:noVBand="0"/>
      </w:tblPr>
      <w:tblGrid>
        <w:gridCol w:w="4698"/>
        <w:gridCol w:w="720"/>
        <w:gridCol w:w="4230"/>
      </w:tblGrid>
      <w:tr w:rsidR="00CD5B6A" w:rsidRPr="00B157D2" w14:paraId="0295468B" w14:textId="77777777" w:rsidTr="008609AD">
        <w:tc>
          <w:tcPr>
            <w:tcW w:w="4698" w:type="dxa"/>
          </w:tcPr>
          <w:p w14:paraId="067AB86C" w14:textId="77777777" w:rsidR="00CD5B6A" w:rsidRPr="00B157D2" w:rsidRDefault="00CD5B6A" w:rsidP="00CD5B6A">
            <w:pPr>
              <w:keepNext/>
            </w:pPr>
            <w:r w:rsidRPr="00B157D2">
              <w:t>In the Matter of</w:t>
            </w:r>
          </w:p>
          <w:p w14:paraId="2D01C5CD" w14:textId="77777777" w:rsidR="00CD5B6A" w:rsidRPr="00B157D2" w:rsidRDefault="00CD5B6A" w:rsidP="00CD5B6A">
            <w:pPr>
              <w:keepNext/>
            </w:pPr>
          </w:p>
          <w:p w14:paraId="380E16A6" w14:textId="77777777" w:rsidR="00CD5B6A" w:rsidRPr="00B157D2" w:rsidRDefault="00CD5B6A" w:rsidP="00CD5B6A">
            <w:pPr>
              <w:keepNext/>
            </w:pPr>
            <w:r w:rsidRPr="00B157D2">
              <w:t>Telecommunications Relay Services and Speech-to-Speech Services for Individuals with Hearing and Speech Disabilities</w:t>
            </w:r>
          </w:p>
          <w:p w14:paraId="0F87BB98" w14:textId="77777777" w:rsidR="00CD5B6A" w:rsidRPr="00B157D2" w:rsidRDefault="00CD5B6A" w:rsidP="00CD5B6A">
            <w:pPr>
              <w:keepNext/>
            </w:pPr>
          </w:p>
          <w:p w14:paraId="65346F2A" w14:textId="77777777" w:rsidR="00CD5B6A" w:rsidRPr="00B157D2" w:rsidRDefault="00CD5B6A" w:rsidP="00CD5B6A">
            <w:pPr>
              <w:keepNext/>
            </w:pPr>
            <w:r w:rsidRPr="00B157D2">
              <w:t>Structure and Practices of the Video Relay Service Program</w:t>
            </w:r>
          </w:p>
          <w:p w14:paraId="279979E6" w14:textId="77777777" w:rsidR="00CD5B6A" w:rsidRPr="00B157D2" w:rsidRDefault="00CD5B6A" w:rsidP="00CD5B6A">
            <w:pPr>
              <w:keepNext/>
            </w:pPr>
          </w:p>
          <w:p w14:paraId="45E625A6" w14:textId="77777777" w:rsidR="00CD5B6A" w:rsidRPr="00B157D2" w:rsidRDefault="00CD5B6A" w:rsidP="00CD5B6A">
            <w:pPr>
              <w:keepNext/>
            </w:pPr>
          </w:p>
        </w:tc>
        <w:tc>
          <w:tcPr>
            <w:tcW w:w="720" w:type="dxa"/>
          </w:tcPr>
          <w:p w14:paraId="293F3AE1" w14:textId="77777777" w:rsidR="00CD5B6A" w:rsidRPr="00B157D2" w:rsidRDefault="00CD5B6A" w:rsidP="00CD5B6A">
            <w:pPr>
              <w:keepNext/>
              <w:rPr>
                <w:b/>
              </w:rPr>
            </w:pPr>
            <w:r w:rsidRPr="00B157D2">
              <w:rPr>
                <w:b/>
              </w:rPr>
              <w:t>)</w:t>
            </w:r>
          </w:p>
          <w:p w14:paraId="79C2A0F4" w14:textId="77777777" w:rsidR="00CD5B6A" w:rsidRPr="00B157D2" w:rsidRDefault="00CD5B6A" w:rsidP="00CD5B6A">
            <w:pPr>
              <w:keepNext/>
              <w:rPr>
                <w:b/>
              </w:rPr>
            </w:pPr>
            <w:r w:rsidRPr="00B157D2">
              <w:rPr>
                <w:b/>
              </w:rPr>
              <w:t>)</w:t>
            </w:r>
          </w:p>
          <w:p w14:paraId="3AA59AF7" w14:textId="77777777" w:rsidR="00CD5B6A" w:rsidRPr="00B157D2" w:rsidRDefault="00CD5B6A" w:rsidP="00CD5B6A">
            <w:pPr>
              <w:keepNext/>
              <w:rPr>
                <w:b/>
              </w:rPr>
            </w:pPr>
            <w:r w:rsidRPr="00B157D2">
              <w:rPr>
                <w:b/>
              </w:rPr>
              <w:t>)</w:t>
            </w:r>
          </w:p>
          <w:p w14:paraId="7E36C5FA" w14:textId="77777777" w:rsidR="00CD5B6A" w:rsidRPr="00B157D2" w:rsidRDefault="00CD5B6A" w:rsidP="00CD5B6A">
            <w:pPr>
              <w:keepNext/>
              <w:rPr>
                <w:b/>
              </w:rPr>
            </w:pPr>
            <w:r w:rsidRPr="00B157D2">
              <w:rPr>
                <w:b/>
              </w:rPr>
              <w:t>)</w:t>
            </w:r>
          </w:p>
          <w:p w14:paraId="1655F644" w14:textId="77777777" w:rsidR="00CD5B6A" w:rsidRPr="00B157D2" w:rsidRDefault="00CD5B6A" w:rsidP="00CD5B6A">
            <w:pPr>
              <w:keepNext/>
              <w:rPr>
                <w:b/>
              </w:rPr>
            </w:pPr>
            <w:r w:rsidRPr="00B157D2">
              <w:rPr>
                <w:b/>
              </w:rPr>
              <w:t>)</w:t>
            </w:r>
          </w:p>
          <w:p w14:paraId="7AD55EA6" w14:textId="77777777" w:rsidR="00CD5B6A" w:rsidRPr="00B157D2" w:rsidRDefault="00CD5B6A" w:rsidP="00CD5B6A">
            <w:pPr>
              <w:keepNext/>
              <w:rPr>
                <w:b/>
              </w:rPr>
            </w:pPr>
            <w:r w:rsidRPr="00B157D2">
              <w:rPr>
                <w:b/>
              </w:rPr>
              <w:t>)</w:t>
            </w:r>
          </w:p>
          <w:p w14:paraId="669CFF3D" w14:textId="77777777" w:rsidR="00CD5B6A" w:rsidRPr="00B157D2" w:rsidRDefault="00CD5B6A" w:rsidP="00CD5B6A">
            <w:pPr>
              <w:keepNext/>
              <w:rPr>
                <w:b/>
              </w:rPr>
            </w:pPr>
            <w:r w:rsidRPr="00B157D2">
              <w:rPr>
                <w:b/>
              </w:rPr>
              <w:t>)</w:t>
            </w:r>
            <w:r w:rsidRPr="00B157D2">
              <w:rPr>
                <w:b/>
              </w:rPr>
              <w:br/>
              <w:t>)</w:t>
            </w:r>
          </w:p>
          <w:p w14:paraId="2FF8A798" w14:textId="77777777" w:rsidR="00CD5B6A" w:rsidRPr="00B157D2" w:rsidRDefault="00CD5B6A" w:rsidP="00CD5B6A">
            <w:pPr>
              <w:keepNext/>
              <w:rPr>
                <w:b/>
              </w:rPr>
            </w:pPr>
            <w:r w:rsidRPr="00B157D2">
              <w:rPr>
                <w:b/>
              </w:rPr>
              <w:t>)</w:t>
            </w:r>
          </w:p>
        </w:tc>
        <w:tc>
          <w:tcPr>
            <w:tcW w:w="4230" w:type="dxa"/>
          </w:tcPr>
          <w:p w14:paraId="7142434A" w14:textId="77777777" w:rsidR="00CD5B6A" w:rsidRPr="00B157D2" w:rsidRDefault="00CD5B6A" w:rsidP="00CD5B6A">
            <w:pPr>
              <w:keepNext/>
            </w:pPr>
          </w:p>
          <w:p w14:paraId="161C5C41" w14:textId="77777777" w:rsidR="00CD5B6A" w:rsidRPr="00B157D2" w:rsidRDefault="00CD5B6A" w:rsidP="00CD5B6A">
            <w:pPr>
              <w:keepNext/>
            </w:pPr>
          </w:p>
          <w:p w14:paraId="590BF284" w14:textId="77777777" w:rsidR="00CD5B6A" w:rsidRPr="00B157D2" w:rsidRDefault="00CD5B6A" w:rsidP="00CD5B6A">
            <w:pPr>
              <w:keepNext/>
            </w:pPr>
            <w:r w:rsidRPr="00B157D2">
              <w:t>CG Docket No. 03-123</w:t>
            </w:r>
          </w:p>
          <w:p w14:paraId="3A63A80A" w14:textId="77777777" w:rsidR="00CD5B6A" w:rsidRPr="00B157D2" w:rsidRDefault="00CD5B6A" w:rsidP="00CD5B6A">
            <w:pPr>
              <w:keepNext/>
            </w:pPr>
          </w:p>
          <w:p w14:paraId="1C326BAA" w14:textId="77777777" w:rsidR="00CD5B6A" w:rsidRPr="00B157D2" w:rsidRDefault="00CD5B6A" w:rsidP="00CD5B6A">
            <w:pPr>
              <w:keepNext/>
            </w:pPr>
          </w:p>
          <w:p w14:paraId="55591F0A" w14:textId="77777777" w:rsidR="00CD5B6A" w:rsidRPr="00B157D2" w:rsidRDefault="00CD5B6A" w:rsidP="00CD5B6A">
            <w:pPr>
              <w:keepNext/>
            </w:pPr>
          </w:p>
          <w:p w14:paraId="5708AB02" w14:textId="77777777" w:rsidR="00CD5B6A" w:rsidRPr="00B157D2" w:rsidRDefault="00CD5B6A" w:rsidP="00CD5B6A">
            <w:pPr>
              <w:keepNext/>
            </w:pPr>
            <w:r w:rsidRPr="00B157D2">
              <w:t>CG Docket No. 10-51</w:t>
            </w:r>
          </w:p>
        </w:tc>
      </w:tr>
    </w:tbl>
    <w:p w14:paraId="33BFFBAB" w14:textId="77777777" w:rsidR="00CD5B6A" w:rsidRPr="00B157D2" w:rsidRDefault="00CD5B6A">
      <w:pPr>
        <w:keepNext/>
      </w:pPr>
    </w:p>
    <w:p w14:paraId="6726994D" w14:textId="77777777" w:rsidR="0080541E" w:rsidRPr="00B157D2" w:rsidRDefault="0080541E" w:rsidP="00CD5B6A">
      <w:pPr>
        <w:keepNext/>
        <w:tabs>
          <w:tab w:val="left" w:pos="3195"/>
          <w:tab w:val="center" w:pos="4680"/>
        </w:tabs>
        <w:jc w:val="center"/>
        <w:rPr>
          <w:b/>
        </w:rPr>
      </w:pPr>
      <w:r w:rsidRPr="00B157D2">
        <w:rPr>
          <w:b/>
        </w:rPr>
        <w:t>ORDER</w:t>
      </w:r>
    </w:p>
    <w:p w14:paraId="4ED40912" w14:textId="77777777" w:rsidR="0080541E" w:rsidRPr="00B157D2" w:rsidRDefault="0080541E">
      <w:pPr>
        <w:pStyle w:val="BodyTextIndent"/>
        <w:keepNext/>
      </w:pPr>
    </w:p>
    <w:p w14:paraId="376CD92C" w14:textId="47855853" w:rsidR="0080541E" w:rsidRPr="00B157D2" w:rsidRDefault="0070205A">
      <w:pPr>
        <w:pStyle w:val="BodyTextIndent"/>
        <w:keepNext/>
        <w:spacing w:after="0"/>
        <w:ind w:left="0"/>
        <w:rPr>
          <w:b/>
        </w:rPr>
      </w:pPr>
      <w:r w:rsidRPr="00B157D2">
        <w:rPr>
          <w:b/>
        </w:rPr>
        <w:t xml:space="preserve">Adopted:  </w:t>
      </w:r>
      <w:r w:rsidR="00FF70EA">
        <w:rPr>
          <w:b/>
        </w:rPr>
        <w:t xml:space="preserve">June </w:t>
      </w:r>
      <w:r w:rsidR="007D3EE1">
        <w:rPr>
          <w:b/>
        </w:rPr>
        <w:t>30</w:t>
      </w:r>
      <w:r w:rsidR="00A04F6B" w:rsidRPr="00B157D2">
        <w:rPr>
          <w:b/>
        </w:rPr>
        <w:t xml:space="preserve">, </w:t>
      </w:r>
      <w:r w:rsidR="00E46CD8">
        <w:rPr>
          <w:b/>
        </w:rPr>
        <w:t>2015</w:t>
      </w:r>
      <w:r w:rsidR="0080541E" w:rsidRPr="00B157D2">
        <w:rPr>
          <w:b/>
        </w:rPr>
        <w:tab/>
      </w:r>
      <w:r w:rsidR="0080541E" w:rsidRPr="00B157D2">
        <w:rPr>
          <w:b/>
        </w:rPr>
        <w:tab/>
      </w:r>
      <w:r w:rsidR="0080541E" w:rsidRPr="00B157D2">
        <w:rPr>
          <w:b/>
        </w:rPr>
        <w:tab/>
      </w:r>
      <w:r w:rsidR="0080541E" w:rsidRPr="00B157D2">
        <w:rPr>
          <w:b/>
        </w:rPr>
        <w:tab/>
      </w:r>
      <w:r w:rsidR="0080541E" w:rsidRPr="00B157D2">
        <w:rPr>
          <w:b/>
        </w:rPr>
        <w:tab/>
      </w:r>
      <w:r w:rsidR="0080541E" w:rsidRPr="00B157D2">
        <w:rPr>
          <w:b/>
        </w:rPr>
        <w:tab/>
        <w:t xml:space="preserve">Released:  </w:t>
      </w:r>
      <w:r w:rsidR="00FF70EA">
        <w:rPr>
          <w:b/>
        </w:rPr>
        <w:t xml:space="preserve">June </w:t>
      </w:r>
      <w:r w:rsidR="007D3EE1">
        <w:rPr>
          <w:b/>
        </w:rPr>
        <w:t>30</w:t>
      </w:r>
      <w:r w:rsidR="00A04F6B" w:rsidRPr="00B157D2">
        <w:rPr>
          <w:b/>
        </w:rPr>
        <w:t xml:space="preserve">, </w:t>
      </w:r>
      <w:r w:rsidR="00E46CD8">
        <w:rPr>
          <w:b/>
        </w:rPr>
        <w:t>2015</w:t>
      </w:r>
    </w:p>
    <w:p w14:paraId="65D43A75" w14:textId="77777777" w:rsidR="0080541E" w:rsidRPr="00B157D2" w:rsidRDefault="0080541E">
      <w:pPr>
        <w:pStyle w:val="Byline"/>
        <w:keepNext/>
        <w:spacing w:after="0"/>
      </w:pPr>
    </w:p>
    <w:p w14:paraId="19D393AA" w14:textId="77777777" w:rsidR="0080541E" w:rsidRDefault="0080541E" w:rsidP="00450E78">
      <w:pPr>
        <w:pStyle w:val="Byline"/>
        <w:keepNext/>
        <w:spacing w:after="0"/>
      </w:pPr>
      <w:r w:rsidRPr="00B157D2">
        <w:t xml:space="preserve">By the </w:t>
      </w:r>
      <w:r w:rsidR="00C06233" w:rsidRPr="00B157D2">
        <w:t>Chief, Consumer and Governmental Affairs Bureau:</w:t>
      </w:r>
      <w:r w:rsidRPr="00B157D2">
        <w:t xml:space="preserve"> </w:t>
      </w:r>
    </w:p>
    <w:p w14:paraId="64D4AF95" w14:textId="77777777" w:rsidR="007D6391" w:rsidRPr="00B157D2" w:rsidRDefault="007D6391" w:rsidP="00450E78">
      <w:pPr>
        <w:pStyle w:val="Byline"/>
        <w:keepNext/>
        <w:spacing w:after="0"/>
      </w:pPr>
    </w:p>
    <w:p w14:paraId="4E60C444" w14:textId="77777777" w:rsidR="0080541E" w:rsidRPr="00B157D2" w:rsidRDefault="0080541E" w:rsidP="00E56308">
      <w:pPr>
        <w:pStyle w:val="Heading1"/>
      </w:pPr>
      <w:r w:rsidRPr="00B157D2">
        <w:t>INTRODUCTION</w:t>
      </w:r>
    </w:p>
    <w:p w14:paraId="71563613" w14:textId="77F80053" w:rsidR="00C46706" w:rsidRPr="00C46706" w:rsidRDefault="00FF1E8A" w:rsidP="00BD5754">
      <w:pPr>
        <w:pStyle w:val="ParaNum"/>
        <w:rPr>
          <w:szCs w:val="22"/>
        </w:rPr>
      </w:pPr>
      <w:r>
        <w:t>This order</w:t>
      </w:r>
      <w:r w:rsidR="0080541E" w:rsidRPr="00B157D2">
        <w:t xml:space="preserve"> adopt</w:t>
      </w:r>
      <w:r>
        <w:t>s</w:t>
      </w:r>
      <w:r w:rsidR="0080541E" w:rsidRPr="00B157D2">
        <w:t xml:space="preserve"> per-minute compensation rates to be paid from the Interstat</w:t>
      </w:r>
      <w:r w:rsidR="00607B10" w:rsidRPr="00B157D2">
        <w:t xml:space="preserve">e </w:t>
      </w:r>
      <w:r w:rsidR="00D16308" w:rsidRPr="00B157D2">
        <w:t xml:space="preserve">Telecommunications Relay Services </w:t>
      </w:r>
      <w:r w:rsidR="00607B10" w:rsidRPr="00B157D2">
        <w:t>Fund (</w:t>
      </w:r>
      <w:r>
        <w:t xml:space="preserve">TRS </w:t>
      </w:r>
      <w:r w:rsidR="00607B10" w:rsidRPr="00B157D2">
        <w:t>Fund</w:t>
      </w:r>
      <w:r>
        <w:t>, or Fund</w:t>
      </w:r>
      <w:r w:rsidR="007C3698" w:rsidRPr="00B157D2">
        <w:t xml:space="preserve">) for the </w:t>
      </w:r>
      <w:r w:rsidR="00032BC9">
        <w:t>Fund Year</w:t>
      </w:r>
      <w:r w:rsidR="0080541E" w:rsidRPr="00B157D2">
        <w:t xml:space="preserve"> </w:t>
      </w:r>
      <w:r w:rsidR="00E46CD8">
        <w:t>beginning July 1, 2015</w:t>
      </w:r>
      <w:r w:rsidR="00184AB2">
        <w:t xml:space="preserve">, </w:t>
      </w:r>
      <w:r w:rsidR="0080541E" w:rsidRPr="00B157D2">
        <w:t>for all tele</w:t>
      </w:r>
      <w:r w:rsidR="00607B10" w:rsidRPr="00B157D2">
        <w:t>communications relay services (TRS</w:t>
      </w:r>
      <w:r w:rsidR="0080541E" w:rsidRPr="00B157D2">
        <w:t>)</w:t>
      </w:r>
      <w:r w:rsidR="006E2E3C" w:rsidRPr="00B157D2">
        <w:t>.</w:t>
      </w:r>
      <w:r w:rsidR="0080541E" w:rsidRPr="00B157D2">
        <w:t xml:space="preserve"> </w:t>
      </w:r>
      <w:r w:rsidR="006E2E3C" w:rsidRPr="00B157D2">
        <w:t xml:space="preserve"> </w:t>
      </w:r>
      <w:r>
        <w:t xml:space="preserve">This order also determines the </w:t>
      </w:r>
      <w:r w:rsidR="00184AB2">
        <w:t xml:space="preserve">total </w:t>
      </w:r>
      <w:r>
        <w:t xml:space="preserve">size of the TRS Fund </w:t>
      </w:r>
      <w:r w:rsidR="00184AB2">
        <w:t xml:space="preserve">for the coming year and the </w:t>
      </w:r>
      <w:r w:rsidR="000B0A1B">
        <w:t xml:space="preserve">contribution </w:t>
      </w:r>
      <w:r w:rsidR="00184AB2">
        <w:t>factor</w:t>
      </w:r>
      <w:r w:rsidR="000B0A1B">
        <w:t xml:space="preserve">, </w:t>
      </w:r>
      <w:r w:rsidR="000B0A1B" w:rsidRPr="000B0A1B">
        <w:rPr>
          <w:i/>
        </w:rPr>
        <w:t>i.e.</w:t>
      </w:r>
      <w:r w:rsidR="000B0A1B">
        <w:t>, the percentage factor</w:t>
      </w:r>
      <w:r w:rsidR="00184AB2">
        <w:t xml:space="preserve"> used to calculate how much interstate and international revenue telecommunications carriers and other </w:t>
      </w:r>
      <w:r w:rsidR="007B434D">
        <w:t xml:space="preserve">covered </w:t>
      </w:r>
      <w:r w:rsidR="00184AB2">
        <w:t>service providers must contribute to the</w:t>
      </w:r>
      <w:r w:rsidR="00E56308">
        <w:t xml:space="preserve"> </w:t>
      </w:r>
      <w:r w:rsidR="00184AB2">
        <w:t>TRS Fund.</w:t>
      </w:r>
    </w:p>
    <w:p w14:paraId="099D8547" w14:textId="4DE3268B" w:rsidR="00C46706" w:rsidRPr="004E4A38" w:rsidRDefault="00C46706" w:rsidP="00090C06">
      <w:pPr>
        <w:pStyle w:val="ParaNum"/>
        <w:rPr>
          <w:szCs w:val="22"/>
        </w:rPr>
      </w:pPr>
      <w:r>
        <w:t>E</w:t>
      </w:r>
      <w:r w:rsidR="00CD5B6A" w:rsidRPr="00B157D2">
        <w:t>ffective</w:t>
      </w:r>
      <w:r w:rsidR="00607B10" w:rsidRPr="00B157D2">
        <w:t xml:space="preserve"> July 1, 201</w:t>
      </w:r>
      <w:r w:rsidR="00E46CD8">
        <w:t>5</w:t>
      </w:r>
      <w:r w:rsidR="0080541E" w:rsidRPr="00B157D2">
        <w:t xml:space="preserve">, the per-minute </w:t>
      </w:r>
      <w:r w:rsidR="006E2E3C" w:rsidRPr="00B157D2">
        <w:t xml:space="preserve">compensation </w:t>
      </w:r>
      <w:r w:rsidR="0080541E" w:rsidRPr="00B157D2">
        <w:t>rates for TRS</w:t>
      </w:r>
      <w:r w:rsidR="00CD5B6A" w:rsidRPr="00B157D2">
        <w:t>,</w:t>
      </w:r>
      <w:r w:rsidR="00AC5B54" w:rsidRPr="00DD3D41">
        <w:rPr>
          <w:rStyle w:val="FootnoteReference"/>
        </w:rPr>
        <w:footnoteReference w:id="2"/>
      </w:r>
      <w:r w:rsidR="00CD5B6A" w:rsidRPr="00B157D2">
        <w:t xml:space="preserve"> other than </w:t>
      </w:r>
      <w:r w:rsidR="00184AB2">
        <w:t>video relay service (</w:t>
      </w:r>
      <w:r w:rsidR="00CD5B6A" w:rsidRPr="00B157D2">
        <w:t>VRS</w:t>
      </w:r>
      <w:r w:rsidR="00184AB2">
        <w:t>)</w:t>
      </w:r>
      <w:r w:rsidR="00CD5B6A" w:rsidRPr="00B157D2">
        <w:t>,</w:t>
      </w:r>
      <w:r w:rsidR="0080541E" w:rsidRPr="00B157D2">
        <w:t xml:space="preserve"> shall be: </w:t>
      </w:r>
      <w:r w:rsidR="00CD5B6A" w:rsidRPr="00B157D2">
        <w:t xml:space="preserve">(1) </w:t>
      </w:r>
      <w:r w:rsidR="00607B10" w:rsidRPr="00B157D2">
        <w:t>for interstate traditional TRS</w:t>
      </w:r>
      <w:r w:rsidR="00CD5B6A" w:rsidRPr="00B157D2">
        <w:t xml:space="preserve">, </w:t>
      </w:r>
      <w:r w:rsidR="000D601E" w:rsidRPr="004906B7">
        <w:t>$2.</w:t>
      </w:r>
      <w:r w:rsidR="00E46CD8">
        <w:t>2904</w:t>
      </w:r>
      <w:r w:rsidR="00607B10" w:rsidRPr="00B157D2">
        <w:t xml:space="preserve">; </w:t>
      </w:r>
      <w:r w:rsidR="00CD5B6A" w:rsidRPr="00B157D2">
        <w:t xml:space="preserve">(2) </w:t>
      </w:r>
      <w:r w:rsidR="00607B10" w:rsidRPr="00B157D2">
        <w:t xml:space="preserve">for interstate Speech-to-Speech </w:t>
      </w:r>
      <w:r w:rsidR="000C762B" w:rsidRPr="00B157D2">
        <w:t xml:space="preserve">relay service </w:t>
      </w:r>
      <w:r w:rsidR="00607B10" w:rsidRPr="00B157D2">
        <w:t>(STS)</w:t>
      </w:r>
      <w:r w:rsidR="00CD5B6A" w:rsidRPr="00B157D2">
        <w:t xml:space="preserve">, </w:t>
      </w:r>
      <w:r w:rsidR="000D601E" w:rsidRPr="004906B7">
        <w:t>$3.</w:t>
      </w:r>
      <w:r w:rsidR="00E46CD8">
        <w:t>4214</w:t>
      </w:r>
      <w:r w:rsidR="00607B10" w:rsidRPr="00B157D2">
        <w:t xml:space="preserve">; </w:t>
      </w:r>
      <w:r w:rsidR="00CD5B6A" w:rsidRPr="00B157D2">
        <w:t xml:space="preserve">(3) </w:t>
      </w:r>
      <w:r w:rsidR="00607B10" w:rsidRPr="00B157D2">
        <w:t xml:space="preserve">for interstate captioned telephone service (CTS) and Internet Protocol </w:t>
      </w:r>
      <w:r w:rsidR="008A2FA4" w:rsidRPr="00B157D2">
        <w:t>c</w:t>
      </w:r>
      <w:r w:rsidR="000C762B" w:rsidRPr="00B157D2">
        <w:t xml:space="preserve">aptioned </w:t>
      </w:r>
      <w:r w:rsidR="008A2FA4" w:rsidRPr="00B157D2">
        <w:t>t</w:t>
      </w:r>
      <w:r w:rsidR="000C762B" w:rsidRPr="00B157D2">
        <w:t xml:space="preserve">elephone </w:t>
      </w:r>
      <w:r w:rsidR="008A2FA4" w:rsidRPr="00B157D2">
        <w:t>s</w:t>
      </w:r>
      <w:r w:rsidR="000C762B" w:rsidRPr="00B157D2">
        <w:t>ervice</w:t>
      </w:r>
      <w:r w:rsidR="00607B10" w:rsidRPr="00B157D2">
        <w:t xml:space="preserve"> (IP CTS)</w:t>
      </w:r>
      <w:r w:rsidR="00CD5B6A" w:rsidRPr="00B157D2">
        <w:t xml:space="preserve">, </w:t>
      </w:r>
      <w:r w:rsidR="000D601E" w:rsidRPr="004906B7">
        <w:t>$1.8</w:t>
      </w:r>
      <w:r w:rsidR="00E46CD8">
        <w:t>895</w:t>
      </w:r>
      <w:r w:rsidR="00EF5F0C">
        <w:t xml:space="preserve">; and </w:t>
      </w:r>
      <w:r w:rsidR="00BD5754">
        <w:t xml:space="preserve">(4) </w:t>
      </w:r>
      <w:r w:rsidR="00EF5F0C">
        <w:t>f</w:t>
      </w:r>
      <w:r w:rsidR="00814AF7">
        <w:t>or IP Relay,</w:t>
      </w:r>
      <w:r w:rsidR="0034582B">
        <w:t xml:space="preserve"> </w:t>
      </w:r>
      <w:r w:rsidRPr="004E4A38">
        <w:rPr>
          <w:szCs w:val="22"/>
        </w:rPr>
        <w:t xml:space="preserve">$1.37.  </w:t>
      </w:r>
      <w:r w:rsidR="00EF5F0C" w:rsidRPr="00515A49">
        <w:t xml:space="preserve">These rates are based on </w:t>
      </w:r>
      <w:r w:rsidR="00EF5F0C">
        <w:t>recommendations</w:t>
      </w:r>
      <w:r w:rsidR="00EF5F0C" w:rsidRPr="00515A49">
        <w:t xml:space="preserve"> of the current Fund administrator, Rolka Loube Associates (</w:t>
      </w:r>
      <w:r w:rsidR="00EF5F0C">
        <w:t>Rolka Loube).</w:t>
      </w:r>
      <w:r w:rsidR="00EF5F0C">
        <w:rPr>
          <w:rStyle w:val="FootnoteReference"/>
        </w:rPr>
        <w:footnoteReference w:id="3"/>
      </w:r>
      <w:r w:rsidR="00EF5F0C">
        <w:t xml:space="preserve">  </w:t>
      </w:r>
    </w:p>
    <w:p w14:paraId="458708F4" w14:textId="0AA45667" w:rsidR="00CB6F85" w:rsidRDefault="000D601E" w:rsidP="00E06775">
      <w:pPr>
        <w:pStyle w:val="ParaNum"/>
      </w:pPr>
      <w:r w:rsidRPr="000D601E">
        <w:t>VRS compensation rates for the 20</w:t>
      </w:r>
      <w:r w:rsidR="00800751">
        <w:t xml:space="preserve">15-16 </w:t>
      </w:r>
      <w:r w:rsidRPr="000D601E">
        <w:t xml:space="preserve">Fund Year were established in the </w:t>
      </w:r>
      <w:r w:rsidRPr="00090C06">
        <w:rPr>
          <w:i/>
        </w:rPr>
        <w:t>VRS Reform Order</w:t>
      </w:r>
      <w:r w:rsidRPr="000D601E">
        <w:t xml:space="preserve"> as part of a “glide path” toward cost-based levels </w:t>
      </w:r>
      <w:r w:rsidR="00EE419E">
        <w:t>pending the</w:t>
      </w:r>
      <w:r w:rsidRPr="000D601E">
        <w:t xml:space="preserve"> implementation of the structural </w:t>
      </w:r>
      <w:r w:rsidRPr="000D601E">
        <w:lastRenderedPageBreak/>
        <w:t>reforms directed in that order.</w:t>
      </w:r>
      <w:r w:rsidRPr="00DD3D41">
        <w:rPr>
          <w:rStyle w:val="FootnoteReference"/>
        </w:rPr>
        <w:footnoteReference w:id="4"/>
      </w:r>
      <w:r w:rsidRPr="000D601E">
        <w:t xml:space="preserve">  </w:t>
      </w:r>
      <w:r w:rsidR="00EF5F0C">
        <w:t>T</w:t>
      </w:r>
      <w:r w:rsidRPr="000D601E">
        <w:t xml:space="preserve">he applicable per-minute VRS compensation rates for the </w:t>
      </w:r>
      <w:r w:rsidR="00EF5F0C">
        <w:t>period</w:t>
      </w:r>
      <w:r w:rsidR="00800751">
        <w:t xml:space="preserve"> from July 1, 2015, through December 31, 2015</w:t>
      </w:r>
      <w:r w:rsidR="00EF5F0C">
        <w:t>, are</w:t>
      </w:r>
      <w:r w:rsidRPr="000D601E">
        <w:t>:  Tier I (</w:t>
      </w:r>
      <w:r w:rsidR="004C2CF5">
        <w:t>a provider’s 1</w:t>
      </w:r>
      <w:r w:rsidR="004C2CF5" w:rsidRPr="001657FE">
        <w:rPr>
          <w:vertAlign w:val="superscript"/>
        </w:rPr>
        <w:t>st</w:t>
      </w:r>
      <w:r w:rsidR="004C2CF5">
        <w:t xml:space="preserve"> </w:t>
      </w:r>
      <w:r w:rsidRPr="000D601E">
        <w:t xml:space="preserve">500,000 </w:t>
      </w:r>
      <w:r w:rsidR="004C2CF5">
        <w:t xml:space="preserve">monthly </w:t>
      </w:r>
      <w:r w:rsidRPr="000D601E">
        <w:t>minutes), $</w:t>
      </w:r>
      <w:r w:rsidR="00800751">
        <w:t>5.06</w:t>
      </w:r>
      <w:r w:rsidRPr="000D601E">
        <w:t>; Tier II (</w:t>
      </w:r>
      <w:r w:rsidR="004C2CF5">
        <w:t xml:space="preserve">a provider’s </w:t>
      </w:r>
      <w:r w:rsidR="00C168A3">
        <w:t>2</w:t>
      </w:r>
      <w:r w:rsidR="00C168A3" w:rsidRPr="001657FE">
        <w:rPr>
          <w:vertAlign w:val="superscript"/>
        </w:rPr>
        <w:t>nd</w:t>
      </w:r>
      <w:r w:rsidR="00C168A3">
        <w:t xml:space="preserve"> 500,000 </w:t>
      </w:r>
      <w:r w:rsidR="004C2CF5">
        <w:t>monthly minutes</w:t>
      </w:r>
      <w:r w:rsidRPr="000D601E">
        <w:t>), $4.82; and Tier III (</w:t>
      </w:r>
      <w:r w:rsidR="004C2CF5">
        <w:t>a provider’s monthly minutes in excess of</w:t>
      </w:r>
      <w:r w:rsidR="00800751">
        <w:t xml:space="preserve"> 1 million), $4.06</w:t>
      </w:r>
      <w:r w:rsidRPr="000D601E">
        <w:t xml:space="preserve">.  The applicable </w:t>
      </w:r>
      <w:r w:rsidR="00ED4A74" w:rsidRPr="00ED4A74">
        <w:t>pe</w:t>
      </w:r>
      <w:r w:rsidR="00ED4A74">
        <w:t xml:space="preserve">r-minute VRS compensation </w:t>
      </w:r>
      <w:r w:rsidRPr="000D601E">
        <w:t>rates for</w:t>
      </w:r>
      <w:r w:rsidR="00800751">
        <w:t xml:space="preserve"> the period from January 1, 2016, through June 30, 2016</w:t>
      </w:r>
      <w:r w:rsidRPr="000D601E">
        <w:t xml:space="preserve">, </w:t>
      </w:r>
      <w:r w:rsidR="00EF5F0C">
        <w:t>are</w:t>
      </w:r>
      <w:r w:rsidRPr="000D601E">
        <w:t>:  Tier I, $</w:t>
      </w:r>
      <w:r w:rsidR="00800751">
        <w:t>4.82</w:t>
      </w:r>
      <w:r w:rsidRPr="000D601E">
        <w:t>; Tier II, $4.82; Tier III</w:t>
      </w:r>
      <w:r w:rsidR="00800751">
        <w:t>, $3.87</w:t>
      </w:r>
      <w:r w:rsidRPr="000D601E">
        <w:t>.</w:t>
      </w:r>
      <w:r w:rsidRPr="00DD3D41">
        <w:rPr>
          <w:rStyle w:val="FootnoteReference"/>
        </w:rPr>
        <w:footnoteReference w:id="5"/>
      </w:r>
      <w:r w:rsidRPr="000D601E">
        <w:t xml:space="preserve">  </w:t>
      </w:r>
      <w:r w:rsidR="00EF5F0C">
        <w:t xml:space="preserve">In setting these rates, we do not address the merits of the proposal filed by </w:t>
      </w:r>
      <w:r w:rsidR="007F7AED">
        <w:t>the six currently certified VRS providers in which they urged the Commission to “freeze” the current VRS compensation rates.</w:t>
      </w:r>
      <w:r w:rsidR="00B220C4">
        <w:rPr>
          <w:rStyle w:val="FootnoteReference"/>
        </w:rPr>
        <w:footnoteReference w:id="6"/>
      </w:r>
      <w:r w:rsidR="007F7AED">
        <w:t xml:space="preserve"> </w:t>
      </w:r>
      <w:r w:rsidR="00B220C4">
        <w:t xml:space="preserve"> </w:t>
      </w:r>
      <w:r w:rsidR="007B434D">
        <w:t>Ac</w:t>
      </w:r>
      <w:r w:rsidR="00EF5F0C">
        <w:t>tion on that proposal will be addressed separately from this order.</w:t>
      </w:r>
    </w:p>
    <w:p w14:paraId="7BC4B776" w14:textId="79A8FD1D" w:rsidR="0080541E" w:rsidRPr="00CB6F85" w:rsidRDefault="00805CC0" w:rsidP="00CB6F85">
      <w:pPr>
        <w:pStyle w:val="ParaNum"/>
      </w:pPr>
      <w:r w:rsidRPr="00CB6F85">
        <w:t xml:space="preserve">Based on </w:t>
      </w:r>
      <w:r w:rsidR="00343B9F">
        <w:t>these</w:t>
      </w:r>
      <w:r w:rsidRPr="00CB6F85">
        <w:t xml:space="preserve"> compensation rates</w:t>
      </w:r>
      <w:r w:rsidRPr="00732F33">
        <w:t xml:space="preserve">, </w:t>
      </w:r>
      <w:r w:rsidR="00343B9F">
        <w:t xml:space="preserve">projected demand for the services, </w:t>
      </w:r>
      <w:r w:rsidRPr="00732F33">
        <w:t xml:space="preserve">and projected Fund administration expenses, </w:t>
      </w:r>
      <w:r w:rsidR="00343B9F">
        <w:t xml:space="preserve">we adopt </w:t>
      </w:r>
      <w:r w:rsidRPr="00732F33">
        <w:t xml:space="preserve">a funding requirement of </w:t>
      </w:r>
      <w:r w:rsidR="002D75C4" w:rsidRPr="00732F33">
        <w:t>$</w:t>
      </w:r>
      <w:r w:rsidR="00BB3AAA" w:rsidRPr="00BB3AAA">
        <w:t>1,048,050,673</w:t>
      </w:r>
      <w:r w:rsidR="00BB3AAA">
        <w:t xml:space="preserve"> </w:t>
      </w:r>
      <w:r w:rsidRPr="00CB6F85">
        <w:t>and a carrier contribution factor of 0.01</w:t>
      </w:r>
      <w:r w:rsidR="00E1682F" w:rsidRPr="00CB6F85">
        <w:t>635</w:t>
      </w:r>
      <w:r w:rsidR="00343B9F">
        <w:t>, as proposed by Rolka Loube</w:t>
      </w:r>
      <w:r w:rsidRPr="00CB6F85">
        <w:t>.</w:t>
      </w:r>
      <w:r w:rsidR="00AC5B54" w:rsidRPr="00CB6F85">
        <w:rPr>
          <w:rStyle w:val="FootnoteReference"/>
        </w:rPr>
        <w:footnoteReference w:id="7"/>
      </w:r>
      <w:r w:rsidRPr="00CB6F85">
        <w:t xml:space="preserve">  </w:t>
      </w:r>
    </w:p>
    <w:p w14:paraId="7250E238" w14:textId="77777777" w:rsidR="0080541E" w:rsidRPr="00B157D2" w:rsidRDefault="0080541E" w:rsidP="000F5838">
      <w:pPr>
        <w:pStyle w:val="Heading1"/>
      </w:pPr>
      <w:r w:rsidRPr="00B157D2">
        <w:t xml:space="preserve">BACKGROUND  </w:t>
      </w:r>
    </w:p>
    <w:p w14:paraId="2403667F" w14:textId="4FA76A40" w:rsidR="0080541E" w:rsidRDefault="007C3698">
      <w:pPr>
        <w:pStyle w:val="ParaNum"/>
      </w:pPr>
      <w:r w:rsidRPr="00B157D2">
        <w:t>On May</w:t>
      </w:r>
      <w:r w:rsidR="00032BC9">
        <w:t xml:space="preserve"> </w:t>
      </w:r>
      <w:r w:rsidR="00C443B5">
        <w:t>20</w:t>
      </w:r>
      <w:r w:rsidRPr="00B157D2">
        <w:t>, 201</w:t>
      </w:r>
      <w:r w:rsidR="00C443B5">
        <w:t>5</w:t>
      </w:r>
      <w:r w:rsidR="0080541E" w:rsidRPr="00B157D2">
        <w:t xml:space="preserve">, </w:t>
      </w:r>
      <w:r w:rsidR="001828CE" w:rsidRPr="00B157D2">
        <w:t xml:space="preserve">the </w:t>
      </w:r>
      <w:r w:rsidR="007B434D">
        <w:t>Consumer and Governmental Affairs Bureau (</w:t>
      </w:r>
      <w:r w:rsidR="001828CE" w:rsidRPr="00B157D2">
        <w:t>Bureau</w:t>
      </w:r>
      <w:r w:rsidR="007B434D">
        <w:t>)</w:t>
      </w:r>
      <w:r w:rsidR="001828CE" w:rsidRPr="00B157D2">
        <w:t xml:space="preserve"> </w:t>
      </w:r>
      <w:r w:rsidR="0080541E" w:rsidRPr="00B157D2">
        <w:t xml:space="preserve">released the </w:t>
      </w:r>
      <w:r w:rsidR="00805191" w:rsidRPr="00B157D2">
        <w:rPr>
          <w:i/>
        </w:rPr>
        <w:t>201</w:t>
      </w:r>
      <w:r w:rsidR="00C443B5">
        <w:rPr>
          <w:i/>
        </w:rPr>
        <w:t>5</w:t>
      </w:r>
      <w:r w:rsidR="0080541E" w:rsidRPr="00B157D2">
        <w:rPr>
          <w:i/>
        </w:rPr>
        <w:t xml:space="preserve"> TRS Rate PN</w:t>
      </w:r>
      <w:r w:rsidR="00940F3D" w:rsidRPr="00B157D2">
        <w:t>,</w:t>
      </w:r>
      <w:r w:rsidR="0080541E" w:rsidRPr="00B157D2">
        <w:t xml:space="preserve"> seeking comment on </w:t>
      </w:r>
      <w:r w:rsidR="00144C71" w:rsidRPr="00144C71">
        <w:t>Rolka Loube</w:t>
      </w:r>
      <w:r w:rsidR="00940F3D" w:rsidRPr="00B157D2">
        <w:t xml:space="preserve">’s </w:t>
      </w:r>
      <w:r w:rsidR="00C443B5">
        <w:rPr>
          <w:i/>
        </w:rPr>
        <w:t>2015</w:t>
      </w:r>
      <w:r w:rsidR="001A184A" w:rsidRPr="00B157D2">
        <w:rPr>
          <w:i/>
        </w:rPr>
        <w:t xml:space="preserve"> TRS Rate Filing</w:t>
      </w:r>
      <w:r w:rsidR="0080541E" w:rsidRPr="00B157D2">
        <w:rPr>
          <w:i/>
        </w:rPr>
        <w:t>,</w:t>
      </w:r>
      <w:r w:rsidR="00086B48" w:rsidRPr="00B157D2">
        <w:t xml:space="preserve"> </w:t>
      </w:r>
      <w:r w:rsidR="00940F3D" w:rsidRPr="00B157D2">
        <w:t xml:space="preserve">in </w:t>
      </w:r>
      <w:r w:rsidR="004B50F9" w:rsidRPr="00B157D2">
        <w:t xml:space="preserve">which </w:t>
      </w:r>
      <w:r w:rsidR="00940F3D" w:rsidRPr="00B157D2">
        <w:t xml:space="preserve">the </w:t>
      </w:r>
      <w:r w:rsidR="001060E7" w:rsidRPr="00B157D2">
        <w:t xml:space="preserve">Fund </w:t>
      </w:r>
      <w:r w:rsidR="00940F3D" w:rsidRPr="00B157D2">
        <w:t xml:space="preserve">administrator proposed revised compensation rates for </w:t>
      </w:r>
      <w:r w:rsidR="00032BC9">
        <w:t>201</w:t>
      </w:r>
      <w:r w:rsidR="00C443B5">
        <w:t>5-16</w:t>
      </w:r>
      <w:r w:rsidR="00940F3D" w:rsidRPr="00B157D2">
        <w:t xml:space="preserve"> </w:t>
      </w:r>
      <w:r w:rsidR="005F68EB">
        <w:t>and</w:t>
      </w:r>
      <w:r w:rsidR="00940F3D" w:rsidRPr="00B157D2">
        <w:t xml:space="preserve"> recommended a revenue requirement and contribution factor for </w:t>
      </w:r>
      <w:r w:rsidR="00032BC9">
        <w:t>201</w:t>
      </w:r>
      <w:r w:rsidR="00C443B5">
        <w:t>5</w:t>
      </w:r>
      <w:r w:rsidR="00032BC9">
        <w:t>-1</w:t>
      </w:r>
      <w:r w:rsidR="00C443B5">
        <w:t>6</w:t>
      </w:r>
      <w:r w:rsidR="0080541E" w:rsidRPr="00B157D2">
        <w:t>.</w:t>
      </w:r>
      <w:r w:rsidR="0031242A" w:rsidRPr="00B157D2">
        <w:rPr>
          <w:rStyle w:val="FootnoteReference"/>
        </w:rPr>
        <w:footnoteReference w:id="8"/>
      </w:r>
      <w:r w:rsidR="00086B48" w:rsidRPr="00B157D2">
        <w:t xml:space="preserve">  </w:t>
      </w:r>
      <w:r w:rsidR="0080541E" w:rsidRPr="00B157D2">
        <w:t xml:space="preserve">In response to the </w:t>
      </w:r>
      <w:r w:rsidR="002C16DC" w:rsidRPr="00B157D2">
        <w:rPr>
          <w:i/>
        </w:rPr>
        <w:t>201</w:t>
      </w:r>
      <w:r w:rsidR="00C443B5">
        <w:rPr>
          <w:i/>
        </w:rPr>
        <w:t>5</w:t>
      </w:r>
      <w:r w:rsidR="0080541E" w:rsidRPr="00B157D2">
        <w:rPr>
          <w:i/>
        </w:rPr>
        <w:t xml:space="preserve"> TRS Rate PN</w:t>
      </w:r>
      <w:r w:rsidR="0080541E" w:rsidRPr="00B157D2">
        <w:t xml:space="preserve">, the Commission received </w:t>
      </w:r>
      <w:r w:rsidR="00C443B5">
        <w:t xml:space="preserve">nine </w:t>
      </w:r>
      <w:r w:rsidR="00125FC8" w:rsidRPr="00B157D2">
        <w:t xml:space="preserve">comments and </w:t>
      </w:r>
      <w:r w:rsidR="003B2823">
        <w:t>five</w:t>
      </w:r>
      <w:r w:rsidR="00C443B5">
        <w:t xml:space="preserve"> </w:t>
      </w:r>
      <w:r w:rsidR="00125FC8" w:rsidRPr="00B157D2">
        <w:t>reply comment</w:t>
      </w:r>
      <w:r w:rsidR="009E718A">
        <w:t>s</w:t>
      </w:r>
      <w:r w:rsidR="00D51194">
        <w:t xml:space="preserve"> from</w:t>
      </w:r>
      <w:r w:rsidR="009B30CB">
        <w:t xml:space="preserve"> </w:t>
      </w:r>
      <w:r w:rsidR="00265CC3" w:rsidRPr="00B157D2">
        <w:t>TRS providers</w:t>
      </w:r>
      <w:r w:rsidR="004B5B91">
        <w:t xml:space="preserve"> and related companies</w:t>
      </w:r>
      <w:r w:rsidR="00265CC3" w:rsidRPr="00B157D2">
        <w:t>, telecommunications industry</w:t>
      </w:r>
      <w:r w:rsidR="00940F3D" w:rsidRPr="00B157D2">
        <w:t xml:space="preserve"> contributors to the Fund,</w:t>
      </w:r>
      <w:r w:rsidR="00265CC3" w:rsidRPr="00B157D2">
        <w:t xml:space="preserve"> and consumer </w:t>
      </w:r>
      <w:r w:rsidR="00D51194">
        <w:t xml:space="preserve">and interpreter </w:t>
      </w:r>
      <w:r w:rsidR="00265CC3" w:rsidRPr="00B157D2">
        <w:t>organizations</w:t>
      </w:r>
      <w:r w:rsidR="00125FC8" w:rsidRPr="00B157D2">
        <w:t>.</w:t>
      </w:r>
      <w:r w:rsidR="001060E7" w:rsidRPr="00DD3D41">
        <w:rPr>
          <w:rStyle w:val="FootnoteReference"/>
        </w:rPr>
        <w:footnoteReference w:id="9"/>
      </w:r>
      <w:r w:rsidR="00125FC8" w:rsidRPr="00B157D2">
        <w:t xml:space="preserve">  </w:t>
      </w:r>
    </w:p>
    <w:p w14:paraId="112F3DA3" w14:textId="77777777" w:rsidR="0080541E" w:rsidRPr="00B157D2" w:rsidRDefault="0080541E" w:rsidP="000F5838">
      <w:pPr>
        <w:pStyle w:val="Heading1"/>
      </w:pPr>
      <w:r w:rsidRPr="00B157D2">
        <w:lastRenderedPageBreak/>
        <w:t xml:space="preserve">DISCUSSION </w:t>
      </w:r>
    </w:p>
    <w:p w14:paraId="5C5C5707" w14:textId="77777777" w:rsidR="0080541E" w:rsidRPr="00B157D2" w:rsidRDefault="0080541E">
      <w:pPr>
        <w:pStyle w:val="Heading2"/>
      </w:pPr>
      <w:r w:rsidRPr="00B157D2">
        <w:t>Compensation R</w:t>
      </w:r>
      <w:r w:rsidR="004350C1" w:rsidRPr="00B157D2">
        <w:t>ate</w:t>
      </w:r>
      <w:r w:rsidR="00727217" w:rsidRPr="00B157D2">
        <w:t>s</w:t>
      </w:r>
      <w:r w:rsidR="004350C1" w:rsidRPr="00B157D2">
        <w:t xml:space="preserve"> for TRS</w:t>
      </w:r>
      <w:r w:rsidR="001D1DC9">
        <w:t>,</w:t>
      </w:r>
      <w:r w:rsidR="004350C1" w:rsidRPr="00B157D2">
        <w:t xml:space="preserve"> STS</w:t>
      </w:r>
      <w:r w:rsidR="001D1DC9">
        <w:t>, CTS, and IP CTS</w:t>
      </w:r>
      <w:r w:rsidR="004350C1" w:rsidRPr="00B157D2">
        <w:t xml:space="preserve"> </w:t>
      </w:r>
    </w:p>
    <w:p w14:paraId="5D8385F3" w14:textId="201FA11C" w:rsidR="0018669A" w:rsidRPr="00B157D2" w:rsidRDefault="008B44C0" w:rsidP="006B2DE5">
      <w:pPr>
        <w:pStyle w:val="ParaNum"/>
      </w:pPr>
      <w:r>
        <w:t>F</w:t>
      </w:r>
      <w:r w:rsidRPr="00B157D2">
        <w:t xml:space="preserve">or the </w:t>
      </w:r>
      <w:r>
        <w:t>2015-16</w:t>
      </w:r>
      <w:r w:rsidRPr="00B157D2">
        <w:t xml:space="preserve"> </w:t>
      </w:r>
      <w:r>
        <w:t>Fund Year,</w:t>
      </w:r>
      <w:r w:rsidRPr="00B157D2">
        <w:t xml:space="preserve"> </w:t>
      </w:r>
      <w:r>
        <w:t>w</w:t>
      </w:r>
      <w:r w:rsidR="00EF303F" w:rsidRPr="00B157D2">
        <w:t>e adopt</w:t>
      </w:r>
      <w:r w:rsidR="0014546F" w:rsidRPr="00B157D2">
        <w:t xml:space="preserve"> </w:t>
      </w:r>
      <w:r w:rsidR="00144C71" w:rsidRPr="00144C71">
        <w:t>Rolka Loube</w:t>
      </w:r>
      <w:r w:rsidR="00980828" w:rsidRPr="00B157D2">
        <w:t xml:space="preserve">’s proposed </w:t>
      </w:r>
      <w:r w:rsidR="0014546F" w:rsidRPr="00B157D2">
        <w:t>per-minute rate</w:t>
      </w:r>
      <w:r w:rsidR="00980828" w:rsidRPr="00B157D2">
        <w:t>s</w:t>
      </w:r>
      <w:r w:rsidR="0014546F" w:rsidRPr="00B157D2">
        <w:t xml:space="preserve"> of </w:t>
      </w:r>
      <w:r w:rsidR="005F68EB" w:rsidRPr="004906B7">
        <w:t>$2.</w:t>
      </w:r>
      <w:r w:rsidR="0024580B">
        <w:t>2904</w:t>
      </w:r>
      <w:r w:rsidR="005F68EB" w:rsidRPr="005F68EB">
        <w:t xml:space="preserve"> </w:t>
      </w:r>
      <w:r w:rsidR="0014546F" w:rsidRPr="00B157D2">
        <w:t xml:space="preserve">for </w:t>
      </w:r>
      <w:r w:rsidR="00F419EC">
        <w:t xml:space="preserve">interstate </w:t>
      </w:r>
      <w:r w:rsidR="0014546F" w:rsidRPr="00B157D2">
        <w:t>traditional TRS</w:t>
      </w:r>
      <w:r w:rsidR="001D1DC9">
        <w:t>,</w:t>
      </w:r>
      <w:r w:rsidR="0014546F" w:rsidRPr="00B157D2">
        <w:t xml:space="preserve"> </w:t>
      </w:r>
      <w:r w:rsidR="005F68EB" w:rsidRPr="004906B7">
        <w:t>$3.</w:t>
      </w:r>
      <w:r w:rsidR="0024580B">
        <w:t>4214</w:t>
      </w:r>
      <w:r w:rsidR="005F68EB" w:rsidRPr="005F68EB">
        <w:t xml:space="preserve"> </w:t>
      </w:r>
      <w:r w:rsidR="004350C1" w:rsidRPr="00B157D2">
        <w:t xml:space="preserve">for </w:t>
      </w:r>
      <w:r w:rsidR="00F419EC">
        <w:t xml:space="preserve">interstate </w:t>
      </w:r>
      <w:r w:rsidR="004350C1" w:rsidRPr="00B157D2">
        <w:t>STS</w:t>
      </w:r>
      <w:r w:rsidR="001D1DC9">
        <w:t xml:space="preserve">, </w:t>
      </w:r>
      <w:r w:rsidR="00FE6499">
        <w:t xml:space="preserve">and </w:t>
      </w:r>
      <w:r w:rsidR="001D1DC9" w:rsidRPr="004906B7">
        <w:t>$1.</w:t>
      </w:r>
      <w:r w:rsidR="0024580B">
        <w:t>8895</w:t>
      </w:r>
      <w:r w:rsidR="001D1DC9" w:rsidRPr="001D1DC9">
        <w:t xml:space="preserve"> for </w:t>
      </w:r>
      <w:r w:rsidR="00F419EC">
        <w:t xml:space="preserve">interstate </w:t>
      </w:r>
      <w:r w:rsidR="001D1DC9" w:rsidRPr="001D1DC9">
        <w:t>CTS</w:t>
      </w:r>
      <w:r w:rsidR="00FE6499" w:rsidRPr="00FE6499">
        <w:t xml:space="preserve"> and </w:t>
      </w:r>
      <w:r w:rsidR="00F419EC">
        <w:t xml:space="preserve">for intrastate and interstate </w:t>
      </w:r>
      <w:r w:rsidR="00FE6499" w:rsidRPr="00FE6499">
        <w:t>IP CTS</w:t>
      </w:r>
      <w:r w:rsidR="0014546F" w:rsidRPr="00B157D2">
        <w:t>.</w:t>
      </w:r>
      <w:r w:rsidR="00161B19">
        <w:rPr>
          <w:rStyle w:val="FootnoteReference"/>
        </w:rPr>
        <w:footnoteReference w:id="10"/>
      </w:r>
      <w:r w:rsidR="0014546F" w:rsidRPr="00B157D2">
        <w:t xml:space="preserve">  </w:t>
      </w:r>
      <w:r w:rsidR="00980828" w:rsidRPr="00B157D2">
        <w:t xml:space="preserve">These rates </w:t>
      </w:r>
      <w:r w:rsidR="00A23F51" w:rsidRPr="00B157D2">
        <w:t>represent</w:t>
      </w:r>
      <w:r w:rsidR="00FE6499">
        <w:t xml:space="preserve">, respectively, </w:t>
      </w:r>
      <w:r w:rsidR="00E6472F" w:rsidRPr="000D4EB5">
        <w:t>in</w:t>
      </w:r>
      <w:r w:rsidR="00980828" w:rsidRPr="000D4EB5">
        <w:t>crease</w:t>
      </w:r>
      <w:r w:rsidR="000D4EB5" w:rsidRPr="000D4EB5">
        <w:t>s</w:t>
      </w:r>
      <w:r w:rsidR="00980828" w:rsidRPr="000D4EB5">
        <w:t xml:space="preserve"> of </w:t>
      </w:r>
      <w:r w:rsidR="00FE6499" w:rsidRPr="000D4EB5">
        <w:t xml:space="preserve">approximately </w:t>
      </w:r>
      <w:r w:rsidR="000D4EB5" w:rsidRPr="000D4EB5">
        <w:t>8.2</w:t>
      </w:r>
      <w:r w:rsidR="00A23F51" w:rsidRPr="000D4EB5">
        <w:t xml:space="preserve"> percent</w:t>
      </w:r>
      <w:r w:rsidR="00FE6499" w:rsidRPr="000D4EB5">
        <w:t xml:space="preserve"> for traditional TRS,</w:t>
      </w:r>
      <w:r w:rsidR="00A23F51" w:rsidRPr="000D4EB5">
        <w:t xml:space="preserve"> </w:t>
      </w:r>
      <w:r w:rsidR="000D4EB5" w:rsidRPr="000D4EB5">
        <w:t>5.3</w:t>
      </w:r>
      <w:r w:rsidR="002A0EBC" w:rsidRPr="000D4EB5">
        <w:t xml:space="preserve"> percent </w:t>
      </w:r>
      <w:r w:rsidR="00FE6499" w:rsidRPr="000D4EB5">
        <w:t xml:space="preserve">for STS, and </w:t>
      </w:r>
      <w:r w:rsidR="00D9129C" w:rsidRPr="000D4EB5">
        <w:t>3.8</w:t>
      </w:r>
      <w:r w:rsidR="00FE6499" w:rsidRPr="000D4EB5">
        <w:t xml:space="preserve"> percent for CTS and IP CTS </w:t>
      </w:r>
      <w:r w:rsidR="00A23F51" w:rsidRPr="000D4EB5">
        <w:t>from the 201</w:t>
      </w:r>
      <w:r w:rsidR="00D9129C" w:rsidRPr="000D4EB5">
        <w:t>4</w:t>
      </w:r>
      <w:r w:rsidR="00A23F51" w:rsidRPr="000D4EB5">
        <w:t>-1</w:t>
      </w:r>
      <w:r w:rsidR="00D9129C" w:rsidRPr="000D4EB5">
        <w:t>5</w:t>
      </w:r>
      <w:r w:rsidR="00A23F51" w:rsidRPr="000D4EB5">
        <w:t xml:space="preserve"> </w:t>
      </w:r>
      <w:r w:rsidR="00032BC9" w:rsidRPr="000D4EB5">
        <w:t>Fund Year</w:t>
      </w:r>
      <w:r w:rsidR="00A23F51" w:rsidRPr="000D4EB5">
        <w:t xml:space="preserve"> rates for </w:t>
      </w:r>
      <w:r w:rsidR="00FE6499" w:rsidRPr="000D4EB5">
        <w:t>those services</w:t>
      </w:r>
      <w:r w:rsidR="00A23F51" w:rsidRPr="000D4EB5">
        <w:t>.</w:t>
      </w:r>
      <w:r w:rsidR="00A23F51" w:rsidRPr="00B157D2">
        <w:t xml:space="preserve">  </w:t>
      </w:r>
      <w:r w:rsidR="00144C71" w:rsidRPr="00144C71">
        <w:t>Rolka Loube</w:t>
      </w:r>
      <w:r w:rsidR="0014546F" w:rsidRPr="00B157D2">
        <w:t xml:space="preserve"> </w:t>
      </w:r>
      <w:r w:rsidR="00DF7884">
        <w:t>develop</w:t>
      </w:r>
      <w:r w:rsidR="0014546F" w:rsidRPr="00B157D2">
        <w:t xml:space="preserve">ed </w:t>
      </w:r>
      <w:r w:rsidR="00B76BAB">
        <w:t xml:space="preserve">each of </w:t>
      </w:r>
      <w:r w:rsidR="0014546F" w:rsidRPr="00B157D2">
        <w:t xml:space="preserve">these rates by applying the MARS analysis adopted in the </w:t>
      </w:r>
      <w:r w:rsidR="0014546F" w:rsidRPr="00B157D2">
        <w:rPr>
          <w:i/>
        </w:rPr>
        <w:t>2007 TRS Rate Methodology Order</w:t>
      </w:r>
      <w:r w:rsidR="0014546F" w:rsidRPr="00B157D2">
        <w:t xml:space="preserve">.  The MARS rate is calculated by collecting each state’s </w:t>
      </w:r>
      <w:r w:rsidR="0014546F" w:rsidRPr="00DF7884">
        <w:t>intrastate</w:t>
      </w:r>
      <w:r w:rsidR="0014546F" w:rsidRPr="00B157D2">
        <w:t xml:space="preserve"> TRS</w:t>
      </w:r>
      <w:r w:rsidR="00F419EC">
        <w:t>,</w:t>
      </w:r>
      <w:r w:rsidR="0014546F" w:rsidRPr="00B157D2">
        <w:t xml:space="preserve"> STS</w:t>
      </w:r>
      <w:r w:rsidR="00F419EC">
        <w:t>, and CTS</w:t>
      </w:r>
      <w:r w:rsidR="0014546F" w:rsidRPr="00B157D2">
        <w:t xml:space="preserve"> rates and minutes of use data and averaging </w:t>
      </w:r>
      <w:r w:rsidR="00980828" w:rsidRPr="00B157D2">
        <w:t xml:space="preserve">the state </w:t>
      </w:r>
      <w:r w:rsidR="0014546F" w:rsidRPr="00B157D2">
        <w:t>data to determine the appropriate interstate rates for these services.</w:t>
      </w:r>
      <w:r w:rsidR="00281D0F" w:rsidRPr="00B157D2">
        <w:rPr>
          <w:rStyle w:val="FootnoteReference"/>
        </w:rPr>
        <w:footnoteReference w:id="11"/>
      </w:r>
      <w:r w:rsidR="0014546F" w:rsidRPr="00B157D2">
        <w:t xml:space="preserve"> </w:t>
      </w:r>
    </w:p>
    <w:p w14:paraId="3D6A2DF8" w14:textId="1BF2900A" w:rsidR="00712B06" w:rsidRPr="00BC298C" w:rsidRDefault="00062147" w:rsidP="000834DC">
      <w:pPr>
        <w:pStyle w:val="ParaNum"/>
      </w:pPr>
      <w:r>
        <w:t xml:space="preserve">No party disputes that Rolka Loube’s recommended rates correctly apply the MARS methodology.  </w:t>
      </w:r>
      <w:r w:rsidR="00724171">
        <w:t>As noted</w:t>
      </w:r>
      <w:r w:rsidR="00967BF9">
        <w:t xml:space="preserve"> </w:t>
      </w:r>
      <w:r w:rsidR="00E47778">
        <w:t xml:space="preserve">in the </w:t>
      </w:r>
      <w:r w:rsidR="00E47778" w:rsidRPr="001E06BD">
        <w:rPr>
          <w:i/>
        </w:rPr>
        <w:t>2015 TRS Rate PN</w:t>
      </w:r>
      <w:r w:rsidR="00E47778">
        <w:t xml:space="preserve">, </w:t>
      </w:r>
      <w:r w:rsidR="00724171">
        <w:t xml:space="preserve">however, </w:t>
      </w:r>
      <w:r w:rsidR="00E47778">
        <w:t xml:space="preserve">the Commission has an open rulemaking proceeding </w:t>
      </w:r>
      <w:r w:rsidR="0033114A">
        <w:t xml:space="preserve">in which comments were sought on </w:t>
      </w:r>
      <w:r w:rsidR="00E47778">
        <w:t>whether to adopt a different compensation rate methodology for IP</w:t>
      </w:r>
      <w:r w:rsidR="00041206">
        <w:t xml:space="preserve"> </w:t>
      </w:r>
      <w:r w:rsidR="00E47778">
        <w:t>CTS.</w:t>
      </w:r>
      <w:r w:rsidR="00A70F9A">
        <w:rPr>
          <w:rStyle w:val="FootnoteReference"/>
        </w:rPr>
        <w:footnoteReference w:id="12"/>
      </w:r>
      <w:r w:rsidR="00E47778">
        <w:t xml:space="preserve"> </w:t>
      </w:r>
      <w:r w:rsidR="00A70F9A">
        <w:t xml:space="preserve"> As a result, </w:t>
      </w:r>
      <w:r w:rsidR="0058252F" w:rsidRPr="0058252F">
        <w:t>Rolka Loube</w:t>
      </w:r>
      <w:r w:rsidR="00A70F9A">
        <w:t xml:space="preserve"> asked IP CTS providers to submit historical and projected cost data</w:t>
      </w:r>
      <w:r w:rsidR="00345F68">
        <w:t>,</w:t>
      </w:r>
      <w:r w:rsidR="00A70F9A">
        <w:t xml:space="preserve"> and it calculated an alternative compensation rate in the amount of $1.6246 per minute</w:t>
      </w:r>
      <w:r w:rsidR="00345F68">
        <w:t xml:space="preserve"> based on the projected costs reported for 2015 and 2016</w:t>
      </w:r>
      <w:r w:rsidR="00A70F9A">
        <w:t xml:space="preserve">.  In the </w:t>
      </w:r>
      <w:r w:rsidR="00A70F9A" w:rsidRPr="001E06BD">
        <w:rPr>
          <w:i/>
        </w:rPr>
        <w:t>2015 TRS Rate PN</w:t>
      </w:r>
      <w:r w:rsidR="00A70F9A">
        <w:t xml:space="preserve">, </w:t>
      </w:r>
      <w:r w:rsidR="00345F68">
        <w:t>we</w:t>
      </w:r>
      <w:r w:rsidR="00A70F9A">
        <w:t xml:space="preserve"> sought comment on whether </w:t>
      </w:r>
      <w:r w:rsidR="0058252F" w:rsidRPr="0058252F">
        <w:t>Rolka Loube</w:t>
      </w:r>
      <w:r w:rsidR="00A70F9A" w:rsidRPr="00BC298C">
        <w:t xml:space="preserve"> had correctly calculated the weighted average projected costs of IP CTS.</w:t>
      </w:r>
      <w:r w:rsidR="004428F0">
        <w:t xml:space="preserve">  A number of parties commented on the merits of the </w:t>
      </w:r>
      <w:r w:rsidR="00DF7884">
        <w:t xml:space="preserve">cost-of-service </w:t>
      </w:r>
      <w:r w:rsidR="004428F0">
        <w:t>methodology used in this calculation, compared with the MARS methodology or other alternatives.</w:t>
      </w:r>
      <w:r w:rsidR="00E671F1">
        <w:rPr>
          <w:rStyle w:val="FootnoteReference"/>
        </w:rPr>
        <w:footnoteReference w:id="13"/>
      </w:r>
      <w:r w:rsidR="004428F0">
        <w:t xml:space="preserve">  As the choice of compensation methodology will be made by the Commission, not the Bureau, we do not address those comments in this Order. </w:t>
      </w:r>
    </w:p>
    <w:p w14:paraId="1618A607" w14:textId="6568A87D" w:rsidR="0080541E" w:rsidRPr="00B157D2" w:rsidRDefault="0080541E">
      <w:pPr>
        <w:pStyle w:val="Heading2"/>
      </w:pPr>
      <w:r w:rsidRPr="00B157D2">
        <w:t xml:space="preserve">Compensation Rate for </w:t>
      </w:r>
      <w:r w:rsidR="000F41A1" w:rsidRPr="00B157D2">
        <w:t>IP Relay</w:t>
      </w:r>
      <w:r w:rsidR="00C10CB5">
        <w:t xml:space="preserve"> </w:t>
      </w:r>
    </w:p>
    <w:p w14:paraId="58B4548A" w14:textId="69EA3A8E" w:rsidR="0014577B" w:rsidRDefault="005935E4" w:rsidP="0096457A">
      <w:pPr>
        <w:pStyle w:val="ParaNum"/>
      </w:pPr>
      <w:r>
        <w:t>The 2015-16</w:t>
      </w:r>
      <w:r w:rsidR="00AC5B54">
        <w:t xml:space="preserve"> Fund Year is the </w:t>
      </w:r>
      <w:r>
        <w:t>third</w:t>
      </w:r>
      <w:r w:rsidR="00AC5B54">
        <w:t xml:space="preserve"> year of a three-year period during which the IP Relay compensation rate is determined pursuant to a price cap methodology.</w:t>
      </w:r>
      <w:r w:rsidR="00AC5B54">
        <w:rPr>
          <w:rStyle w:val="FootnoteReference"/>
        </w:rPr>
        <w:footnoteReference w:id="14"/>
      </w:r>
      <w:r w:rsidR="00AC5B54">
        <w:t xml:space="preserve">  </w:t>
      </w:r>
      <w:r w:rsidR="00AC5B54" w:rsidRPr="00511092">
        <w:t xml:space="preserve">In the </w:t>
      </w:r>
      <w:r w:rsidR="00AC5B54" w:rsidRPr="0096457A">
        <w:rPr>
          <w:i/>
        </w:rPr>
        <w:t>2013 TRS Rate Order</w:t>
      </w:r>
      <w:r w:rsidR="00AC5B54" w:rsidRPr="00511092">
        <w:t xml:space="preserve">, the Bureau </w:t>
      </w:r>
      <w:r w:rsidR="00AC5B54">
        <w:t xml:space="preserve">set the </w:t>
      </w:r>
      <w:r w:rsidR="0096457A">
        <w:t>base</w:t>
      </w:r>
      <w:r w:rsidR="00AC5B54">
        <w:t xml:space="preserve"> compensation rate for the</w:t>
      </w:r>
      <w:r w:rsidR="0096457A">
        <w:t xml:space="preserve"> current three-year period</w:t>
      </w:r>
      <w:r w:rsidR="00AC5B54">
        <w:t xml:space="preserve"> at $1.</w:t>
      </w:r>
      <w:r w:rsidR="0096457A">
        <w:t>0147</w:t>
      </w:r>
      <w:r w:rsidR="00AC5B54">
        <w:t xml:space="preserve"> </w:t>
      </w:r>
      <w:r w:rsidR="0096457A">
        <w:t>and set the efficiency/inflation adjustment factor at 6 percent.</w:t>
      </w:r>
      <w:r w:rsidR="009E22E6">
        <w:rPr>
          <w:rStyle w:val="FootnoteReference"/>
        </w:rPr>
        <w:footnoteReference w:id="15"/>
      </w:r>
      <w:r w:rsidR="0096457A">
        <w:t xml:space="preserve">  </w:t>
      </w:r>
      <w:r w:rsidR="0096457A">
        <w:rPr>
          <w:szCs w:val="22"/>
        </w:rPr>
        <w:t>On reconsideration, the Bureau increased the base rate to $1.0309 per minute and reset the efficiency/inflation adjustment factor to 0 percent.</w:t>
      </w:r>
      <w:r w:rsidR="009E22E6">
        <w:rPr>
          <w:rStyle w:val="FootnoteReference"/>
          <w:szCs w:val="22"/>
        </w:rPr>
        <w:footnoteReference w:id="16"/>
      </w:r>
      <w:r w:rsidR="0096457A">
        <w:rPr>
          <w:szCs w:val="22"/>
        </w:rPr>
        <w:t xml:space="preserve">  </w:t>
      </w:r>
      <w:r w:rsidR="009E22E6">
        <w:t>Subsequently, after</w:t>
      </w:r>
      <w:r>
        <w:t xml:space="preserve"> Purple Communications ceased its provision of IP Relay service</w:t>
      </w:r>
      <w:r w:rsidR="009E22E6">
        <w:t xml:space="preserve"> and Sprint filed</w:t>
      </w:r>
      <w:r>
        <w:t xml:space="preserve"> an emergency petition </w:t>
      </w:r>
      <w:r w:rsidR="009E22E6">
        <w:t>seeking adjustment of the compensation rate</w:t>
      </w:r>
      <w:r>
        <w:t xml:space="preserve">, the Bureau </w:t>
      </w:r>
      <w:r w:rsidR="0014577B">
        <w:t>res</w:t>
      </w:r>
      <w:r w:rsidR="00026024">
        <w:t>e</w:t>
      </w:r>
      <w:r w:rsidR="0014577B">
        <w:t xml:space="preserve">t the IP Relay compensation rate at $1.37 per minute, effective retroactively from November 15, 2014, </w:t>
      </w:r>
      <w:r w:rsidR="009E22E6">
        <w:t>to ensure continuity of service to eligible consumers</w:t>
      </w:r>
      <w:r w:rsidR="0014577B">
        <w:t>.</w:t>
      </w:r>
      <w:r w:rsidR="0014577B">
        <w:rPr>
          <w:rStyle w:val="FootnoteReference"/>
        </w:rPr>
        <w:footnoteReference w:id="17"/>
      </w:r>
      <w:r w:rsidR="0014577B">
        <w:t xml:space="preserve">  </w:t>
      </w:r>
    </w:p>
    <w:p w14:paraId="6401EC3D" w14:textId="62BC768A" w:rsidR="00026024" w:rsidRDefault="0014577B" w:rsidP="00557B81">
      <w:pPr>
        <w:pStyle w:val="ParaNum"/>
      </w:pPr>
      <w:r>
        <w:t>In its</w:t>
      </w:r>
      <w:r w:rsidR="00767922">
        <w:t xml:space="preserve"> </w:t>
      </w:r>
      <w:r w:rsidR="00767922" w:rsidRPr="00090C06">
        <w:rPr>
          <w:i/>
        </w:rPr>
        <w:t xml:space="preserve">2015 TRS Rate Filing, </w:t>
      </w:r>
      <w:r w:rsidR="00C421CE" w:rsidRPr="00C421CE">
        <w:t xml:space="preserve">to develop a recommended rate for the final year of the current price cap period, Rolka Loube </w:t>
      </w:r>
      <w:r w:rsidR="00767922" w:rsidRPr="00767922">
        <w:t xml:space="preserve">applied the price cap formula to the </w:t>
      </w:r>
      <w:r w:rsidR="007439BF">
        <w:t>current</w:t>
      </w:r>
      <w:r w:rsidR="00767922" w:rsidRPr="00767922">
        <w:t xml:space="preserve"> </w:t>
      </w:r>
      <w:r w:rsidR="007439BF">
        <w:t xml:space="preserve">$1.37 </w:t>
      </w:r>
      <w:r w:rsidR="00767922" w:rsidRPr="00767922">
        <w:t>rate</w:t>
      </w:r>
      <w:r w:rsidR="00531C4B" w:rsidRPr="00531C4B">
        <w:t>.  With</w:t>
      </w:r>
      <w:r w:rsidR="007439BF" w:rsidRPr="00C421CE">
        <w:t xml:space="preserve"> the </w:t>
      </w:r>
      <w:r w:rsidR="00767922" w:rsidRPr="00C421CE">
        <w:t xml:space="preserve">efficiency factor </w:t>
      </w:r>
      <w:r w:rsidR="00531C4B" w:rsidRPr="00531C4B">
        <w:t xml:space="preserve">set </w:t>
      </w:r>
      <w:r w:rsidR="00767922" w:rsidRPr="00C421CE">
        <w:t>at 0 percent,</w:t>
      </w:r>
      <w:r w:rsidR="0010613F" w:rsidRPr="00C421CE">
        <w:rPr>
          <w:rStyle w:val="FootnoteReference"/>
        </w:rPr>
        <w:footnoteReference w:id="18"/>
      </w:r>
      <w:r w:rsidR="00767922" w:rsidRPr="00C421CE">
        <w:t xml:space="preserve"> </w:t>
      </w:r>
      <w:r w:rsidR="00531C4B" w:rsidRPr="00531C4B">
        <w:t xml:space="preserve">application of the formula resulted in a </w:t>
      </w:r>
      <w:r w:rsidR="007439BF" w:rsidRPr="00C421CE">
        <w:t xml:space="preserve">proposed </w:t>
      </w:r>
      <w:r w:rsidR="00767922" w:rsidRPr="00C421CE">
        <w:t>rate equal to the $1.37 per minute interim rate</w:t>
      </w:r>
      <w:r w:rsidR="00531C4B" w:rsidRPr="00531C4B">
        <w:t xml:space="preserve"> and</w:t>
      </w:r>
      <w:r w:rsidR="00026024" w:rsidRPr="00C421CE">
        <w:t xml:space="preserve"> applicable to all IP Relay minutes</w:t>
      </w:r>
      <w:r w:rsidR="00767922" w:rsidRPr="00C421CE">
        <w:t xml:space="preserve">.  </w:t>
      </w:r>
      <w:r w:rsidR="00026024" w:rsidRPr="00C421CE">
        <w:t>No party opposes Rolka Loube’s recommend</w:t>
      </w:r>
      <w:r w:rsidR="002C0EA1" w:rsidRPr="00C421CE">
        <w:t>ed</w:t>
      </w:r>
      <w:r w:rsidR="007108C5" w:rsidRPr="00C421CE">
        <w:t xml:space="preserve"> rate</w:t>
      </w:r>
      <w:r w:rsidR="00026024" w:rsidRPr="00C421CE">
        <w:t>.</w:t>
      </w:r>
      <w:r w:rsidR="00026024" w:rsidRPr="00C421CE">
        <w:rPr>
          <w:rStyle w:val="FootnoteReference"/>
        </w:rPr>
        <w:footnoteReference w:id="19"/>
      </w:r>
      <w:r w:rsidR="00026024" w:rsidRPr="00C421CE">
        <w:t xml:space="preserve"> </w:t>
      </w:r>
      <w:r w:rsidR="004800E5" w:rsidRPr="00C421CE">
        <w:t xml:space="preserve"> </w:t>
      </w:r>
      <w:r w:rsidR="007439BF" w:rsidRPr="00C421CE">
        <w:t>Because it correctly applies the price cap formula to the current rate,</w:t>
      </w:r>
      <w:r w:rsidR="007439BF">
        <w:t xml:space="preserve"> w</w:t>
      </w:r>
      <w:r w:rsidR="00026024">
        <w:t xml:space="preserve">e </w:t>
      </w:r>
      <w:r w:rsidR="004C2CF5">
        <w:t xml:space="preserve">find Rolka Loube’s analysis to be reasonable and </w:t>
      </w:r>
      <w:r w:rsidR="00026024">
        <w:t xml:space="preserve">adopt the recommended rate of $1.37 per minute.  </w:t>
      </w:r>
    </w:p>
    <w:p w14:paraId="4C280496" w14:textId="7E8D3462" w:rsidR="0080541E" w:rsidRPr="00B157D2" w:rsidRDefault="006044EC" w:rsidP="004B4459">
      <w:pPr>
        <w:pStyle w:val="Heading2"/>
      </w:pPr>
      <w:r>
        <w:t xml:space="preserve">   </w:t>
      </w:r>
      <w:r w:rsidR="00B30AEB" w:rsidRPr="00B157D2">
        <w:t xml:space="preserve">  </w:t>
      </w:r>
      <w:r w:rsidR="0080541E" w:rsidRPr="00B157D2">
        <w:t xml:space="preserve">Compensation Rates for VRS </w:t>
      </w:r>
    </w:p>
    <w:p w14:paraId="5B96F050" w14:textId="0AAED095" w:rsidR="00330B96" w:rsidRDefault="009F02CD" w:rsidP="00DC16EE">
      <w:pPr>
        <w:pStyle w:val="ParaNum"/>
      </w:pPr>
      <w:r>
        <w:t>I</w:t>
      </w:r>
      <w:r w:rsidR="00D37365" w:rsidRPr="00B157D2">
        <w:t xml:space="preserve">n the </w:t>
      </w:r>
      <w:r w:rsidR="00D37365" w:rsidRPr="00B157D2">
        <w:rPr>
          <w:i/>
        </w:rPr>
        <w:t>VRS Reform Order</w:t>
      </w:r>
      <w:r w:rsidR="00C462E8">
        <w:t>,</w:t>
      </w:r>
      <w:r w:rsidR="00D37365" w:rsidRPr="00B157D2">
        <w:t xml:space="preserve"> the Commission </w:t>
      </w:r>
      <w:r w:rsidR="00497270" w:rsidRPr="00B157D2">
        <w:t>adopt</w:t>
      </w:r>
      <w:r w:rsidR="00D37365" w:rsidRPr="00B157D2">
        <w:t>ed</w:t>
      </w:r>
      <w:r w:rsidR="00497270" w:rsidRPr="00B157D2">
        <w:t xml:space="preserve"> </w:t>
      </w:r>
      <w:r w:rsidR="00D37365" w:rsidRPr="00B157D2">
        <w:t xml:space="preserve">a </w:t>
      </w:r>
      <w:r w:rsidR="00DF0D05">
        <w:t xml:space="preserve">schedule of </w:t>
      </w:r>
      <w:r w:rsidR="007976E5" w:rsidRPr="00B157D2">
        <w:t xml:space="preserve">step-by-step </w:t>
      </w:r>
      <w:r w:rsidR="00DF0D05">
        <w:t>downward adjustments of</w:t>
      </w:r>
      <w:r w:rsidR="007976E5" w:rsidRPr="00B157D2">
        <w:t xml:space="preserve"> </w:t>
      </w:r>
      <w:r w:rsidR="0080541E" w:rsidRPr="00B157D2">
        <w:t xml:space="preserve">VRS </w:t>
      </w:r>
      <w:r w:rsidR="00D37365" w:rsidRPr="00B157D2">
        <w:t xml:space="preserve">compensation </w:t>
      </w:r>
      <w:r w:rsidR="0080541E" w:rsidRPr="00B157D2">
        <w:t>rates</w:t>
      </w:r>
      <w:r w:rsidR="001C4906" w:rsidRPr="00B157D2">
        <w:t>,</w:t>
      </w:r>
      <w:r w:rsidR="00497270" w:rsidRPr="00B157D2">
        <w:t xml:space="preserve"> </w:t>
      </w:r>
      <w:r w:rsidR="00D837BE" w:rsidRPr="00D837BE">
        <w:t xml:space="preserve">to provide certainty to providers and </w:t>
      </w:r>
      <w:r w:rsidR="00C462E8">
        <w:t xml:space="preserve">to </w:t>
      </w:r>
      <w:r w:rsidR="00D837BE" w:rsidRPr="00D837BE">
        <w:t>establish a “glide path” toward cost-based levels</w:t>
      </w:r>
      <w:r w:rsidR="00D837BE">
        <w:t xml:space="preserve"> pending the completion of</w:t>
      </w:r>
      <w:r w:rsidR="00693F58" w:rsidRPr="00B157D2">
        <w:t xml:space="preserve"> structural reforms</w:t>
      </w:r>
      <w:r w:rsidR="00497270" w:rsidRPr="00B157D2">
        <w:t>.</w:t>
      </w:r>
      <w:r w:rsidRPr="00DD3D41">
        <w:rPr>
          <w:rStyle w:val="FootnoteReference"/>
        </w:rPr>
        <w:footnoteReference w:id="20"/>
      </w:r>
      <w:r w:rsidRPr="009F02CD">
        <w:t xml:space="preserve">  The applicable VRS compensation rates </w:t>
      </w:r>
      <w:r w:rsidR="004B4459">
        <w:t>for the period from July 1, 2015, through December 31, 2015</w:t>
      </w:r>
      <w:r w:rsidRPr="009F02CD">
        <w:t xml:space="preserve">, are:  </w:t>
      </w:r>
      <w:r w:rsidR="004C2CF5" w:rsidRPr="000D601E">
        <w:t>Tier I (</w:t>
      </w:r>
      <w:r w:rsidR="004C2CF5">
        <w:t>a provider’s 1</w:t>
      </w:r>
      <w:r w:rsidR="004C2CF5" w:rsidRPr="0035014D">
        <w:rPr>
          <w:vertAlign w:val="superscript"/>
        </w:rPr>
        <w:t>st</w:t>
      </w:r>
      <w:r w:rsidR="004C2CF5">
        <w:t xml:space="preserve"> </w:t>
      </w:r>
      <w:r w:rsidR="004C2CF5" w:rsidRPr="000D601E">
        <w:t xml:space="preserve">500,000 </w:t>
      </w:r>
      <w:r w:rsidR="004C2CF5">
        <w:t xml:space="preserve">monthly </w:t>
      </w:r>
      <w:r w:rsidR="004C2CF5" w:rsidRPr="000D601E">
        <w:t>minutes), $</w:t>
      </w:r>
      <w:r w:rsidR="004C2CF5">
        <w:t>5.06</w:t>
      </w:r>
      <w:r w:rsidR="004C2CF5" w:rsidRPr="000D601E">
        <w:t>; Tier II (</w:t>
      </w:r>
      <w:r w:rsidR="004C2CF5">
        <w:t xml:space="preserve">a provider’s </w:t>
      </w:r>
      <w:r w:rsidR="00C168A3">
        <w:t>2</w:t>
      </w:r>
      <w:r w:rsidR="00C168A3" w:rsidRPr="001657FE">
        <w:rPr>
          <w:vertAlign w:val="superscript"/>
        </w:rPr>
        <w:t>nd</w:t>
      </w:r>
      <w:r w:rsidR="00C168A3">
        <w:t xml:space="preserve"> 500,000 </w:t>
      </w:r>
      <w:r w:rsidR="004C2CF5">
        <w:t>monthly minutes</w:t>
      </w:r>
      <w:r w:rsidR="004C2CF5" w:rsidRPr="000D601E">
        <w:t>), $4.82; and Tier III (</w:t>
      </w:r>
      <w:r w:rsidR="004C2CF5">
        <w:t>a provider’s monthly minutes in excess of 1 million), $4.06</w:t>
      </w:r>
      <w:r w:rsidR="004C2CF5" w:rsidRPr="000D601E">
        <w:t xml:space="preserve">.  The applicable </w:t>
      </w:r>
      <w:r w:rsidR="004C2CF5" w:rsidRPr="00ED4A74">
        <w:t>pe</w:t>
      </w:r>
      <w:r w:rsidR="004C2CF5">
        <w:t xml:space="preserve">r-minute VRS compensation </w:t>
      </w:r>
      <w:r w:rsidR="004C2CF5" w:rsidRPr="000D601E">
        <w:t>rates for</w:t>
      </w:r>
      <w:r w:rsidR="004C2CF5">
        <w:t xml:space="preserve"> the period from January 1, 2016, through June 30, 2016</w:t>
      </w:r>
      <w:r w:rsidR="004C2CF5" w:rsidRPr="000D601E">
        <w:t xml:space="preserve">, </w:t>
      </w:r>
      <w:r w:rsidR="004C2CF5">
        <w:t>are</w:t>
      </w:r>
      <w:r w:rsidR="004C2CF5" w:rsidRPr="000D601E">
        <w:t>:  Tier I, $</w:t>
      </w:r>
      <w:r w:rsidR="004C2CF5">
        <w:t>4.82</w:t>
      </w:r>
      <w:r w:rsidR="004C2CF5" w:rsidRPr="000D601E">
        <w:t>; Tier II, $4.82; Tier III</w:t>
      </w:r>
      <w:r w:rsidR="004C2CF5">
        <w:t>, $3.87</w:t>
      </w:r>
      <w:r w:rsidR="004C2CF5" w:rsidRPr="000D601E">
        <w:t>.</w:t>
      </w:r>
      <w:r w:rsidRPr="00DD3D41">
        <w:rPr>
          <w:rStyle w:val="FootnoteReference"/>
        </w:rPr>
        <w:footnoteReference w:id="21"/>
      </w:r>
      <w:r w:rsidRPr="009F02CD">
        <w:t xml:space="preserve">  </w:t>
      </w:r>
    </w:p>
    <w:p w14:paraId="648D5F0B" w14:textId="4FFA817A" w:rsidR="009A218D" w:rsidRDefault="00330B96" w:rsidP="00DC16EE">
      <w:pPr>
        <w:pStyle w:val="ParaNum"/>
      </w:pPr>
      <w:r>
        <w:t xml:space="preserve">Several </w:t>
      </w:r>
      <w:r w:rsidR="00C462E8">
        <w:t xml:space="preserve">parties commenting on the </w:t>
      </w:r>
      <w:r w:rsidR="00C462E8" w:rsidRPr="00C462E8">
        <w:rPr>
          <w:i/>
        </w:rPr>
        <w:t>2015 TRS Rate PN</w:t>
      </w:r>
      <w:r>
        <w:t xml:space="preserve"> </w:t>
      </w:r>
      <w:r w:rsidR="00E66679">
        <w:t xml:space="preserve">expressed concern that </w:t>
      </w:r>
      <w:r w:rsidR="00ED602B">
        <w:t xml:space="preserve">these rates </w:t>
      </w:r>
      <w:r w:rsidR="003B2823">
        <w:t xml:space="preserve">and a TRS Fund contribution factor </w:t>
      </w:r>
      <w:r w:rsidR="00ED602B">
        <w:t>will be ad</w:t>
      </w:r>
      <w:r w:rsidR="00E66679">
        <w:t>opted</w:t>
      </w:r>
      <w:r>
        <w:t xml:space="preserve"> without </w:t>
      </w:r>
      <w:r w:rsidR="003B2823">
        <w:t xml:space="preserve">the Commission having </w:t>
      </w:r>
      <w:r w:rsidR="00E66679">
        <w:t xml:space="preserve">first </w:t>
      </w:r>
      <w:r w:rsidR="003B2823">
        <w:t>received</w:t>
      </w:r>
      <w:r>
        <w:t xml:space="preserve"> comment</w:t>
      </w:r>
      <w:r w:rsidR="003B2823">
        <w:t>s</w:t>
      </w:r>
      <w:r>
        <w:t xml:space="preserve"> on the </w:t>
      </w:r>
      <w:r w:rsidR="00DD0A67">
        <w:t xml:space="preserve">Joint </w:t>
      </w:r>
      <w:r w:rsidR="001657FE">
        <w:t xml:space="preserve">VRS Providers </w:t>
      </w:r>
      <w:r w:rsidR="00DD0A67">
        <w:t>Proposal.</w:t>
      </w:r>
      <w:r w:rsidR="00DD0A67">
        <w:rPr>
          <w:rStyle w:val="FootnoteReference"/>
        </w:rPr>
        <w:footnoteReference w:id="22"/>
      </w:r>
      <w:r w:rsidR="008F1038" w:rsidRPr="00B157D2">
        <w:t xml:space="preserve"> </w:t>
      </w:r>
      <w:r w:rsidR="00DD0A67">
        <w:t xml:space="preserve"> </w:t>
      </w:r>
      <w:r w:rsidR="003D7612">
        <w:t xml:space="preserve">Generally, these commenters also assert that </w:t>
      </w:r>
      <w:r w:rsidR="00E66679">
        <w:t xml:space="preserve">the </w:t>
      </w:r>
      <w:r w:rsidR="00E66679" w:rsidRPr="001657FE">
        <w:rPr>
          <w:i/>
        </w:rPr>
        <w:t>VRS Reform Order</w:t>
      </w:r>
      <w:r w:rsidR="00E66679">
        <w:t xml:space="preserve"> rates provide</w:t>
      </w:r>
      <w:r w:rsidR="003D7612">
        <w:t xml:space="preserve"> inadequate compensation and jeopardize</w:t>
      </w:r>
      <w:r w:rsidR="001B688B">
        <w:t xml:space="preserve"> the quality and</w:t>
      </w:r>
      <w:r w:rsidR="003D7612">
        <w:t xml:space="preserve"> continued </w:t>
      </w:r>
      <w:r w:rsidR="001B688B">
        <w:t xml:space="preserve">provision of </w:t>
      </w:r>
      <w:r w:rsidR="003D7612">
        <w:t>service.</w:t>
      </w:r>
      <w:r w:rsidR="003D7612">
        <w:rPr>
          <w:rStyle w:val="FootnoteReference"/>
        </w:rPr>
        <w:footnoteReference w:id="23"/>
      </w:r>
      <w:r w:rsidR="003D7612">
        <w:t xml:space="preserve">  </w:t>
      </w:r>
      <w:r w:rsidR="00DD0A67">
        <w:t xml:space="preserve">Additionally, </w:t>
      </w:r>
      <w:r w:rsidR="00345F68">
        <w:t xml:space="preserve">the </w:t>
      </w:r>
      <w:r w:rsidR="00DD0A67">
        <w:t>Consumer Groups object that the computation of VRS provider</w:t>
      </w:r>
      <w:r w:rsidR="000C4037">
        <w:t>s’</w:t>
      </w:r>
      <w:r w:rsidR="00DD0A67">
        <w:t xml:space="preserve"> costs</w:t>
      </w:r>
      <w:r w:rsidR="00090C06">
        <w:t xml:space="preserve"> presented in the </w:t>
      </w:r>
      <w:r w:rsidR="00090C06" w:rsidRPr="00C6249E">
        <w:rPr>
          <w:i/>
        </w:rPr>
        <w:t>2015 TRS Rate Filing</w:t>
      </w:r>
      <w:r w:rsidR="00DD0A67">
        <w:t xml:space="preserve"> understate</w:t>
      </w:r>
      <w:r w:rsidR="00E66679">
        <w:t>s</w:t>
      </w:r>
      <w:r w:rsidR="00DD0A67">
        <w:t xml:space="preserve"> those costs and exclu</w:t>
      </w:r>
      <w:r w:rsidR="00090C06">
        <w:t>des</w:t>
      </w:r>
      <w:r w:rsidR="00DD0A67">
        <w:t xml:space="preserve"> certain categories </w:t>
      </w:r>
      <w:r w:rsidR="00090C06">
        <w:t xml:space="preserve">of costs </w:t>
      </w:r>
      <w:r w:rsidR="00DD0A67">
        <w:t>(</w:t>
      </w:r>
      <w:r w:rsidR="00DD0A67" w:rsidRPr="00DD0A67">
        <w:rPr>
          <w:i/>
        </w:rPr>
        <w:t>e.g.</w:t>
      </w:r>
      <w:r w:rsidR="00DD0A67">
        <w:t xml:space="preserve">, R&amp;D, borrowed funds) </w:t>
      </w:r>
      <w:r w:rsidR="00090C06">
        <w:t>that they contend should be included as necessary to the provision of VRS</w:t>
      </w:r>
      <w:r w:rsidR="00DD0A67">
        <w:t>.</w:t>
      </w:r>
      <w:r w:rsidR="00DD0A67">
        <w:rPr>
          <w:rStyle w:val="FootnoteReference"/>
        </w:rPr>
        <w:footnoteReference w:id="24"/>
      </w:r>
      <w:r w:rsidR="00A33425">
        <w:t xml:space="preserve">  </w:t>
      </w:r>
    </w:p>
    <w:p w14:paraId="3644BB38" w14:textId="43434F59" w:rsidR="00DC16EE" w:rsidRPr="00B157D2" w:rsidRDefault="00ED602B" w:rsidP="00DC16EE">
      <w:pPr>
        <w:pStyle w:val="ParaNum"/>
      </w:pPr>
      <w:r>
        <w:t>T</w:t>
      </w:r>
      <w:r w:rsidR="00090C06" w:rsidRPr="00B157D2">
        <w:t>h</w:t>
      </w:r>
      <w:r w:rsidR="00090C06">
        <w:t xml:space="preserve">e VRS compensation rates </w:t>
      </w:r>
      <w:r w:rsidR="0091331E">
        <w:t xml:space="preserve">designated </w:t>
      </w:r>
      <w:r w:rsidR="00090C06">
        <w:t xml:space="preserve">for 2015-16 </w:t>
      </w:r>
      <w:r w:rsidR="00090C06" w:rsidRPr="00B157D2">
        <w:t>were adopted by the Commission</w:t>
      </w:r>
      <w:r w:rsidR="00090C06">
        <w:t xml:space="preserve"> in the </w:t>
      </w:r>
      <w:r w:rsidR="00090C06" w:rsidRPr="001657FE">
        <w:rPr>
          <w:i/>
        </w:rPr>
        <w:t>VRS Reform Order</w:t>
      </w:r>
      <w:r w:rsidR="00090C06">
        <w:t xml:space="preserve"> and consequently are not subject to modification</w:t>
      </w:r>
      <w:r w:rsidR="00090C06" w:rsidRPr="00B157D2">
        <w:t xml:space="preserve"> in this </w:t>
      </w:r>
      <w:r w:rsidR="00090C06">
        <w:t>O</w:t>
      </w:r>
      <w:r w:rsidR="00090C06" w:rsidRPr="00B157D2">
        <w:t xml:space="preserve">rder. </w:t>
      </w:r>
      <w:r w:rsidR="001657FE">
        <w:t xml:space="preserve"> </w:t>
      </w:r>
      <w:r w:rsidR="00090C06">
        <w:t xml:space="preserve">The parties’ </w:t>
      </w:r>
      <w:r w:rsidR="001657FE">
        <w:t>c</w:t>
      </w:r>
      <w:r w:rsidR="00090C06">
        <w:t xml:space="preserve">omments </w:t>
      </w:r>
      <w:r w:rsidR="001657FE">
        <w:t xml:space="preserve">on whether these rates are appropriate will be treated as part of </w:t>
      </w:r>
      <w:r w:rsidR="00BD5754">
        <w:t xml:space="preserve">the record </w:t>
      </w:r>
      <w:r w:rsidR="001657FE">
        <w:t>re</w:t>
      </w:r>
      <w:r w:rsidR="00345F68">
        <w:t>lat</w:t>
      </w:r>
      <w:r w:rsidR="001657FE">
        <w:t xml:space="preserve">ing </w:t>
      </w:r>
      <w:r w:rsidR="00345F68">
        <w:t xml:space="preserve">to </w:t>
      </w:r>
      <w:r w:rsidR="001657FE">
        <w:t xml:space="preserve">the Joint VRS Providers Proposal, and any action </w:t>
      </w:r>
      <w:r w:rsidR="00345F68">
        <w:t>in response to</w:t>
      </w:r>
      <w:r w:rsidR="001657FE">
        <w:t xml:space="preserve"> that proposal </w:t>
      </w:r>
      <w:r w:rsidR="00BD5754">
        <w:t xml:space="preserve">will be addressed </w:t>
      </w:r>
      <w:r>
        <w:t>separately from this</w:t>
      </w:r>
      <w:r w:rsidR="00BD5754">
        <w:t xml:space="preserve"> </w:t>
      </w:r>
      <w:r>
        <w:t>O</w:t>
      </w:r>
      <w:r w:rsidR="00BD5754">
        <w:t>rder.</w:t>
      </w:r>
      <w:r w:rsidR="000C4037">
        <w:t xml:space="preserve">  </w:t>
      </w:r>
      <w:r w:rsidR="00820A4A">
        <w:t xml:space="preserve">Further, notwithstanding the Consumer Groups’ concerns, the TRS </w:t>
      </w:r>
      <w:r w:rsidR="00820A4A" w:rsidRPr="007E4066">
        <w:t xml:space="preserve">Fund </w:t>
      </w:r>
      <w:r w:rsidR="00820A4A">
        <w:t xml:space="preserve">revenue </w:t>
      </w:r>
      <w:r w:rsidR="00820A4A" w:rsidRPr="007E4066">
        <w:t>requirement</w:t>
      </w:r>
      <w:r w:rsidR="00820A4A">
        <w:t xml:space="preserve"> and contribution factor set in this Order </w:t>
      </w:r>
      <w:r w:rsidR="009A218D">
        <w:t>may be</w:t>
      </w:r>
      <w:r w:rsidR="00820A4A">
        <w:t xml:space="preserve"> </w:t>
      </w:r>
      <w:r w:rsidR="009A218D">
        <w:t>adjusted by the Commission</w:t>
      </w:r>
      <w:r w:rsidR="00820A4A">
        <w:t xml:space="preserve"> </w:t>
      </w:r>
      <w:r w:rsidR="009A218D">
        <w:t xml:space="preserve">should it become necessary </w:t>
      </w:r>
      <w:r w:rsidR="0091331E">
        <w:t xml:space="preserve">as a result of </w:t>
      </w:r>
      <w:r w:rsidR="009A218D">
        <w:t>subsequent Commission action</w:t>
      </w:r>
      <w:r w:rsidR="00820A4A">
        <w:t>.</w:t>
      </w:r>
      <w:r w:rsidR="009A218D">
        <w:rPr>
          <w:rStyle w:val="FootnoteReference"/>
        </w:rPr>
        <w:footnoteReference w:id="25"/>
      </w:r>
    </w:p>
    <w:p w14:paraId="5F08FB03" w14:textId="77777777" w:rsidR="0080541E" w:rsidRPr="00C36A0A" w:rsidRDefault="0080541E">
      <w:pPr>
        <w:pStyle w:val="Heading2"/>
      </w:pPr>
      <w:r w:rsidRPr="00C36A0A">
        <w:t>The Carrier Contribution Factor and Funding Requirement</w:t>
      </w:r>
    </w:p>
    <w:p w14:paraId="685853BC" w14:textId="4EE38C37" w:rsidR="00150FCF" w:rsidRDefault="000F41A1" w:rsidP="00126639">
      <w:pPr>
        <w:pStyle w:val="ParaNum"/>
      </w:pPr>
      <w:r w:rsidRPr="007E4066">
        <w:t xml:space="preserve">We adopt </w:t>
      </w:r>
      <w:r w:rsidR="00E3194D">
        <w:t xml:space="preserve">Rolka Loube’s proposed </w:t>
      </w:r>
      <w:r w:rsidRPr="007E4066">
        <w:t xml:space="preserve">funding requirement of </w:t>
      </w:r>
      <w:r w:rsidR="00BB54BB" w:rsidRPr="00456C4B">
        <w:t>$1,048,050,673</w:t>
      </w:r>
      <w:r w:rsidR="00BB54BB">
        <w:t xml:space="preserve"> </w:t>
      </w:r>
      <w:r w:rsidR="0048186F" w:rsidRPr="00FF1E8A">
        <w:t xml:space="preserve">and </w:t>
      </w:r>
      <w:r w:rsidR="00AF25BA" w:rsidRPr="007E4066">
        <w:t xml:space="preserve">carrier contribution factor of </w:t>
      </w:r>
      <w:r w:rsidR="0048186F" w:rsidRPr="00831E26">
        <w:t>0.</w:t>
      </w:r>
      <w:r w:rsidR="00831E26" w:rsidRPr="00831E26">
        <w:t>01</w:t>
      </w:r>
      <w:r w:rsidR="00B21351">
        <w:t>6</w:t>
      </w:r>
      <w:r w:rsidR="00150FCF">
        <w:t>35</w:t>
      </w:r>
      <w:r w:rsidR="00831E26" w:rsidRPr="00C3230A">
        <w:t xml:space="preserve"> </w:t>
      </w:r>
      <w:r w:rsidRPr="007E4066">
        <w:t xml:space="preserve">for the </w:t>
      </w:r>
      <w:r w:rsidR="00B21351">
        <w:t>2015-16</w:t>
      </w:r>
      <w:r w:rsidRPr="007E4066">
        <w:t xml:space="preserve"> </w:t>
      </w:r>
      <w:r w:rsidR="00032BC9">
        <w:t>Fund Year</w:t>
      </w:r>
      <w:r w:rsidRPr="007E4066">
        <w:t>.</w:t>
      </w:r>
      <w:r w:rsidR="00E3194D" w:rsidRPr="00DD3D41">
        <w:rPr>
          <w:rStyle w:val="FootnoteReference"/>
        </w:rPr>
        <w:footnoteReference w:id="26"/>
      </w:r>
      <w:r w:rsidR="00ED602B">
        <w:t xml:space="preserve">  </w:t>
      </w:r>
      <w:r w:rsidRPr="002678EA">
        <w:t>Th</w:t>
      </w:r>
      <w:r w:rsidRPr="007E4066">
        <w:t xml:space="preserve">e Fund administrator calculates the annual funding requirement by adding together the projected payments to TRS providers for each form of TRS, based on the proposed rates and projected minutes of use, plus administrative expenses and other funding requirements noted above, less surplus amounts from the previous </w:t>
      </w:r>
      <w:r w:rsidR="00032BC9">
        <w:t>Fund Year</w:t>
      </w:r>
      <w:r w:rsidRPr="007E4066">
        <w:t xml:space="preserve"> that can be used to offset the </w:t>
      </w:r>
      <w:r w:rsidR="00032BC9">
        <w:t>201</w:t>
      </w:r>
      <w:r w:rsidR="00B21351">
        <w:t>5-16</w:t>
      </w:r>
      <w:r w:rsidRPr="007E4066">
        <w:t xml:space="preserve"> </w:t>
      </w:r>
      <w:r w:rsidR="00032BC9">
        <w:t>Fund Year</w:t>
      </w:r>
      <w:r w:rsidRPr="007E4066">
        <w:t xml:space="preserve"> requirement.</w:t>
      </w:r>
      <w:r w:rsidR="00B461BF">
        <w:rPr>
          <w:rStyle w:val="FootnoteReference"/>
        </w:rPr>
        <w:footnoteReference w:id="27"/>
      </w:r>
      <w:r w:rsidRPr="007E4066">
        <w:t xml:space="preserve">  The contribution factor is based on the ratio between </w:t>
      </w:r>
      <w:r w:rsidR="00345F68">
        <w:t>the net</w:t>
      </w:r>
      <w:r w:rsidRPr="007E4066">
        <w:t xml:space="preserve"> </w:t>
      </w:r>
      <w:r w:rsidR="00345F68">
        <w:t>funding</w:t>
      </w:r>
      <w:r w:rsidRPr="007E4066">
        <w:t xml:space="preserve"> </w:t>
      </w:r>
      <w:r w:rsidR="00345F68">
        <w:t>requirement</w:t>
      </w:r>
      <w:r w:rsidRPr="007E4066">
        <w:t xml:space="preserve"> and </w:t>
      </w:r>
      <w:r w:rsidR="0091331E">
        <w:t xml:space="preserve">total </w:t>
      </w:r>
      <w:r w:rsidRPr="007E4066">
        <w:t xml:space="preserve">interstate </w:t>
      </w:r>
      <w:r w:rsidR="0091331E">
        <w:t xml:space="preserve">and international </w:t>
      </w:r>
      <w:r w:rsidRPr="007E4066">
        <w:t>end-user revenues.</w:t>
      </w:r>
      <w:r w:rsidR="008C039D">
        <w:rPr>
          <w:rStyle w:val="FootnoteReference"/>
        </w:rPr>
        <w:footnoteReference w:id="28"/>
      </w:r>
      <w:r w:rsidRPr="007E4066">
        <w:t xml:space="preserve">  </w:t>
      </w:r>
      <w:r w:rsidR="00CE0841">
        <w:t xml:space="preserve"> </w:t>
      </w:r>
      <w:r w:rsidR="00311F30" w:rsidRPr="00BC298C">
        <w:t xml:space="preserve"> </w:t>
      </w:r>
    </w:p>
    <w:p w14:paraId="25F92551" w14:textId="72802358" w:rsidR="0069163F" w:rsidRDefault="00E3194D" w:rsidP="005C730F">
      <w:pPr>
        <w:pStyle w:val="ParaNum"/>
      </w:pPr>
      <w:r w:rsidRPr="00BC298C">
        <w:t xml:space="preserve">Several commenters oppose </w:t>
      </w:r>
      <w:r>
        <w:t xml:space="preserve">Rolka Loube’s proposed funding requirement and contribution factor.  </w:t>
      </w:r>
      <w:r w:rsidR="00311F30" w:rsidRPr="00BC298C">
        <w:t>COMPTEL</w:t>
      </w:r>
      <w:r w:rsidR="00933398" w:rsidRPr="00BC298C">
        <w:t xml:space="preserve"> contend</w:t>
      </w:r>
      <w:r>
        <w:t>s</w:t>
      </w:r>
      <w:r w:rsidR="00933398" w:rsidRPr="00BC298C">
        <w:t xml:space="preserve"> that this increase</w:t>
      </w:r>
      <w:r>
        <w:t>d funding</w:t>
      </w:r>
      <w:r w:rsidR="00933398" w:rsidRPr="00BC298C">
        <w:t xml:space="preserve"> </w:t>
      </w:r>
      <w:r>
        <w:t>will place</w:t>
      </w:r>
      <w:r w:rsidR="00933398" w:rsidRPr="00BC298C">
        <w:t xml:space="preserve"> a substantial burden on carriers</w:t>
      </w:r>
      <w:r w:rsidR="00311F30" w:rsidRPr="00BC298C">
        <w:t xml:space="preserve"> </w:t>
      </w:r>
      <w:r w:rsidR="00933398" w:rsidRPr="00BC298C">
        <w:t xml:space="preserve">and that </w:t>
      </w:r>
      <w:r w:rsidR="0026055F">
        <w:t>some</w:t>
      </w:r>
      <w:r w:rsidR="00933398" w:rsidRPr="00BC298C">
        <w:t xml:space="preserve"> providers will </w:t>
      </w:r>
      <w:r w:rsidR="0026055F">
        <w:t xml:space="preserve">not </w:t>
      </w:r>
      <w:r w:rsidR="00933398" w:rsidRPr="00BC298C">
        <w:t>be able to pass the</w:t>
      </w:r>
      <w:r w:rsidR="0026055F">
        <w:t>ir share of the</w:t>
      </w:r>
      <w:r w:rsidR="00933398" w:rsidRPr="00BC298C">
        <w:t xml:space="preserve"> increase through to end users due to </w:t>
      </w:r>
      <w:r w:rsidR="00C916E8" w:rsidRPr="00BC298C">
        <w:t>c</w:t>
      </w:r>
      <w:r w:rsidR="00933398" w:rsidRPr="00BC298C">
        <w:t>ontracts or other billing arrangements.</w:t>
      </w:r>
      <w:r w:rsidR="00933398" w:rsidRPr="00BC298C">
        <w:rPr>
          <w:rStyle w:val="FootnoteReference"/>
        </w:rPr>
        <w:footnoteReference w:id="29"/>
      </w:r>
      <w:r w:rsidR="00933398" w:rsidRPr="00BC298C">
        <w:t xml:space="preserve">  </w:t>
      </w:r>
      <w:r w:rsidR="00224DE0">
        <w:t>T</w:t>
      </w:r>
      <w:r w:rsidR="003915EF">
        <w:t xml:space="preserve">he </w:t>
      </w:r>
      <w:r w:rsidR="00150FCF">
        <w:t xml:space="preserve">proposed </w:t>
      </w:r>
      <w:r w:rsidR="003915EF">
        <w:t xml:space="preserve">funding </w:t>
      </w:r>
      <w:r w:rsidR="00150FCF">
        <w:t xml:space="preserve">requirement </w:t>
      </w:r>
      <w:r w:rsidR="003915EF">
        <w:t>is based on rates</w:t>
      </w:r>
      <w:r w:rsidR="00872B27">
        <w:t xml:space="preserve"> that we </w:t>
      </w:r>
      <w:r w:rsidR="0091331E">
        <w:t>approve</w:t>
      </w:r>
      <w:r w:rsidR="00872B27">
        <w:t xml:space="preserve"> </w:t>
      </w:r>
      <w:r w:rsidR="0091331E">
        <w:t xml:space="preserve">in this Order </w:t>
      </w:r>
      <w:r w:rsidR="00872B27">
        <w:t xml:space="preserve">(or that were previously </w:t>
      </w:r>
      <w:r w:rsidR="0091331E">
        <w:t>establish</w:t>
      </w:r>
      <w:r w:rsidR="00872B27">
        <w:t xml:space="preserve">ed by the Commission) and on </w:t>
      </w:r>
      <w:r w:rsidR="00C421CE" w:rsidRPr="00C421CE">
        <w:t>projections of TRS demand</w:t>
      </w:r>
      <w:r w:rsidR="00224DE0">
        <w:t xml:space="preserve"> developed by the Administrator or submitted by TRS providers</w:t>
      </w:r>
      <w:r w:rsidR="00872B27">
        <w:t>.</w:t>
      </w:r>
      <w:r w:rsidR="00224DE0">
        <w:rPr>
          <w:rStyle w:val="FootnoteReference"/>
        </w:rPr>
        <w:footnoteReference w:id="30"/>
      </w:r>
      <w:r w:rsidR="00872B27">
        <w:t xml:space="preserve">  </w:t>
      </w:r>
      <w:r w:rsidR="00464CF4">
        <w:t>For traditional TRS, STS, and CTS, Rolka projected demand using recent historical data, an approach that has historically provided reasonably accurate results for these services.</w:t>
      </w:r>
      <w:r w:rsidR="00464CF4">
        <w:rPr>
          <w:rStyle w:val="FootnoteReference"/>
        </w:rPr>
        <w:footnoteReference w:id="31"/>
      </w:r>
      <w:r w:rsidR="00464CF4">
        <w:t xml:space="preserve">  </w:t>
      </w:r>
      <w:r w:rsidR="004A3D31">
        <w:t xml:space="preserve">For VRS and IP Relay, </w:t>
      </w:r>
      <w:r w:rsidR="00224DE0">
        <w:t xml:space="preserve">Rolka Loube </w:t>
      </w:r>
      <w:r w:rsidR="004A3D31">
        <w:t>relied on t</w:t>
      </w:r>
      <w:r w:rsidR="00224DE0">
        <w:t>he providers’ demand projections</w:t>
      </w:r>
      <w:r w:rsidR="004A3D31">
        <w:t>, an approach that in recent years has provided reasonably accurate results for those services.</w:t>
      </w:r>
      <w:r w:rsidR="004A3D31">
        <w:rPr>
          <w:rStyle w:val="FootnoteReference"/>
        </w:rPr>
        <w:footnoteReference w:id="32"/>
      </w:r>
      <w:r w:rsidR="004A3D31">
        <w:t xml:space="preserve">  For IP </w:t>
      </w:r>
      <w:r w:rsidR="008E6AD0">
        <w:t>CTS, Rolka Loube reviewed the providers’ projections in detail in light of the complicated regulatory history that has affected recent growth patterns for this service.</w:t>
      </w:r>
      <w:r w:rsidR="008E6AD0">
        <w:rPr>
          <w:rStyle w:val="FootnoteReference"/>
        </w:rPr>
        <w:footnoteReference w:id="33"/>
      </w:r>
      <w:r w:rsidR="008E6AD0">
        <w:t xml:space="preserve">  Rolka Loube found the providers’ combined forecast reasonably valid, and no party disputes </w:t>
      </w:r>
      <w:r w:rsidR="00EC4AC5">
        <w:t>that finding</w:t>
      </w:r>
      <w:r w:rsidR="008E6AD0">
        <w:t>.</w:t>
      </w:r>
      <w:r w:rsidR="008E6AD0">
        <w:rPr>
          <w:rStyle w:val="FootnoteReference"/>
        </w:rPr>
        <w:footnoteReference w:id="34"/>
      </w:r>
      <w:r w:rsidR="008E6AD0">
        <w:t xml:space="preserve">  </w:t>
      </w:r>
      <w:r w:rsidR="00EC4AC5">
        <w:t>Accordingly, we find that Rolka Loube’s TRS demand projections are reasonable and that its proposed funding requirement and contribution factor are likewise reasonable.</w:t>
      </w:r>
      <w:r w:rsidR="004A3D31">
        <w:t xml:space="preserve"> </w:t>
      </w:r>
      <w:r w:rsidR="00224DE0">
        <w:t xml:space="preserve"> </w:t>
      </w:r>
      <w:r w:rsidR="00872B27">
        <w:t>COMPTEL also</w:t>
      </w:r>
      <w:r w:rsidR="00872B27" w:rsidRPr="00BC298C">
        <w:t xml:space="preserve"> asks </w:t>
      </w:r>
      <w:r w:rsidR="001B67F1">
        <w:t>for clarification</w:t>
      </w:r>
      <w:r w:rsidR="00872B27" w:rsidRPr="00BC298C">
        <w:t xml:space="preserve"> th</w:t>
      </w:r>
      <w:r w:rsidR="00872B27">
        <w:t>at</w:t>
      </w:r>
      <w:r w:rsidR="00872B27" w:rsidRPr="00BC298C">
        <w:t xml:space="preserve"> carriers are not prohibited from recovering TRS contributions through line items on customer bills so that they do not view the increases as arbitrary increases by the carrier.</w:t>
      </w:r>
      <w:r w:rsidR="00872B27" w:rsidRPr="00BC298C">
        <w:rPr>
          <w:rStyle w:val="FootnoteReference"/>
        </w:rPr>
        <w:footnoteReference w:id="35"/>
      </w:r>
      <w:r w:rsidR="00872B27" w:rsidRPr="00BC298C">
        <w:t xml:space="preserve">  </w:t>
      </w:r>
      <w:r w:rsidR="00150FCF">
        <w:t>T</w:t>
      </w:r>
      <w:r w:rsidR="00150FCF" w:rsidRPr="00150FCF">
        <w:t xml:space="preserve">he Commission has </w:t>
      </w:r>
      <w:r w:rsidR="00401710">
        <w:t xml:space="preserve">long </w:t>
      </w:r>
      <w:r w:rsidR="00150FCF" w:rsidRPr="00150FCF">
        <w:t xml:space="preserve">prohibited </w:t>
      </w:r>
      <w:r w:rsidR="00401710">
        <w:t xml:space="preserve">carriers from specifically identifying </w:t>
      </w:r>
      <w:r w:rsidR="001B67F1">
        <w:t>charges</w:t>
      </w:r>
      <w:r w:rsidR="000C62BB">
        <w:t xml:space="preserve"> for</w:t>
      </w:r>
      <w:r w:rsidR="00150FCF" w:rsidRPr="00150FCF">
        <w:t xml:space="preserve"> TRS </w:t>
      </w:r>
      <w:r w:rsidR="00401710">
        <w:t xml:space="preserve">Fund contribution </w:t>
      </w:r>
      <w:r w:rsidR="00150FCF" w:rsidRPr="00150FCF">
        <w:t>costs</w:t>
      </w:r>
      <w:r w:rsidR="001B67F1">
        <w:t xml:space="preserve"> in customer bills</w:t>
      </w:r>
      <w:r w:rsidR="00401710">
        <w:t>,</w:t>
      </w:r>
      <w:r w:rsidR="00150FCF" w:rsidRPr="00150FCF">
        <w:t xml:space="preserve"> and </w:t>
      </w:r>
      <w:r w:rsidR="00401710">
        <w:t>there is no basis for the Bureau to depart in this Order</w:t>
      </w:r>
      <w:r w:rsidR="00150FCF" w:rsidRPr="00150FCF">
        <w:t xml:space="preserve"> from the Commission’s prior decision</w:t>
      </w:r>
      <w:r w:rsidR="00401710">
        <w:t>s</w:t>
      </w:r>
      <w:r w:rsidR="0091331E">
        <w:t xml:space="preserve"> on this point</w:t>
      </w:r>
      <w:r w:rsidR="00150FCF" w:rsidRPr="00150FCF">
        <w:t>.</w:t>
      </w:r>
      <w:r w:rsidR="00401710">
        <w:rPr>
          <w:rStyle w:val="FootnoteReference"/>
        </w:rPr>
        <w:footnoteReference w:id="36"/>
      </w:r>
      <w:r w:rsidR="00401710" w:rsidRPr="00836836">
        <w:t xml:space="preserve"> </w:t>
      </w:r>
    </w:p>
    <w:p w14:paraId="565F5594" w14:textId="28E7748D" w:rsidR="00812B16" w:rsidRDefault="00180EE1" w:rsidP="005C730F">
      <w:pPr>
        <w:pStyle w:val="ParaNum"/>
      </w:pPr>
      <w:r>
        <w:t>IDT urges disapproval of the proposed funding requirement and contribution factor because they are</w:t>
      </w:r>
      <w:r w:rsidR="001B67F1">
        <w:t>,</w:t>
      </w:r>
      <w:r>
        <w:t xml:space="preserve"> “</w:t>
      </w:r>
      <w:r w:rsidR="00311F30" w:rsidRPr="00BC298C">
        <w:t xml:space="preserve">in part, based on funding of </w:t>
      </w:r>
      <w:r>
        <w:t>intrastate</w:t>
      </w:r>
      <w:r w:rsidR="00311F30" w:rsidRPr="00BC298C">
        <w:t xml:space="preserve"> </w:t>
      </w:r>
      <w:r>
        <w:t xml:space="preserve">[Internet-based </w:t>
      </w:r>
      <w:r w:rsidR="00311F30" w:rsidRPr="00BC298C">
        <w:t>relay services</w:t>
      </w:r>
      <w:r>
        <w:t>]</w:t>
      </w:r>
      <w:r w:rsidR="00311F30" w:rsidRPr="00BC298C">
        <w:t xml:space="preserve"> from the </w:t>
      </w:r>
      <w:r>
        <w:t xml:space="preserve">interstate and </w:t>
      </w:r>
      <w:r w:rsidR="00311F30" w:rsidRPr="00BC298C">
        <w:t xml:space="preserve">international </w:t>
      </w:r>
      <w:r>
        <w:t xml:space="preserve">jurisdictions and not from the intrastate </w:t>
      </w:r>
      <w:r w:rsidR="00311F30" w:rsidRPr="00BC298C">
        <w:t>jurisdiction</w:t>
      </w:r>
      <w:r>
        <w:t xml:space="preserve"> . . . [and] funding of domestic relay services from the international jurisdiction.</w:t>
      </w:r>
      <w:r w:rsidR="00A07CAE">
        <w:t>”</w:t>
      </w:r>
      <w:r w:rsidR="00311F30" w:rsidRPr="00BC298C">
        <w:rPr>
          <w:rStyle w:val="FootnoteReference"/>
        </w:rPr>
        <w:footnoteReference w:id="37"/>
      </w:r>
      <w:r w:rsidR="00311F30" w:rsidRPr="00BC298C">
        <w:t xml:space="preserve">  </w:t>
      </w:r>
      <w:r w:rsidR="00A07CAE">
        <w:t xml:space="preserve">IDT contends that such funding </w:t>
      </w:r>
      <w:r w:rsidR="00812B16">
        <w:t>practices</w:t>
      </w:r>
      <w:r w:rsidR="00311F30" w:rsidRPr="00BC298C">
        <w:t xml:space="preserve"> violate </w:t>
      </w:r>
      <w:r w:rsidR="0069163F">
        <w:t>section 225</w:t>
      </w:r>
      <w:r w:rsidR="00311F30" w:rsidRPr="00BC298C">
        <w:t xml:space="preserve"> and cause harm to providers whose revenue is primarily interstate</w:t>
      </w:r>
      <w:r w:rsidR="00812B16">
        <w:t xml:space="preserve"> and/or international</w:t>
      </w:r>
      <w:r w:rsidR="00311F30" w:rsidRPr="00BC298C">
        <w:t>.</w:t>
      </w:r>
      <w:r w:rsidR="00311F30" w:rsidRPr="00BC298C">
        <w:rPr>
          <w:rStyle w:val="FootnoteReference"/>
        </w:rPr>
        <w:footnoteReference w:id="38"/>
      </w:r>
      <w:r w:rsidR="00311F30" w:rsidRPr="00BC298C">
        <w:t xml:space="preserve">  </w:t>
      </w:r>
      <w:r w:rsidR="00C421CE" w:rsidRPr="00C421CE">
        <w:t>The determinations of which IDT complains were made by the Commission</w:t>
      </w:r>
      <w:r w:rsidR="005B4E5F">
        <w:t>,</w:t>
      </w:r>
      <w:r w:rsidR="00497E45">
        <w:rPr>
          <w:rStyle w:val="FootnoteReference"/>
        </w:rPr>
        <w:footnoteReference w:id="39"/>
      </w:r>
      <w:r w:rsidR="005B4E5F">
        <w:t xml:space="preserve"> </w:t>
      </w:r>
      <w:r w:rsidR="005B4E5F" w:rsidRPr="005B4E5F">
        <w:t xml:space="preserve">and there is no basis for the Bureau to depart in this Order from </w:t>
      </w:r>
      <w:r w:rsidR="005B4E5F">
        <w:t>such</w:t>
      </w:r>
      <w:r w:rsidR="005B4E5F" w:rsidRPr="005B4E5F">
        <w:t xml:space="preserve"> prior Commission decisions.</w:t>
      </w:r>
      <w:r w:rsidR="009B77A2">
        <w:rPr>
          <w:rStyle w:val="FootnoteReference"/>
        </w:rPr>
        <w:footnoteReference w:id="40"/>
      </w:r>
      <w:r w:rsidR="005B4E5F">
        <w:t xml:space="preserve">  </w:t>
      </w:r>
      <w:r w:rsidR="00661620" w:rsidRPr="00BC298C">
        <w:t xml:space="preserve">  </w:t>
      </w:r>
    </w:p>
    <w:p w14:paraId="0F791ACA" w14:textId="226300FA" w:rsidR="00311F30" w:rsidRDefault="00A04229" w:rsidP="005C730F">
      <w:pPr>
        <w:pStyle w:val="ParaNum"/>
      </w:pPr>
      <w:r>
        <w:t xml:space="preserve">The </w:t>
      </w:r>
      <w:r w:rsidR="00173CAB" w:rsidRPr="00BC298C">
        <w:t xml:space="preserve">Consumer Groups express concern that </w:t>
      </w:r>
      <w:r w:rsidR="0058252F" w:rsidRPr="0058252F">
        <w:t>Rolka Loube</w:t>
      </w:r>
      <w:r w:rsidR="00173CAB" w:rsidRPr="00BC298C">
        <w:t xml:space="preserve"> may have underestimated </w:t>
      </w:r>
      <w:r w:rsidR="001B67F1">
        <w:t xml:space="preserve">demand for </w:t>
      </w:r>
      <w:r w:rsidR="00173CAB" w:rsidRPr="00BC298C">
        <w:t xml:space="preserve">IP CTS </w:t>
      </w:r>
      <w:r w:rsidR="001B67F1">
        <w:t>in 2015-16</w:t>
      </w:r>
      <w:r w:rsidR="002D01C2" w:rsidRPr="00BC298C">
        <w:t xml:space="preserve">.  They </w:t>
      </w:r>
      <w:r>
        <w:t>state that Rolka Loube’s propos</w:t>
      </w:r>
      <w:r w:rsidR="00B8601E">
        <w:t>ed funding requirement for IP CTS</w:t>
      </w:r>
      <w:r>
        <w:t xml:space="preserve"> “sets forth rates based on what appears to be the demand for 2014-2015:  164,590,646 minutes.”</w:t>
      </w:r>
      <w:r>
        <w:rPr>
          <w:rStyle w:val="FootnoteReference"/>
        </w:rPr>
        <w:footnoteReference w:id="41"/>
      </w:r>
      <w:r>
        <w:t xml:space="preserve">  The number referred to, however, actually represents a demand projection for the first 10 months of the 2015-16 Fund Year.  As explained by Rolka Loube, due to the time lag between the provision of relay service and payment of compensation, “</w:t>
      </w:r>
      <w:r w:rsidRPr="00A04229">
        <w:t>the Administrator’s</w:t>
      </w:r>
      <w:r>
        <w:t xml:space="preserve"> </w:t>
      </w:r>
      <w:r w:rsidRPr="00A04229">
        <w:t>funding recommendation for the Fund year beginning July 2015 through June 2016,</w:t>
      </w:r>
      <w:r>
        <w:t xml:space="preserve"> </w:t>
      </w:r>
      <w:r w:rsidRPr="00A04229">
        <w:t>incorporates the demand for the final two months of the expiring program year, which</w:t>
      </w:r>
      <w:r>
        <w:t xml:space="preserve"> </w:t>
      </w:r>
      <w:r w:rsidRPr="00A04229">
        <w:t>will be paid during the upcoming Fund year, and only ten months of the MARS and</w:t>
      </w:r>
      <w:r>
        <w:t xml:space="preserve"> </w:t>
      </w:r>
      <w:r w:rsidRPr="00A04229">
        <w:t>service providers’ projections to comprise the twelve months funding requirement</w:t>
      </w:r>
      <w:r>
        <w:t>.”</w:t>
      </w:r>
      <w:r>
        <w:rPr>
          <w:rStyle w:val="FootnoteReference"/>
        </w:rPr>
        <w:footnoteReference w:id="42"/>
      </w:r>
      <w:r>
        <w:t xml:space="preserve">  </w:t>
      </w:r>
      <w:r w:rsidR="00B8601E">
        <w:t xml:space="preserve">Accordingly, the proposed IP CTS funding requirement is based on projected demand of 28,975,126 minutes for May and June 2015, plus 164,590,646 minutes for July 2015 through April 2016 (which is a portion of the total projected demand of </w:t>
      </w:r>
      <w:r w:rsidR="00B8601E" w:rsidRPr="00B8601E">
        <w:t>202,651,451</w:t>
      </w:r>
      <w:r w:rsidR="00B8601E">
        <w:t xml:space="preserve"> minutes for July 2015 through June 2016)</w:t>
      </w:r>
      <w:r w:rsidRPr="00A04229">
        <w:t>.</w:t>
      </w:r>
      <w:r w:rsidR="001D60F1">
        <w:rPr>
          <w:rStyle w:val="FootnoteReference"/>
        </w:rPr>
        <w:footnoteReference w:id="43"/>
      </w:r>
      <w:r>
        <w:t xml:space="preserve"> </w:t>
      </w:r>
      <w:r w:rsidR="00B8601E">
        <w:t xml:space="preserve"> We find that these demand projections, which are based on industry data, are reasonable.</w:t>
      </w:r>
      <w:r w:rsidR="00820A4A" w:rsidRPr="00820A4A">
        <w:t xml:space="preserve"> </w:t>
      </w:r>
    </w:p>
    <w:p w14:paraId="020C465D" w14:textId="3AE1E541" w:rsidR="00D60C3C" w:rsidRDefault="00D60C3C" w:rsidP="007B261E">
      <w:pPr>
        <w:pStyle w:val="ParaNum"/>
      </w:pPr>
      <w:r w:rsidRPr="00B157D2">
        <w:t>I</w:t>
      </w:r>
      <w:r w:rsidR="003915EF">
        <w:t>n addition to projected payments</w:t>
      </w:r>
      <w:r w:rsidRPr="00B157D2">
        <w:t xml:space="preserve"> for TRS, </w:t>
      </w:r>
      <w:r w:rsidRPr="00144C71">
        <w:t>Rolka Loube</w:t>
      </w:r>
      <w:r w:rsidRPr="00B157D2">
        <w:t xml:space="preserve"> includes in its </w:t>
      </w:r>
      <w:r>
        <w:t xml:space="preserve">proposed </w:t>
      </w:r>
      <w:r w:rsidRPr="00B157D2">
        <w:t>funding requirement a $10,000,000 funding allocation for the National Deaf-Blind Equipment Distribution Program (NDBEDP), which is mandated by the CVAA.</w:t>
      </w:r>
      <w:r w:rsidRPr="00B157D2">
        <w:rPr>
          <w:rStyle w:val="FootnoteReference"/>
        </w:rPr>
        <w:footnoteReference w:id="44"/>
      </w:r>
      <w:r w:rsidRPr="00B157D2">
        <w:t xml:space="preserve">  </w:t>
      </w:r>
      <w:r w:rsidRPr="00144C71">
        <w:t>Rolka Loube</w:t>
      </w:r>
      <w:r w:rsidRPr="00B157D2">
        <w:t xml:space="preserve"> also includes the following in its proposed funding requirement:  </w:t>
      </w:r>
      <w:r>
        <w:t>TRS numbering directory</w:t>
      </w:r>
      <w:r w:rsidRPr="00C37BB2">
        <w:t xml:space="preserve"> administration </w:t>
      </w:r>
      <w:r>
        <w:t xml:space="preserve">expenses of $525,000; </w:t>
      </w:r>
      <w:r w:rsidRPr="00B157D2">
        <w:t xml:space="preserve">TRS Fund </w:t>
      </w:r>
      <w:r>
        <w:t>a</w:t>
      </w:r>
      <w:r w:rsidRPr="00B157D2">
        <w:t xml:space="preserve">dministrator </w:t>
      </w:r>
      <w:r>
        <w:t>compensation</w:t>
      </w:r>
      <w:r w:rsidRPr="00B157D2">
        <w:t xml:space="preserve"> of </w:t>
      </w:r>
      <w:r>
        <w:t>$1,272,955</w:t>
      </w:r>
      <w:r w:rsidRPr="00B157D2">
        <w:t xml:space="preserve">; </w:t>
      </w:r>
      <w:r w:rsidRPr="00C37BB2">
        <w:t>revenue data collection agent</w:t>
      </w:r>
      <w:r>
        <w:t xml:space="preserve"> expenses of $60,000</w:t>
      </w:r>
      <w:r w:rsidRPr="00C37BB2">
        <w:t>, the Interstate TRS Advisory Council</w:t>
      </w:r>
      <w:r>
        <w:t xml:space="preserve"> expenses of $45,000; investment </w:t>
      </w:r>
      <w:r w:rsidRPr="00C37BB2">
        <w:t xml:space="preserve">management </w:t>
      </w:r>
      <w:r>
        <w:t>expenses of $190,000</w:t>
      </w:r>
      <w:r w:rsidRPr="00C37BB2">
        <w:t>, service provider audits</w:t>
      </w:r>
      <w:r>
        <w:t xml:space="preserve"> expenses of $1,000,000; </w:t>
      </w:r>
      <w:r w:rsidR="0002625F" w:rsidRPr="0002625F">
        <w:t>expenses of $200,000 for compliance with Improper Payments Elimination and Recovery Act of 2010 (IPERA);</w:t>
      </w:r>
      <w:r w:rsidR="0002625F" w:rsidRPr="0002625F">
        <w:rPr>
          <w:vertAlign w:val="superscript"/>
        </w:rPr>
        <w:footnoteReference w:id="45"/>
      </w:r>
      <w:r w:rsidR="0002625F" w:rsidRPr="0002625F">
        <w:t xml:space="preserve"> </w:t>
      </w:r>
      <w:r w:rsidRPr="00C37BB2">
        <w:t>bankruptcy representation</w:t>
      </w:r>
      <w:r>
        <w:t xml:space="preserve"> expenses of $50,000</w:t>
      </w:r>
      <w:r w:rsidRPr="00C37BB2">
        <w:t xml:space="preserve">, and independent </w:t>
      </w:r>
      <w:r>
        <w:t xml:space="preserve">TRS Fund </w:t>
      </w:r>
      <w:r w:rsidRPr="00C37BB2">
        <w:t xml:space="preserve">audit </w:t>
      </w:r>
      <w:r>
        <w:t>expenses of $60,000</w:t>
      </w:r>
      <w:r w:rsidRPr="00C37BB2">
        <w:t>.</w:t>
      </w:r>
      <w:r w:rsidRPr="00DD3D41">
        <w:rPr>
          <w:rStyle w:val="FootnoteReference"/>
        </w:rPr>
        <w:footnoteReference w:id="46"/>
      </w:r>
      <w:r w:rsidRPr="00B157D2">
        <w:t xml:space="preserve">  </w:t>
      </w:r>
      <w:r w:rsidR="00E32456">
        <w:t>The TRS numbering directory and Fund administrator compensation are reasonable estimates based on the contracts for those services.</w:t>
      </w:r>
      <w:r w:rsidR="00E32456">
        <w:rPr>
          <w:rStyle w:val="FootnoteReference"/>
        </w:rPr>
        <w:footnoteReference w:id="47"/>
      </w:r>
      <w:r w:rsidR="00E32456">
        <w:t xml:space="preserve">  We find the</w:t>
      </w:r>
      <w:r w:rsidR="00831170">
        <w:t xml:space="preserve"> recommended</w:t>
      </w:r>
      <w:r w:rsidR="00E32456">
        <w:t xml:space="preserve"> amounts for the other expenses listed to be fair estimates based on reasonable projections of costs.  </w:t>
      </w:r>
      <w:r w:rsidR="003915EF">
        <w:t xml:space="preserve">Also included are a two-month payment reserve </w:t>
      </w:r>
      <w:r w:rsidR="001D60F1">
        <w:t xml:space="preserve">totaling $160.7 </w:t>
      </w:r>
      <w:r w:rsidR="001D60F1" w:rsidRPr="001D60F1">
        <w:t>million</w:t>
      </w:r>
      <w:r w:rsidR="001D60F1">
        <w:t xml:space="preserve"> </w:t>
      </w:r>
      <w:r w:rsidR="003915EF">
        <w:t xml:space="preserve">and a $20 million reserve for the costs of implementing VRS reform </w:t>
      </w:r>
      <w:r w:rsidR="0002625F" w:rsidRPr="0002625F">
        <w:t>initiatives</w:t>
      </w:r>
      <w:r w:rsidR="003915EF">
        <w:t>.</w:t>
      </w:r>
      <w:r w:rsidR="001D60F1">
        <w:rPr>
          <w:rStyle w:val="FootnoteReference"/>
        </w:rPr>
        <w:footnoteReference w:id="48"/>
      </w:r>
      <w:r w:rsidR="003915EF">
        <w:t xml:space="preserve">  </w:t>
      </w:r>
      <w:r w:rsidR="00E32456" w:rsidRPr="00E32456">
        <w:t xml:space="preserve">A number of VRS Reform initiatives are still being implemented, several are expected to be initiated this year.  Therefore, we find it is reasonable to continue maintaining a reserve </w:t>
      </w:r>
      <w:r w:rsidR="00831170">
        <w:t xml:space="preserve">for this purpose </w:t>
      </w:r>
      <w:r w:rsidR="00E32456" w:rsidRPr="00E32456">
        <w:t xml:space="preserve">in the same amount </w:t>
      </w:r>
      <w:r w:rsidR="00831170">
        <w:t xml:space="preserve">previously </w:t>
      </w:r>
      <w:r w:rsidR="00E32456" w:rsidRPr="00E32456">
        <w:t>approved.</w:t>
      </w:r>
      <w:r w:rsidR="00831170">
        <w:rPr>
          <w:rStyle w:val="FootnoteReference"/>
        </w:rPr>
        <w:footnoteReference w:id="49"/>
      </w:r>
      <w:r w:rsidR="00E32456" w:rsidRPr="00E32456">
        <w:t xml:space="preserve">  </w:t>
      </w:r>
      <w:r>
        <w:t xml:space="preserve">No comments were received regarding the recommended inclusion of </w:t>
      </w:r>
      <w:r w:rsidR="00E32456">
        <w:t xml:space="preserve">any of </w:t>
      </w:r>
      <w:r>
        <w:t>the costs</w:t>
      </w:r>
      <w:r w:rsidR="00E32456">
        <w:t xml:space="preserve"> listed in this paragraph</w:t>
      </w:r>
      <w:r>
        <w:t xml:space="preserve">.  </w:t>
      </w:r>
      <w:r w:rsidR="00E32456">
        <w:t xml:space="preserve">In summary, </w:t>
      </w:r>
      <w:r w:rsidR="00C421CE">
        <w:t>w</w:t>
      </w:r>
      <w:r w:rsidR="00C421CE" w:rsidRPr="00C421CE">
        <w:t>e find the recommended amounts to be reasonable and appropriate for inclusion in the TRS Fund.</w:t>
      </w:r>
      <w:r>
        <w:t xml:space="preserve"> </w:t>
      </w:r>
    </w:p>
    <w:p w14:paraId="7B59035D" w14:textId="7876A907" w:rsidR="00D60D44" w:rsidRDefault="00820A4A" w:rsidP="006D6F26">
      <w:pPr>
        <w:pStyle w:val="ParaNum"/>
        <w:spacing w:afterLines="120" w:after="288"/>
      </w:pPr>
      <w:r>
        <w:t>In summary</w:t>
      </w:r>
      <w:r w:rsidR="007D7E77" w:rsidRPr="007E4066">
        <w:t xml:space="preserve">, </w:t>
      </w:r>
      <w:r w:rsidR="00AC0441" w:rsidRPr="007E4066">
        <w:t xml:space="preserve">we </w:t>
      </w:r>
      <w:r w:rsidR="001B67F1">
        <w:t xml:space="preserve">find Rolka Loube’s demand projections and funding proposals to be reasonable and </w:t>
      </w:r>
      <w:r w:rsidR="00AC0441" w:rsidRPr="007E4066">
        <w:t xml:space="preserve">adopt a </w:t>
      </w:r>
      <w:r>
        <w:t>f</w:t>
      </w:r>
      <w:r w:rsidR="00AC0441" w:rsidRPr="007E4066">
        <w:t>und</w:t>
      </w:r>
      <w:r>
        <w:t>ing</w:t>
      </w:r>
      <w:r w:rsidR="00AC0441" w:rsidRPr="007E4066">
        <w:t xml:space="preserve"> requirement of </w:t>
      </w:r>
      <w:r w:rsidR="00FC1C3A" w:rsidRPr="00FC1C3A">
        <w:t>$</w:t>
      </w:r>
      <w:r w:rsidR="006D6F26">
        <w:t>1,048,050,673</w:t>
      </w:r>
      <w:r w:rsidR="00FC1C3A" w:rsidRPr="00FC1C3A">
        <w:t xml:space="preserve"> </w:t>
      </w:r>
      <w:r w:rsidR="00AC0441" w:rsidRPr="007E4066">
        <w:t xml:space="preserve">and a carrier contribution factor of </w:t>
      </w:r>
      <w:r w:rsidR="00FC1C3A" w:rsidRPr="00831E26">
        <w:t>0.</w:t>
      </w:r>
      <w:r w:rsidR="00831E26" w:rsidRPr="00831E26">
        <w:t>01</w:t>
      </w:r>
      <w:r w:rsidR="006D6F26">
        <w:t>6</w:t>
      </w:r>
      <w:r>
        <w:t>35</w:t>
      </w:r>
      <w:r w:rsidR="00B5720D">
        <w:t xml:space="preserve"> </w:t>
      </w:r>
      <w:r w:rsidR="00AC0441" w:rsidRPr="007E4066">
        <w:t xml:space="preserve">for the </w:t>
      </w:r>
      <w:r w:rsidR="006D6F26">
        <w:t>2015-16</w:t>
      </w:r>
      <w:r w:rsidR="00AC0441" w:rsidRPr="007E4066">
        <w:t xml:space="preserve"> </w:t>
      </w:r>
      <w:r w:rsidR="00032BC9">
        <w:t>Fund Year</w:t>
      </w:r>
      <w:r w:rsidR="00AC0441" w:rsidRPr="007E4066">
        <w:t xml:space="preserve">.  </w:t>
      </w:r>
      <w:r>
        <w:t>The Commission</w:t>
      </w:r>
      <w:r w:rsidRPr="007E4066">
        <w:t xml:space="preserve"> may reassess the Fund requirement before the end of </w:t>
      </w:r>
      <w:r w:rsidR="00EF351D">
        <w:t>the 2015-16</w:t>
      </w:r>
      <w:r w:rsidR="00EF351D" w:rsidRPr="007E4066">
        <w:t xml:space="preserve"> </w:t>
      </w:r>
      <w:r>
        <w:t>Fund Year</w:t>
      </w:r>
      <w:r w:rsidRPr="007E4066">
        <w:t xml:space="preserve"> in the event that </w:t>
      </w:r>
      <w:r>
        <w:t>it takes further action affecting TRS compensation rates.</w:t>
      </w:r>
    </w:p>
    <w:p w14:paraId="0B227729" w14:textId="20E3050B" w:rsidR="002E2E79" w:rsidRPr="007E4066" w:rsidRDefault="0080541E" w:rsidP="00D60D44">
      <w:pPr>
        <w:pStyle w:val="Heading1"/>
      </w:pPr>
      <w:r w:rsidRPr="007E4066">
        <w:t>Procedural Matters</w:t>
      </w:r>
    </w:p>
    <w:p w14:paraId="44420C54" w14:textId="51367E6D" w:rsidR="00734F16" w:rsidRDefault="0080541E" w:rsidP="000733E2">
      <w:pPr>
        <w:pStyle w:val="ParaNum"/>
        <w:spacing w:afterLines="120" w:after="288"/>
      </w:pPr>
      <w:r w:rsidRPr="007E4066">
        <w:t xml:space="preserve">To request materials in accessible formats (such as Braille, large print, electronic files, or audio format), send an e-mail to fcc504@fcc.gov or call the Consumer and Governmental Affairs Bureau at (202) 418-0530 (voice) or (202) 418-0432 (TTY).  This </w:t>
      </w:r>
      <w:r w:rsidRPr="00C3230A">
        <w:t>Order</w:t>
      </w:r>
      <w:r w:rsidRPr="007E4066">
        <w:rPr>
          <w:i/>
        </w:rPr>
        <w:t xml:space="preserve"> </w:t>
      </w:r>
      <w:r w:rsidRPr="007E4066">
        <w:t xml:space="preserve">can also be downloaded in Word and Portable Document Formats (PDF) at </w:t>
      </w:r>
      <w:r w:rsidR="00820A4A">
        <w:t>&lt;</w:t>
      </w:r>
      <w:r w:rsidRPr="005C730F">
        <w:t>http://www.fcc.gov/cgb/dro/trs.html</w:t>
      </w:r>
      <w:r w:rsidR="00820A4A">
        <w:t>&gt;</w:t>
      </w:r>
      <w:r w:rsidRPr="007E4066">
        <w:t xml:space="preserve">. </w:t>
      </w:r>
    </w:p>
    <w:p w14:paraId="070903BF" w14:textId="77777777" w:rsidR="0080541E" w:rsidRPr="007E4066" w:rsidRDefault="0080541E" w:rsidP="000F5838">
      <w:pPr>
        <w:pStyle w:val="StyleHeading1After144pt"/>
      </w:pPr>
      <w:r w:rsidRPr="007E4066">
        <w:t>ORDERING CLAUSES</w:t>
      </w:r>
    </w:p>
    <w:p w14:paraId="7FE16164" w14:textId="77777777" w:rsidR="0080541E" w:rsidRPr="007E4066" w:rsidRDefault="0080541E">
      <w:pPr>
        <w:pStyle w:val="ParaNum"/>
      </w:pPr>
      <w:r w:rsidRPr="007E4066">
        <w:t xml:space="preserve">Accordingly, IT IS ORDERED, pursuant to the authority contained in section 225 of the Communications Act of 1934, as amended, 47 U.S.C. § 225, and section 64.604(c)(5)(iii) of the Commission’s rules, 47 C.F.R. § 64.604(c)(5)(iii), that this ORDER IS hereby ADOPTED.  </w:t>
      </w:r>
      <w:r w:rsidR="00EC3DC9" w:rsidRPr="00EC3DC9">
        <w:t xml:space="preserve">  </w:t>
      </w:r>
    </w:p>
    <w:p w14:paraId="18C36DE1" w14:textId="64E94216" w:rsidR="0080541E" w:rsidRPr="007E4066" w:rsidRDefault="0080541E">
      <w:pPr>
        <w:pStyle w:val="ParaNum"/>
      </w:pPr>
      <w:r w:rsidRPr="007E4066">
        <w:t>IT IS FURTHER ORDERED that the TRS Fund administrator shall compensate eligible providers of interstate tradi</w:t>
      </w:r>
      <w:r w:rsidR="002C16DC" w:rsidRPr="007E4066">
        <w:t xml:space="preserve">tional TRS, for the </w:t>
      </w:r>
      <w:r w:rsidR="00D30868" w:rsidRPr="007E4066">
        <w:t xml:space="preserve">period from </w:t>
      </w:r>
      <w:r w:rsidR="002C16DC" w:rsidRPr="007E4066">
        <w:t xml:space="preserve">July 1, </w:t>
      </w:r>
      <w:r w:rsidR="00456C4B">
        <w:t>2015</w:t>
      </w:r>
      <w:r w:rsidR="00F62DCB" w:rsidRPr="007E4066">
        <w:t>,</w:t>
      </w:r>
      <w:r w:rsidR="002C16DC" w:rsidRPr="007E4066">
        <w:t xml:space="preserve"> through June 30, 201</w:t>
      </w:r>
      <w:r w:rsidR="00456C4B">
        <w:t>6</w:t>
      </w:r>
      <w:r w:rsidRPr="007E4066">
        <w:t xml:space="preserve">, at the rate of </w:t>
      </w:r>
      <w:r w:rsidR="00EC3DC9" w:rsidRPr="00EC3DC9">
        <w:t>$2.</w:t>
      </w:r>
      <w:r w:rsidR="00456C4B">
        <w:t>2904</w:t>
      </w:r>
      <w:r w:rsidR="008B0CE6" w:rsidRPr="008B0CE6">
        <w:t xml:space="preserve"> </w:t>
      </w:r>
      <w:r w:rsidRPr="007E4066">
        <w:t>per completed interstate conversation minute.</w:t>
      </w:r>
    </w:p>
    <w:p w14:paraId="1C5B0052" w14:textId="77777172" w:rsidR="0080541E" w:rsidRPr="007E4066" w:rsidRDefault="0080541E">
      <w:pPr>
        <w:pStyle w:val="ParaNum"/>
      </w:pPr>
      <w:r w:rsidRPr="007E4066">
        <w:t>IT IS FURTHER ORDERED that the TRS Fund administrator shall compensate eligible providers of interstate S</w:t>
      </w:r>
      <w:r w:rsidR="008A2FA4" w:rsidRPr="007E4066">
        <w:t>TS</w:t>
      </w:r>
      <w:r w:rsidR="002C16DC" w:rsidRPr="007E4066">
        <w:t xml:space="preserve">, for the </w:t>
      </w:r>
      <w:r w:rsidR="00D30868" w:rsidRPr="007E4066">
        <w:t xml:space="preserve">period from </w:t>
      </w:r>
      <w:r w:rsidR="002C16DC" w:rsidRPr="007E4066">
        <w:t xml:space="preserve">July 1, </w:t>
      </w:r>
      <w:r w:rsidR="00032BC9">
        <w:t>201</w:t>
      </w:r>
      <w:r w:rsidR="00D62BCC">
        <w:t>5</w:t>
      </w:r>
      <w:r w:rsidR="00F62DCB" w:rsidRPr="007E4066">
        <w:t>,</w:t>
      </w:r>
      <w:r w:rsidR="002C16DC" w:rsidRPr="007E4066">
        <w:t xml:space="preserve"> through June 30, 201</w:t>
      </w:r>
      <w:r w:rsidR="00D62BCC">
        <w:t>6</w:t>
      </w:r>
      <w:r w:rsidRPr="007E4066">
        <w:t xml:space="preserve">, at the rate of </w:t>
      </w:r>
      <w:r w:rsidR="00EC3DC9" w:rsidRPr="00EC3DC9">
        <w:t>$3.</w:t>
      </w:r>
      <w:r w:rsidR="00D62BCC">
        <w:t>4214</w:t>
      </w:r>
      <w:r w:rsidR="008B0CE6" w:rsidRPr="008B0CE6">
        <w:t xml:space="preserve"> </w:t>
      </w:r>
      <w:r w:rsidRPr="007E4066">
        <w:t>per completed interstate conversation minute.</w:t>
      </w:r>
    </w:p>
    <w:p w14:paraId="6A280A60" w14:textId="72721526" w:rsidR="0080541E" w:rsidRPr="007E4066" w:rsidRDefault="0080541E">
      <w:pPr>
        <w:pStyle w:val="ParaNum"/>
      </w:pPr>
      <w:r w:rsidRPr="007E4066">
        <w:t xml:space="preserve">IT IS FURTHER ORDERED that the TRS Fund administrator shall compensate eligible providers of interstate </w:t>
      </w:r>
      <w:r w:rsidR="008A2FA4" w:rsidRPr="007E4066">
        <w:t>CTS and</w:t>
      </w:r>
      <w:r w:rsidRPr="007E4066">
        <w:t xml:space="preserve"> IP </w:t>
      </w:r>
      <w:r w:rsidR="008A2FA4" w:rsidRPr="007E4066">
        <w:t>CTS</w:t>
      </w:r>
      <w:r w:rsidR="002C16DC" w:rsidRPr="007E4066">
        <w:t xml:space="preserve">, for the </w:t>
      </w:r>
      <w:r w:rsidR="00D30868" w:rsidRPr="007E4066">
        <w:t xml:space="preserve">period from </w:t>
      </w:r>
      <w:r w:rsidR="002C16DC" w:rsidRPr="007E4066">
        <w:t xml:space="preserve">July 1, </w:t>
      </w:r>
      <w:r w:rsidR="00D62BCC">
        <w:t>2015</w:t>
      </w:r>
      <w:r w:rsidR="00F62DCB" w:rsidRPr="007E4066">
        <w:t>,</w:t>
      </w:r>
      <w:r w:rsidR="002C16DC" w:rsidRPr="007E4066">
        <w:t xml:space="preserve"> through June 30, 201</w:t>
      </w:r>
      <w:r w:rsidR="00D62BCC">
        <w:t>6</w:t>
      </w:r>
      <w:r w:rsidRPr="007E4066">
        <w:t xml:space="preserve">, at the rate of </w:t>
      </w:r>
      <w:r w:rsidR="00EC3DC9" w:rsidRPr="00EC3DC9">
        <w:t>$1.</w:t>
      </w:r>
      <w:r w:rsidR="00D62BCC">
        <w:t>8895</w:t>
      </w:r>
      <w:r w:rsidR="008B0CE6" w:rsidRPr="008B0CE6">
        <w:t xml:space="preserve"> </w:t>
      </w:r>
      <w:r w:rsidRPr="007E4066">
        <w:t>per completed conversation minute.</w:t>
      </w:r>
      <w:r w:rsidR="004F0138">
        <w:t xml:space="preserve"> </w:t>
      </w:r>
    </w:p>
    <w:p w14:paraId="1D22F4BF" w14:textId="19CB9D87" w:rsidR="0080541E" w:rsidRPr="007E4066" w:rsidRDefault="0080541E">
      <w:pPr>
        <w:pStyle w:val="ParaNum"/>
      </w:pPr>
      <w:r w:rsidRPr="007E4066">
        <w:t xml:space="preserve"> IT IS FURTHER ORDERED that the TRS Fund administrator shall compensate eligible providers of IP Rel</w:t>
      </w:r>
      <w:r w:rsidR="002C16DC" w:rsidRPr="007E4066">
        <w:t>ay service</w:t>
      </w:r>
      <w:r w:rsidR="008B0CE6">
        <w:t xml:space="preserve"> </w:t>
      </w:r>
      <w:r w:rsidR="00F62DCB" w:rsidRPr="007E4066">
        <w:t xml:space="preserve">for the period from July 1, </w:t>
      </w:r>
      <w:r w:rsidR="00032BC9">
        <w:t>201</w:t>
      </w:r>
      <w:r w:rsidR="00D62BCC">
        <w:t>5</w:t>
      </w:r>
      <w:r w:rsidR="008B0CE6">
        <w:t>,</w:t>
      </w:r>
      <w:r w:rsidR="00F62DCB" w:rsidRPr="007E4066">
        <w:t xml:space="preserve"> </w:t>
      </w:r>
      <w:r w:rsidR="00BF0A55">
        <w:t xml:space="preserve">through </w:t>
      </w:r>
      <w:r w:rsidR="00D62BCC">
        <w:t>June 30, 2016</w:t>
      </w:r>
      <w:r w:rsidR="00BF0A55">
        <w:t xml:space="preserve">, </w:t>
      </w:r>
      <w:r w:rsidR="008E1CB3">
        <w:t xml:space="preserve">at </w:t>
      </w:r>
      <w:r w:rsidR="00C80178" w:rsidRPr="00C80178">
        <w:t xml:space="preserve">the rate </w:t>
      </w:r>
      <w:r w:rsidR="008E1CB3">
        <w:t>of</w:t>
      </w:r>
      <w:r w:rsidR="00C80178" w:rsidRPr="00C80178">
        <w:t xml:space="preserve"> </w:t>
      </w:r>
      <w:r w:rsidR="00BF0A55" w:rsidRPr="00831E26">
        <w:t>$1.</w:t>
      </w:r>
      <w:r w:rsidR="00D62BCC">
        <w:t>37</w:t>
      </w:r>
      <w:r w:rsidR="00BF0A55" w:rsidRPr="00BF0A55">
        <w:t xml:space="preserve"> </w:t>
      </w:r>
      <w:r w:rsidR="00C80178" w:rsidRPr="00C80178">
        <w:t xml:space="preserve">per </w:t>
      </w:r>
      <w:r w:rsidR="00ED382B" w:rsidRPr="00ED382B">
        <w:t xml:space="preserve">completed conversation </w:t>
      </w:r>
      <w:r w:rsidR="00C80178" w:rsidRPr="00C80178">
        <w:t>minute</w:t>
      </w:r>
      <w:r w:rsidR="00C80178">
        <w:t>.</w:t>
      </w:r>
    </w:p>
    <w:p w14:paraId="6113FE21" w14:textId="159743D5" w:rsidR="0080541E" w:rsidRPr="007E4066" w:rsidRDefault="0080541E">
      <w:pPr>
        <w:pStyle w:val="ParaNum"/>
      </w:pPr>
      <w:r w:rsidRPr="007E4066">
        <w:t>IT IS FURTHER ORDE</w:t>
      </w:r>
      <w:r w:rsidR="00630A29" w:rsidRPr="007E4066">
        <w:t>RED that</w:t>
      </w:r>
      <w:r w:rsidR="00960C95" w:rsidRPr="007E4066">
        <w:t xml:space="preserve"> </w:t>
      </w:r>
      <w:r w:rsidRPr="007E4066">
        <w:t>the TRS Fund administrator shall compensate eligible providers of intrastate and interstate video relay service</w:t>
      </w:r>
      <w:r w:rsidR="009222BB" w:rsidRPr="007E4066">
        <w:t xml:space="preserve">: </w:t>
      </w:r>
      <w:r w:rsidRPr="007E4066">
        <w:t xml:space="preserve"> </w:t>
      </w:r>
      <w:r w:rsidR="00D30868" w:rsidRPr="007E4066">
        <w:t xml:space="preserve">(1) for the period from July 1, </w:t>
      </w:r>
      <w:r w:rsidR="00D62BCC">
        <w:t>2015</w:t>
      </w:r>
      <w:r w:rsidR="00D30868" w:rsidRPr="007E4066">
        <w:t xml:space="preserve">, </w:t>
      </w:r>
      <w:r w:rsidR="00F62DCB" w:rsidRPr="007E4066">
        <w:t xml:space="preserve">through December 31, </w:t>
      </w:r>
      <w:r w:rsidR="00D62BCC">
        <w:t>2015</w:t>
      </w:r>
      <w:r w:rsidR="00F62DCB" w:rsidRPr="007E4066">
        <w:t xml:space="preserve">, </w:t>
      </w:r>
      <w:r w:rsidR="00D30868" w:rsidRPr="007E4066">
        <w:t xml:space="preserve">at </w:t>
      </w:r>
      <w:r w:rsidRPr="007E4066">
        <w:t xml:space="preserve">the rates of </w:t>
      </w:r>
      <w:r w:rsidR="00D62BCC">
        <w:t>$5.06</w:t>
      </w:r>
      <w:r w:rsidR="004D6889">
        <w:t xml:space="preserve"> </w:t>
      </w:r>
      <w:r w:rsidR="009222BB" w:rsidRPr="007E4066">
        <w:t>per completed conversation minute</w:t>
      </w:r>
      <w:r w:rsidRPr="007E4066">
        <w:t xml:space="preserve"> for </w:t>
      </w:r>
      <w:r w:rsidR="00D30868" w:rsidRPr="007E4066">
        <w:t xml:space="preserve">a provider’s </w:t>
      </w:r>
      <w:r w:rsidRPr="007E4066">
        <w:t>first 50</w:t>
      </w:r>
      <w:r w:rsidR="004F0138">
        <w:t>0</w:t>
      </w:r>
      <w:r w:rsidRPr="007E4066">
        <w:t>,000 monthly minutes (Tier I)</w:t>
      </w:r>
      <w:r w:rsidR="00D30868" w:rsidRPr="007E4066">
        <w:t xml:space="preserve">, </w:t>
      </w:r>
      <w:r w:rsidR="004D6889" w:rsidRPr="004D6889">
        <w:t>$4.82</w:t>
      </w:r>
      <w:r w:rsidR="004D6889">
        <w:t xml:space="preserve"> </w:t>
      </w:r>
      <w:r w:rsidR="009222BB" w:rsidRPr="007E4066">
        <w:t>per completed conversation minute</w:t>
      </w:r>
      <w:r w:rsidR="00D30868" w:rsidRPr="007E4066">
        <w:t xml:space="preserve"> for </w:t>
      </w:r>
      <w:r w:rsidR="005C730F">
        <w:t>a provider’s second 500,000 monthly minutes</w:t>
      </w:r>
      <w:r w:rsidR="00D30868" w:rsidRPr="007E4066">
        <w:t xml:space="preserve"> (Tier II), and </w:t>
      </w:r>
      <w:r w:rsidR="00D62BCC">
        <w:t>$4.06</w:t>
      </w:r>
      <w:r w:rsidR="004D6889">
        <w:t xml:space="preserve"> </w:t>
      </w:r>
      <w:r w:rsidR="009222BB" w:rsidRPr="007E4066">
        <w:t xml:space="preserve">per completed conversation minute </w:t>
      </w:r>
      <w:r w:rsidR="00D30868" w:rsidRPr="007E4066">
        <w:t xml:space="preserve">for </w:t>
      </w:r>
      <w:r w:rsidR="005C730F">
        <w:t xml:space="preserve">a provider’s </w:t>
      </w:r>
      <w:r w:rsidR="00D30868" w:rsidRPr="007E4066">
        <w:t xml:space="preserve">monthly minutes </w:t>
      </w:r>
      <w:r w:rsidR="005C730F">
        <w:t>exceeding</w:t>
      </w:r>
      <w:r w:rsidR="00D30868" w:rsidRPr="007E4066">
        <w:t xml:space="preserve"> </w:t>
      </w:r>
      <w:r w:rsidR="004F0138">
        <w:t>1 million</w:t>
      </w:r>
      <w:r w:rsidR="00D30868" w:rsidRPr="007E4066">
        <w:t xml:space="preserve"> (Tier III)</w:t>
      </w:r>
      <w:r w:rsidR="009222BB" w:rsidRPr="007E4066">
        <w:t>;</w:t>
      </w:r>
      <w:r w:rsidR="00D30868" w:rsidRPr="007E4066">
        <w:t xml:space="preserve"> and</w:t>
      </w:r>
      <w:r w:rsidRPr="007E4066">
        <w:t xml:space="preserve"> </w:t>
      </w:r>
      <w:r w:rsidR="00D30868" w:rsidRPr="007E4066">
        <w:t>(</w:t>
      </w:r>
      <w:r w:rsidR="008B0CE6">
        <w:t>2</w:t>
      </w:r>
      <w:r w:rsidR="00D30868" w:rsidRPr="007E4066">
        <w:t xml:space="preserve">) </w:t>
      </w:r>
      <w:r w:rsidR="00F62DCB" w:rsidRPr="007E4066">
        <w:t>for the period from January 1, 201</w:t>
      </w:r>
      <w:r w:rsidR="00D62BCC">
        <w:t>6</w:t>
      </w:r>
      <w:r w:rsidR="00F62DCB" w:rsidRPr="007E4066">
        <w:t>, through June 30, 201</w:t>
      </w:r>
      <w:r w:rsidR="00D62BCC">
        <w:t>6</w:t>
      </w:r>
      <w:r w:rsidR="00F62DCB" w:rsidRPr="007E4066">
        <w:t xml:space="preserve">, </w:t>
      </w:r>
      <w:r w:rsidR="00D30868" w:rsidRPr="007E4066">
        <w:t xml:space="preserve">at the rates of </w:t>
      </w:r>
      <w:r w:rsidR="004D6889" w:rsidRPr="004D6889">
        <w:t>$</w:t>
      </w:r>
      <w:r w:rsidR="00D62BCC">
        <w:t>4.82</w:t>
      </w:r>
      <w:r w:rsidR="004D6889">
        <w:t xml:space="preserve"> </w:t>
      </w:r>
      <w:r w:rsidR="009222BB" w:rsidRPr="007E4066">
        <w:t xml:space="preserve">per completed conversation minute </w:t>
      </w:r>
      <w:r w:rsidR="00BF548B" w:rsidRPr="007E4066">
        <w:t xml:space="preserve">for </w:t>
      </w:r>
      <w:r w:rsidR="00D30868" w:rsidRPr="007E4066">
        <w:t xml:space="preserve">a provider’s </w:t>
      </w:r>
      <w:r w:rsidR="00BF548B" w:rsidRPr="007E4066">
        <w:t>first 5</w:t>
      </w:r>
      <w:r w:rsidR="004F0138">
        <w:t>0</w:t>
      </w:r>
      <w:r w:rsidR="00BF548B" w:rsidRPr="007E4066">
        <w:t>0,000 monthly minutes (Tier I)</w:t>
      </w:r>
      <w:r w:rsidR="00D30868" w:rsidRPr="007E4066">
        <w:t xml:space="preserve">, </w:t>
      </w:r>
      <w:r w:rsidRPr="007E4066">
        <w:t>$</w:t>
      </w:r>
      <w:r w:rsidR="00BF548B" w:rsidRPr="007E4066">
        <w:t>4.82</w:t>
      </w:r>
      <w:r w:rsidRPr="007E4066">
        <w:t xml:space="preserve"> </w:t>
      </w:r>
      <w:r w:rsidR="009222BB" w:rsidRPr="007E4066">
        <w:t xml:space="preserve">per completed conversation minute </w:t>
      </w:r>
      <w:r w:rsidRPr="007E4066">
        <w:t xml:space="preserve">for </w:t>
      </w:r>
      <w:r w:rsidR="005C730F">
        <w:t>a provider’s second 500,000 monthly minutes</w:t>
      </w:r>
      <w:r w:rsidR="005C730F" w:rsidRPr="007E4066">
        <w:t xml:space="preserve"> </w:t>
      </w:r>
      <w:r w:rsidRPr="007E4066">
        <w:t xml:space="preserve">(Tier II), </w:t>
      </w:r>
      <w:r w:rsidR="009222BB" w:rsidRPr="007E4066">
        <w:t>and $</w:t>
      </w:r>
      <w:r w:rsidR="00D62BCC">
        <w:t>3.87</w:t>
      </w:r>
      <w:r w:rsidR="009222BB" w:rsidRPr="007E4066">
        <w:t xml:space="preserve"> per completed conversation minute </w:t>
      </w:r>
      <w:r w:rsidRPr="007E4066">
        <w:t xml:space="preserve">for </w:t>
      </w:r>
      <w:r w:rsidR="005C730F">
        <w:t xml:space="preserve">monthly </w:t>
      </w:r>
      <w:r w:rsidRPr="007E4066">
        <w:t xml:space="preserve">minutes </w:t>
      </w:r>
      <w:r w:rsidR="005C730F">
        <w:t>exceeding</w:t>
      </w:r>
      <w:r w:rsidRPr="007E4066">
        <w:t xml:space="preserve"> </w:t>
      </w:r>
      <w:r w:rsidR="004F0138">
        <w:t>1 million</w:t>
      </w:r>
      <w:r w:rsidRPr="007E4066">
        <w:t xml:space="preserve"> (Tier III).</w:t>
      </w:r>
    </w:p>
    <w:p w14:paraId="57092169" w14:textId="5238B664" w:rsidR="0080541E" w:rsidRPr="007E4066" w:rsidRDefault="0080541E">
      <w:pPr>
        <w:pStyle w:val="ParaNum"/>
      </w:pPr>
      <w:r w:rsidRPr="007E4066">
        <w:t>IT IS FURTHER ORDERED that the</w:t>
      </w:r>
      <w:r w:rsidR="00872B7C">
        <w:t xml:space="preserve"> </w:t>
      </w:r>
      <w:r w:rsidR="00483D27" w:rsidRPr="00483D27">
        <w:t xml:space="preserve">Interstate TRS </w:t>
      </w:r>
      <w:r w:rsidR="005C730F">
        <w:t>F</w:t>
      </w:r>
      <w:r w:rsidR="00483D27" w:rsidRPr="007E4066">
        <w:t>und</w:t>
      </w:r>
      <w:r w:rsidR="005C730F">
        <w:t xml:space="preserve"> revenue</w:t>
      </w:r>
      <w:r w:rsidR="00483D27" w:rsidRPr="007E4066">
        <w:t xml:space="preserve"> requirement shall be </w:t>
      </w:r>
      <w:r w:rsidR="00483D27" w:rsidRPr="00831E26">
        <w:t>$</w:t>
      </w:r>
      <w:r w:rsidR="00D62BCC">
        <w:t>1,048,050,673</w:t>
      </w:r>
      <w:r w:rsidR="00483D27">
        <w:t xml:space="preserve"> and the </w:t>
      </w:r>
      <w:r w:rsidRPr="007E4066">
        <w:t xml:space="preserve">Interstate TRS </w:t>
      </w:r>
      <w:r w:rsidR="005C730F">
        <w:t xml:space="preserve">Fund </w:t>
      </w:r>
      <w:r w:rsidRPr="007E4066">
        <w:t xml:space="preserve">carrier contribution factor shall be </w:t>
      </w:r>
      <w:r w:rsidR="0036194E" w:rsidRPr="00CB6F85">
        <w:t>0.01635</w:t>
      </w:r>
      <w:r w:rsidR="008303F0" w:rsidRPr="007E4066">
        <w:t>.</w:t>
      </w:r>
    </w:p>
    <w:p w14:paraId="4FFF0D9E" w14:textId="77777777" w:rsidR="00AE082E" w:rsidRDefault="00AE082E">
      <w:pPr>
        <w:widowControl/>
      </w:pPr>
      <w:r>
        <w:br w:type="page"/>
      </w:r>
    </w:p>
    <w:p w14:paraId="1453A8CA" w14:textId="6DEA48FD" w:rsidR="0080541E" w:rsidRPr="007E4066" w:rsidRDefault="0080541E">
      <w:pPr>
        <w:pStyle w:val="ParaNum"/>
      </w:pPr>
      <w:r w:rsidRPr="007E4066">
        <w:t xml:space="preserve">IT IS FURTHER ORDERED that this </w:t>
      </w:r>
      <w:r w:rsidRPr="00C3230A">
        <w:t>Order</w:t>
      </w:r>
      <w:r w:rsidRPr="007E4066">
        <w:t xml:space="preserve"> is effective upon release.</w:t>
      </w:r>
    </w:p>
    <w:p w14:paraId="687F1995" w14:textId="77777777" w:rsidR="0080541E" w:rsidRPr="007E4066" w:rsidRDefault="0080541E">
      <w:pPr>
        <w:pStyle w:val="ParaNum"/>
        <w:keepNext/>
        <w:numPr>
          <w:ilvl w:val="0"/>
          <w:numId w:val="0"/>
        </w:numPr>
        <w:ind w:firstLine="720"/>
      </w:pPr>
      <w:r w:rsidRPr="007E4066">
        <w:tab/>
      </w:r>
      <w:r w:rsidRPr="007E4066">
        <w:tab/>
      </w:r>
      <w:r w:rsidRPr="007E4066">
        <w:tab/>
      </w:r>
      <w:r w:rsidRPr="007E4066">
        <w:tab/>
      </w:r>
      <w:r w:rsidRPr="007E4066">
        <w:tab/>
        <w:t>FEDERAL COMMUNICATIONS COMMISSION</w:t>
      </w:r>
    </w:p>
    <w:p w14:paraId="6F055EEA" w14:textId="77777777" w:rsidR="0080541E" w:rsidRPr="007E4066" w:rsidRDefault="00E376DB" w:rsidP="00E376DB">
      <w:r w:rsidRPr="007E4066">
        <w:tab/>
      </w:r>
      <w:r w:rsidRPr="007E4066">
        <w:tab/>
      </w:r>
      <w:r w:rsidRPr="007E4066">
        <w:tab/>
      </w:r>
    </w:p>
    <w:p w14:paraId="3C172587" w14:textId="77777777" w:rsidR="00E376DB" w:rsidRPr="007E4066" w:rsidRDefault="00E376DB" w:rsidP="00E376DB">
      <w:pPr>
        <w:ind w:left="3600" w:firstLine="720"/>
        <w:rPr>
          <w:szCs w:val="24"/>
        </w:rPr>
      </w:pPr>
    </w:p>
    <w:p w14:paraId="5294EABD" w14:textId="260EF648" w:rsidR="00D62BCC" w:rsidRPr="004B7A55" w:rsidRDefault="004B7A55" w:rsidP="00E376DB">
      <w:pPr>
        <w:ind w:firstLine="4320"/>
        <w:rPr>
          <w:szCs w:val="22"/>
        </w:rPr>
      </w:pPr>
      <w:r w:rsidRPr="004B7A55">
        <w:rPr>
          <w:color w:val="000000"/>
          <w:szCs w:val="22"/>
          <w:shd w:val="clear" w:color="auto" w:fill="FFFFFF"/>
        </w:rPr>
        <w:t>Alison Kutler</w:t>
      </w:r>
    </w:p>
    <w:p w14:paraId="3E3505F2" w14:textId="32C0801B" w:rsidR="00E376DB" w:rsidRPr="007E4066" w:rsidRDefault="00CB244F" w:rsidP="00E376DB">
      <w:pPr>
        <w:ind w:firstLine="4320"/>
      </w:pPr>
      <w:r>
        <w:t xml:space="preserve">Acting </w:t>
      </w:r>
      <w:r w:rsidR="00E376DB" w:rsidRPr="007E4066">
        <w:t>Chief</w:t>
      </w:r>
    </w:p>
    <w:p w14:paraId="1331F9B2" w14:textId="77777777" w:rsidR="0080541E" w:rsidRDefault="00E376DB" w:rsidP="004A0005">
      <w:pPr>
        <w:ind w:left="3600" w:firstLine="720"/>
      </w:pPr>
      <w:r w:rsidRPr="007E4066">
        <w:t>Consumer and Governmental Affairs Bureau</w:t>
      </w:r>
      <w:r>
        <w:t xml:space="preserve"> </w:t>
      </w:r>
    </w:p>
    <w:sectPr w:rsidR="0080541E" w:rsidSect="00644C54">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2240" w:h="15840"/>
      <w:pgMar w:top="144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1620A" w14:textId="77777777" w:rsidR="00754FFC" w:rsidRDefault="00754FFC">
      <w:r>
        <w:separator/>
      </w:r>
    </w:p>
  </w:endnote>
  <w:endnote w:type="continuationSeparator" w:id="0">
    <w:p w14:paraId="0BD07DFF" w14:textId="77777777" w:rsidR="00754FFC" w:rsidRDefault="00754FFC">
      <w:r>
        <w:continuationSeparator/>
      </w:r>
    </w:p>
  </w:endnote>
  <w:endnote w:type="continuationNotice" w:id="1">
    <w:p w14:paraId="00055FB2" w14:textId="77777777" w:rsidR="00754FFC" w:rsidRDefault="00754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036E5" w14:textId="77777777" w:rsidR="00313966" w:rsidRDefault="003139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05197" w14:textId="77777777" w:rsidR="00566560" w:rsidRDefault="00566560">
    <w:pPr>
      <w:pStyle w:val="Footer"/>
      <w:jc w:val="center"/>
    </w:pPr>
  </w:p>
  <w:p w14:paraId="47670750" w14:textId="77777777" w:rsidR="00566560" w:rsidRDefault="00566560">
    <w:pPr>
      <w:pStyle w:val="Footer"/>
      <w:jc w:val="center"/>
    </w:pPr>
    <w:r>
      <w:fldChar w:fldCharType="begin"/>
    </w:r>
    <w:r>
      <w:instrText xml:space="preserve"> PAGE   \* MERGEFORMAT </w:instrText>
    </w:r>
    <w:r>
      <w:fldChar w:fldCharType="separate"/>
    </w:r>
    <w:r w:rsidR="009504A5">
      <w:rPr>
        <w:noProof/>
      </w:rPr>
      <w:t>2</w:t>
    </w:r>
    <w:r>
      <w:rPr>
        <w:noProof/>
      </w:rPr>
      <w:fldChar w:fldCharType="end"/>
    </w:r>
  </w:p>
  <w:p w14:paraId="569072C2" w14:textId="77777777" w:rsidR="00566560" w:rsidRDefault="005665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BDD97" w14:textId="77777777" w:rsidR="00566560" w:rsidRDefault="00566560">
    <w:pPr>
      <w:pStyle w:val="Footer"/>
      <w:jc w:val="center"/>
    </w:pPr>
  </w:p>
  <w:p w14:paraId="1450CAF7" w14:textId="77777777" w:rsidR="00566560" w:rsidRDefault="00566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A5615" w14:textId="77777777" w:rsidR="00754FFC" w:rsidRDefault="00754FFC">
      <w:pPr>
        <w:rPr>
          <w:sz w:val="20"/>
        </w:rPr>
      </w:pPr>
      <w:r>
        <w:rPr>
          <w:sz w:val="20"/>
        </w:rPr>
        <w:separator/>
      </w:r>
    </w:p>
  </w:footnote>
  <w:footnote w:type="continuationSeparator" w:id="0">
    <w:p w14:paraId="29E57BF5" w14:textId="77777777" w:rsidR="00754FFC" w:rsidRDefault="00754FFC">
      <w:pPr>
        <w:rPr>
          <w:sz w:val="20"/>
        </w:rPr>
      </w:pPr>
      <w:r>
        <w:rPr>
          <w:sz w:val="20"/>
        </w:rPr>
        <w:separator/>
      </w:r>
    </w:p>
    <w:p w14:paraId="63D134E7" w14:textId="77777777" w:rsidR="00754FFC" w:rsidRDefault="00754FFC">
      <w:pPr>
        <w:rPr>
          <w:sz w:val="20"/>
        </w:rPr>
      </w:pPr>
      <w:r>
        <w:rPr>
          <w:sz w:val="20"/>
        </w:rPr>
        <w:t>(...continued from previous page)</w:t>
      </w:r>
    </w:p>
  </w:footnote>
  <w:footnote w:type="continuationNotice" w:id="1">
    <w:p w14:paraId="2741C16F" w14:textId="77777777" w:rsidR="00754FFC" w:rsidRDefault="00754FFC">
      <w:pPr>
        <w:jc w:val="right"/>
        <w:rPr>
          <w:sz w:val="20"/>
        </w:rPr>
      </w:pPr>
      <w:r>
        <w:rPr>
          <w:sz w:val="20"/>
        </w:rPr>
        <w:t>(continued....)</w:t>
      </w:r>
    </w:p>
  </w:footnote>
  <w:footnote w:id="2">
    <w:p w14:paraId="384481E5" w14:textId="77777777" w:rsidR="00566560" w:rsidRDefault="00566560" w:rsidP="00AC5B54">
      <w:pPr>
        <w:pStyle w:val="FootnoteText"/>
      </w:pPr>
      <w:r>
        <w:rPr>
          <w:rStyle w:val="FootnoteReference"/>
        </w:rPr>
        <w:footnoteRef/>
      </w:r>
      <w:r>
        <w:t xml:space="preserve"> TRS enables an individual </w:t>
      </w:r>
      <w:r w:rsidR="00897098">
        <w:t>who is deaf, hard of hearing, deaf-blind, or who has a</w:t>
      </w:r>
      <w:r>
        <w:t xml:space="preserve"> speech disability to communicate by telephone or other device through the telephone system.  </w:t>
      </w:r>
      <w:r>
        <w:rPr>
          <w:i/>
        </w:rPr>
        <w:t xml:space="preserve">See </w:t>
      </w:r>
      <w:r>
        <w:t xml:space="preserve">47 U.S.C. § 225(a)(3) (defining TRS).  TRS is provided in a variety of ways.  Currently, interstate TRS calls and all Internet Protocol (IP) based TRS calls, both intrastate and interstate, are compensated from the Fund.  </w:t>
      </w:r>
      <w:r>
        <w:rPr>
          <w:i/>
          <w:iCs/>
        </w:rPr>
        <w:t>See</w:t>
      </w:r>
      <w:r w:rsidRPr="009D3C95">
        <w:rPr>
          <w:sz w:val="24"/>
        </w:rPr>
        <w:t xml:space="preserve"> </w:t>
      </w:r>
      <w:r w:rsidRPr="009D3C95">
        <w:rPr>
          <w:i/>
          <w:iCs/>
        </w:rPr>
        <w:t>Telecommunications Relay Services and</w:t>
      </w:r>
      <w:r>
        <w:rPr>
          <w:i/>
          <w:iCs/>
        </w:rPr>
        <w:t xml:space="preserve"> </w:t>
      </w:r>
      <w:r w:rsidRPr="009D3C95">
        <w:rPr>
          <w:i/>
          <w:iCs/>
        </w:rPr>
        <w:t>Speech-to-Speech Services for</w:t>
      </w:r>
      <w:r>
        <w:rPr>
          <w:i/>
          <w:iCs/>
        </w:rPr>
        <w:t xml:space="preserve"> </w:t>
      </w:r>
      <w:r w:rsidRPr="009D3C95">
        <w:rPr>
          <w:i/>
          <w:iCs/>
        </w:rPr>
        <w:t>Individuals with Hearing and Speech Disabilities</w:t>
      </w:r>
      <w:r w:rsidRPr="009D3C95">
        <w:rPr>
          <w:iCs/>
        </w:rPr>
        <w:t>,</w:t>
      </w:r>
      <w:r w:rsidRPr="009D3C95">
        <w:t xml:space="preserve"> C</w:t>
      </w:r>
      <w:r>
        <w:t xml:space="preserve">G Docket No. 03-123, Declaratory Ruling, </w:t>
      </w:r>
      <w:r w:rsidRPr="009D3C95">
        <w:t>22 FCC Rcd 379</w:t>
      </w:r>
      <w:r>
        <w:t xml:space="preserve">, 380, ¶ 3, 381, </w:t>
      </w:r>
      <w:r w:rsidRPr="00116249">
        <w:t xml:space="preserve">¶¶ </w:t>
      </w:r>
      <w:r>
        <w:t xml:space="preserve"> 5-6,</w:t>
      </w:r>
      <w:r w:rsidRPr="00116249">
        <w:t xml:space="preserve"> </w:t>
      </w:r>
      <w:r>
        <w:t xml:space="preserve">390, </w:t>
      </w:r>
      <w:r w:rsidRPr="00116249">
        <w:t xml:space="preserve">¶ </w:t>
      </w:r>
      <w:r>
        <w:t>25 (2007).</w:t>
      </w:r>
    </w:p>
  </w:footnote>
  <w:footnote w:id="3">
    <w:p w14:paraId="1147AE87" w14:textId="6F4CAECB" w:rsidR="00EF5F0C" w:rsidRDefault="00EF5F0C" w:rsidP="00EF5F0C">
      <w:pPr>
        <w:pStyle w:val="FootnoteText"/>
      </w:pPr>
      <w:r>
        <w:rPr>
          <w:rStyle w:val="FootnoteReference"/>
        </w:rPr>
        <w:footnoteRef/>
      </w:r>
      <w:r>
        <w:t xml:space="preserve"> </w:t>
      </w:r>
      <w:r w:rsidRPr="005C0F62">
        <w:rPr>
          <w:i/>
        </w:rPr>
        <w:t>See</w:t>
      </w:r>
      <w:r>
        <w:t xml:space="preserve"> </w:t>
      </w:r>
      <w:r w:rsidRPr="00144C71">
        <w:t>Rolka Loube</w:t>
      </w:r>
      <w:r w:rsidRPr="002F4447">
        <w:t xml:space="preserve">, Interstate Telecommunications Relay Services Fund Payment Formula and Fund Size Estimate, CG Docket Nos. 03-123, 10-51 (filed </w:t>
      </w:r>
      <w:r>
        <w:t>April 24, 2015) (</w:t>
      </w:r>
      <w:r w:rsidRPr="0034582B">
        <w:rPr>
          <w:i/>
        </w:rPr>
        <w:t>2015 TRS Rate Filing</w:t>
      </w:r>
      <w:r>
        <w:t>); Supplemental Filing, CG Docket Nos. 03-123, 10-51 (filed May 1, 2015</w:t>
      </w:r>
      <w:r w:rsidRPr="002F4447">
        <w:t>) (</w:t>
      </w:r>
      <w:r w:rsidRPr="002F4447">
        <w:rPr>
          <w:i/>
        </w:rPr>
        <w:t>201</w:t>
      </w:r>
      <w:r>
        <w:rPr>
          <w:i/>
        </w:rPr>
        <w:t>5</w:t>
      </w:r>
      <w:r w:rsidRPr="002F4447">
        <w:rPr>
          <w:i/>
        </w:rPr>
        <w:t xml:space="preserve"> TRS Rate Filing</w:t>
      </w:r>
      <w:r>
        <w:rPr>
          <w:i/>
        </w:rPr>
        <w:t xml:space="preserve"> Supplement</w:t>
      </w:r>
      <w:r w:rsidRPr="002F4447">
        <w:t>).</w:t>
      </w:r>
      <w:r w:rsidRPr="00290B14">
        <w:rPr>
          <w:snapToGrid w:val="0"/>
          <w:kern w:val="28"/>
          <w:sz w:val="22"/>
          <w:szCs w:val="22"/>
        </w:rPr>
        <w:t xml:space="preserve"> </w:t>
      </w:r>
      <w:r>
        <w:rPr>
          <w:snapToGrid w:val="0"/>
          <w:kern w:val="28"/>
          <w:sz w:val="22"/>
          <w:szCs w:val="22"/>
        </w:rPr>
        <w:t xml:space="preserve"> </w:t>
      </w:r>
      <w:r w:rsidRPr="00290B14">
        <w:t>Under section</w:t>
      </w:r>
      <w:r>
        <w:t>s</w:t>
      </w:r>
      <w:r w:rsidR="00F333A7">
        <w:t xml:space="preserve"> </w:t>
      </w:r>
      <w:r w:rsidRPr="00290B14">
        <w:t>64.604(c)(5)(iii)(E) and (H) of the Commission’s rules, the Fund administrator is required to file TRS payment formulas and revenue requirements with the Commission on May 1 of each year, to be effective the following July 1.</w:t>
      </w:r>
      <w:r w:rsidRPr="00290B14">
        <w:rPr>
          <w:snapToGrid w:val="0"/>
          <w:kern w:val="28"/>
          <w:sz w:val="22"/>
        </w:rPr>
        <w:t xml:space="preserve"> </w:t>
      </w:r>
      <w:r>
        <w:rPr>
          <w:snapToGrid w:val="0"/>
          <w:kern w:val="28"/>
          <w:sz w:val="22"/>
        </w:rPr>
        <w:t xml:space="preserve"> </w:t>
      </w:r>
      <w:r w:rsidRPr="00290B14">
        <w:t>47 C.F.R. §§ 64.604(c)(5)(iii)(E), (H)</w:t>
      </w:r>
      <w:r>
        <w:t>.</w:t>
      </w:r>
    </w:p>
  </w:footnote>
  <w:footnote w:id="4">
    <w:p w14:paraId="43305DA7" w14:textId="236CEBA9" w:rsidR="00566560" w:rsidRDefault="00566560" w:rsidP="000D601E">
      <w:pPr>
        <w:pStyle w:val="FootnoteText"/>
      </w:pPr>
      <w:r>
        <w:rPr>
          <w:rStyle w:val="FootnoteReference"/>
        </w:rPr>
        <w:footnoteRef/>
      </w:r>
      <w:r>
        <w:t xml:space="preserve"> </w:t>
      </w:r>
      <w:r w:rsidRPr="00865DEF">
        <w:rPr>
          <w:i/>
          <w:iCs/>
        </w:rPr>
        <w:t>Structure and Practices of the Video Relay Services Program</w:t>
      </w:r>
      <w:r w:rsidR="005F18D5">
        <w:rPr>
          <w:i/>
          <w:iCs/>
        </w:rPr>
        <w:t>;</w:t>
      </w:r>
      <w:r w:rsidR="005F18D5" w:rsidRPr="00865DEF">
        <w:rPr>
          <w:i/>
          <w:iCs/>
        </w:rPr>
        <w:t xml:space="preserve"> </w:t>
      </w:r>
      <w:r w:rsidRPr="00865DEF">
        <w:rPr>
          <w:i/>
          <w:iCs/>
        </w:rPr>
        <w:t>Telecommunications Relay Services and Speech-to-Speech Services for Individuals with Hearing and Speech Disabilities</w:t>
      </w:r>
      <w:r w:rsidRPr="00865DEF">
        <w:rPr>
          <w:iCs/>
        </w:rPr>
        <w:t xml:space="preserve">, </w:t>
      </w:r>
      <w:r w:rsidRPr="00865DEF">
        <w:t>CG Docket Nos. 10-51, 03-123, Report and Order and Further Notice of Proposed Rulemaking, 28 FCC Rcd 8618, 8696, ¶ 192 (2013)</w:t>
      </w:r>
      <w:r w:rsidRPr="00865DEF">
        <w:rPr>
          <w:i/>
        </w:rPr>
        <w:t xml:space="preserve"> </w:t>
      </w:r>
      <w:r w:rsidRPr="00865DEF">
        <w:t>(</w:t>
      </w:r>
      <w:r w:rsidRPr="00865DEF">
        <w:rPr>
          <w:i/>
          <w:iCs/>
        </w:rPr>
        <w:t>VRS Reform Order</w:t>
      </w:r>
      <w:r w:rsidRPr="00865DEF">
        <w:t>)</w:t>
      </w:r>
      <w:r w:rsidRPr="004A0005">
        <w:t xml:space="preserve">, </w:t>
      </w:r>
      <w:r w:rsidR="005F18D5">
        <w:rPr>
          <w:i/>
        </w:rPr>
        <w:t>aff’d in part and vacated in part sub nom. Sorenson Communications, Inc. v. FCC</w:t>
      </w:r>
      <w:r w:rsidR="005F18D5">
        <w:t>, 765 F.3d 37 (D.C. Cir. 2014)</w:t>
      </w:r>
      <w:r>
        <w:t>.</w:t>
      </w:r>
    </w:p>
  </w:footnote>
  <w:footnote w:id="5">
    <w:p w14:paraId="31859953" w14:textId="25EC2131" w:rsidR="00566560" w:rsidRDefault="00566560" w:rsidP="000D601E">
      <w:pPr>
        <w:pStyle w:val="FootnoteText"/>
      </w:pPr>
      <w:r>
        <w:rPr>
          <w:rStyle w:val="FootnoteReference"/>
        </w:rPr>
        <w:footnoteRef/>
      </w:r>
      <w:r>
        <w:t xml:space="preserve"> </w:t>
      </w:r>
      <w:r w:rsidRPr="00184AB2">
        <w:rPr>
          <w:i/>
          <w:iCs/>
        </w:rPr>
        <w:t>VRS Reform Order</w:t>
      </w:r>
      <w:r>
        <w:rPr>
          <w:iCs/>
        </w:rPr>
        <w:t xml:space="preserve">, </w:t>
      </w:r>
      <w:r w:rsidRPr="00184AB2">
        <w:rPr>
          <w:iCs/>
        </w:rPr>
        <w:t xml:space="preserve">28 FCC Rcd </w:t>
      </w:r>
      <w:r>
        <w:rPr>
          <w:iCs/>
        </w:rPr>
        <w:t>at</w:t>
      </w:r>
      <w:r w:rsidRPr="00184AB2">
        <w:rPr>
          <w:iCs/>
        </w:rPr>
        <w:t> </w:t>
      </w:r>
      <w:r w:rsidR="000B0A1B">
        <w:rPr>
          <w:iCs/>
        </w:rPr>
        <w:t>8705-06</w:t>
      </w:r>
      <w:r w:rsidRPr="00184AB2">
        <w:rPr>
          <w:iCs/>
        </w:rPr>
        <w:t xml:space="preserve">, ¶ </w:t>
      </w:r>
      <w:r w:rsidR="00DA6612">
        <w:rPr>
          <w:iCs/>
        </w:rPr>
        <w:t>215</w:t>
      </w:r>
      <w:r>
        <w:t xml:space="preserve">. </w:t>
      </w:r>
    </w:p>
  </w:footnote>
  <w:footnote w:id="6">
    <w:p w14:paraId="699A8D69" w14:textId="41CA15E9" w:rsidR="00B220C4" w:rsidRDefault="00B220C4">
      <w:pPr>
        <w:pStyle w:val="FootnoteText"/>
      </w:pPr>
      <w:r>
        <w:rPr>
          <w:rStyle w:val="FootnoteReference"/>
        </w:rPr>
        <w:footnoteRef/>
      </w:r>
      <w:r>
        <w:t xml:space="preserve"> </w:t>
      </w:r>
      <w:r w:rsidRPr="001657FE">
        <w:t>Joint Proposal of All Six VRS Providers for Improving Functional Equivalence and Stabilizing Rates</w:t>
      </w:r>
      <w:r w:rsidRPr="00CB6F85">
        <w:t>,</w:t>
      </w:r>
      <w:r>
        <w:t xml:space="preserve"> CG Docket Nos. 10-51</w:t>
      </w:r>
      <w:r w:rsidR="00CB6F85">
        <w:t>,</w:t>
      </w:r>
      <w:r>
        <w:t xml:space="preserve"> 03-123 </w:t>
      </w:r>
      <w:r w:rsidR="00CB6F85">
        <w:t xml:space="preserve">(filed Mar. </w:t>
      </w:r>
      <w:r>
        <w:t>30, 2015</w:t>
      </w:r>
      <w:r w:rsidR="00CB6F85">
        <w:t>)</w:t>
      </w:r>
      <w:r>
        <w:t xml:space="preserve"> (Joint </w:t>
      </w:r>
      <w:r w:rsidR="001657FE">
        <w:t xml:space="preserve">VRS Providers </w:t>
      </w:r>
      <w:r>
        <w:t>Proposal).</w:t>
      </w:r>
    </w:p>
  </w:footnote>
  <w:footnote w:id="7">
    <w:p w14:paraId="6D57CDD5" w14:textId="19A9A56A" w:rsidR="00566560" w:rsidRDefault="00566560" w:rsidP="00AC5B54">
      <w:pPr>
        <w:pStyle w:val="FootnoteText"/>
      </w:pPr>
      <w:r>
        <w:rPr>
          <w:rStyle w:val="FootnoteReference"/>
        </w:rPr>
        <w:footnoteRef/>
      </w:r>
      <w:r>
        <w:t xml:space="preserve"> </w:t>
      </w:r>
      <w:r w:rsidR="00343B9F" w:rsidRPr="00343B9F">
        <w:rPr>
          <w:i/>
        </w:rPr>
        <w:t>See</w:t>
      </w:r>
      <w:r w:rsidR="00343B9F">
        <w:t xml:space="preserve"> </w:t>
      </w:r>
      <w:r w:rsidR="00C01133">
        <w:rPr>
          <w:i/>
        </w:rPr>
        <w:t>2015</w:t>
      </w:r>
      <w:r w:rsidRPr="00515A49">
        <w:rPr>
          <w:i/>
        </w:rPr>
        <w:t xml:space="preserve"> TRS Rate Filing</w:t>
      </w:r>
      <w:r w:rsidRPr="00515A49">
        <w:t xml:space="preserve"> at </w:t>
      </w:r>
      <w:r>
        <w:t>32</w:t>
      </w:r>
      <w:r w:rsidR="00732F33">
        <w:t>;</w:t>
      </w:r>
      <w:r w:rsidR="00E1682F">
        <w:t xml:space="preserve"> </w:t>
      </w:r>
      <w:r w:rsidR="00E1682F" w:rsidRPr="002F4447">
        <w:rPr>
          <w:i/>
        </w:rPr>
        <w:t>201</w:t>
      </w:r>
      <w:r w:rsidR="00E1682F">
        <w:rPr>
          <w:i/>
        </w:rPr>
        <w:t>5</w:t>
      </w:r>
      <w:r w:rsidR="00E1682F" w:rsidRPr="002F4447">
        <w:rPr>
          <w:i/>
        </w:rPr>
        <w:t xml:space="preserve"> TRS Rate Filing</w:t>
      </w:r>
      <w:r w:rsidR="00E1682F">
        <w:rPr>
          <w:i/>
        </w:rPr>
        <w:t xml:space="preserve"> Supplement</w:t>
      </w:r>
      <w:r w:rsidR="00E1682F">
        <w:t xml:space="preserve"> at 3</w:t>
      </w:r>
      <w:r>
        <w:rPr>
          <w:szCs w:val="22"/>
        </w:rPr>
        <w:t xml:space="preserve">.  </w:t>
      </w:r>
    </w:p>
  </w:footnote>
  <w:footnote w:id="8">
    <w:p w14:paraId="3FF96F6B" w14:textId="5845F8DD" w:rsidR="00566560" w:rsidRDefault="00566560" w:rsidP="00B42E61">
      <w:pPr>
        <w:pStyle w:val="FootnoteText"/>
        <w:jc w:val="both"/>
      </w:pPr>
      <w:r>
        <w:rPr>
          <w:rStyle w:val="FootnoteReference"/>
        </w:rPr>
        <w:footnoteRef/>
      </w:r>
      <w:r>
        <w:t xml:space="preserve"> </w:t>
      </w:r>
      <w:r w:rsidR="00FA4361" w:rsidRPr="00C46706">
        <w:rPr>
          <w:i/>
        </w:rPr>
        <w:t>Rolka Loube Associates LLC Submits Payment Formulas and Funding Requirement for the Interstate Telecommunications Relay Services Fund for the 2015-16 Fund Year</w:t>
      </w:r>
      <w:r w:rsidR="00FA4361">
        <w:t>, CG Docket Nos. 03-123, and 10-51, Public Notice, DA 15-612 (May 20, 2015) (</w:t>
      </w:r>
      <w:r w:rsidR="00FA4361">
        <w:rPr>
          <w:i/>
        </w:rPr>
        <w:t>2015 TRS Rate PN</w:t>
      </w:r>
      <w:r w:rsidR="00FA4361">
        <w:t>).</w:t>
      </w:r>
    </w:p>
  </w:footnote>
  <w:footnote w:id="9">
    <w:p w14:paraId="5F3427FF" w14:textId="3FD4B6B3" w:rsidR="00566560" w:rsidRDefault="00566560" w:rsidP="00D37365">
      <w:pPr>
        <w:pStyle w:val="FootnoteText"/>
      </w:pPr>
      <w:r>
        <w:rPr>
          <w:rStyle w:val="FootnoteReference"/>
        </w:rPr>
        <w:footnoteRef/>
      </w:r>
      <w:r>
        <w:t xml:space="preserve"> </w:t>
      </w:r>
      <w:r w:rsidRPr="00BB75FA">
        <w:t xml:space="preserve">The following </w:t>
      </w:r>
      <w:r w:rsidR="009E718A">
        <w:t xml:space="preserve">individual parties </w:t>
      </w:r>
      <w:r w:rsidRPr="00BB75FA">
        <w:t xml:space="preserve">submitted comments: </w:t>
      </w:r>
      <w:r>
        <w:t xml:space="preserve"> </w:t>
      </w:r>
      <w:r w:rsidR="00CA5151">
        <w:t>ASL</w:t>
      </w:r>
      <w:r w:rsidR="009E718A">
        <w:t xml:space="preserve"> </w:t>
      </w:r>
      <w:r w:rsidR="00CA5151">
        <w:t>Services Holdings, LLC</w:t>
      </w:r>
      <w:r w:rsidR="004B5B91">
        <w:t xml:space="preserve"> (ASL)</w:t>
      </w:r>
      <w:r w:rsidR="00CA5151">
        <w:t>, COMPTEL, Convo Communications LLC</w:t>
      </w:r>
      <w:r w:rsidR="004B5B91">
        <w:t xml:space="preserve"> (Convo)</w:t>
      </w:r>
      <w:r w:rsidR="00CA5151">
        <w:t>, Hamilton Relay, Inc.</w:t>
      </w:r>
      <w:r w:rsidR="004B5B91">
        <w:t xml:space="preserve"> (Hamilton)</w:t>
      </w:r>
      <w:r w:rsidR="00CA5151">
        <w:t>, IDT Telecom, Inc.</w:t>
      </w:r>
      <w:r w:rsidR="004B5B91">
        <w:t xml:space="preserve"> (IDT)</w:t>
      </w:r>
      <w:r w:rsidR="00CA5151">
        <w:t>, Sorenson Communications, Inc.</w:t>
      </w:r>
      <w:r w:rsidR="009E718A">
        <w:t>,</w:t>
      </w:r>
      <w:r w:rsidR="00CA5151">
        <w:t xml:space="preserve"> and CaptionCall, LLC</w:t>
      </w:r>
      <w:r w:rsidR="00D51194">
        <w:t xml:space="preserve"> (Sorenson)</w:t>
      </w:r>
      <w:r w:rsidR="00CA5151">
        <w:t xml:space="preserve">, </w:t>
      </w:r>
      <w:r w:rsidR="004B5B91">
        <w:t xml:space="preserve">and </w:t>
      </w:r>
      <w:r w:rsidR="00CA5151">
        <w:t>Sprint Corporation</w:t>
      </w:r>
      <w:r w:rsidR="004B5B91">
        <w:t xml:space="preserve"> (Sprint)</w:t>
      </w:r>
      <w:r w:rsidR="009E718A">
        <w:t xml:space="preserve">.  Comments were also submitted </w:t>
      </w:r>
      <w:r w:rsidR="006F3978">
        <w:t xml:space="preserve">jointly </w:t>
      </w:r>
      <w:r w:rsidR="009E718A">
        <w:t xml:space="preserve">by </w:t>
      </w:r>
      <w:r w:rsidR="00D51194">
        <w:t xml:space="preserve">a </w:t>
      </w:r>
      <w:r w:rsidR="009E718A">
        <w:t xml:space="preserve">group of VRS providers (ASL, CAAG VRS, Convo Communications, LLC, CSDVRS, LLC (ZVRS), Purple Communications, Inc., </w:t>
      </w:r>
      <w:r w:rsidR="00BD5754">
        <w:t>and Sorenson</w:t>
      </w:r>
      <w:r w:rsidR="009E718A">
        <w:t xml:space="preserve"> (VRS Providers)</w:t>
      </w:r>
      <w:r w:rsidR="00BD5754">
        <w:t>)</w:t>
      </w:r>
      <w:r w:rsidR="009E718A">
        <w:t xml:space="preserve">, and </w:t>
      </w:r>
      <w:r w:rsidR="00D51194">
        <w:t xml:space="preserve">a group of </w:t>
      </w:r>
      <w:r w:rsidR="009E718A">
        <w:t xml:space="preserve">consumer </w:t>
      </w:r>
      <w:r w:rsidR="00FC7E88">
        <w:t xml:space="preserve">and interpreter </w:t>
      </w:r>
      <w:r w:rsidR="009E718A">
        <w:t>organizations</w:t>
      </w:r>
      <w:r w:rsidR="00CA5151">
        <w:t xml:space="preserve"> (Telecommunications for the Deaf and Hard of Hearing, Inc., National Association of the Deaf, Deaf and Hard of Hearing Consumer Advocacy Network, Hearing Loss Association of America, Association of Late Deafened Adults, American Association of the Deaf-Blind, Cerebral Palsy and Deaf Organization, Deaf Seniors of America, California Coalition of Agencies Serving the Deaf and Hard of Hearing</w:t>
      </w:r>
      <w:r w:rsidR="00FC7E88">
        <w:t>, and Registry of Interpreters for the Deaf</w:t>
      </w:r>
      <w:r w:rsidR="00BD5754">
        <w:t xml:space="preserve"> (Consumer Groups)</w:t>
      </w:r>
      <w:r w:rsidR="00041206">
        <w:t>)</w:t>
      </w:r>
      <w:r w:rsidR="00CA5151">
        <w:t>.</w:t>
      </w:r>
      <w:r w:rsidR="00DF7884">
        <w:t xml:space="preserve"> </w:t>
      </w:r>
      <w:r w:rsidR="009E718A">
        <w:t xml:space="preserve"> </w:t>
      </w:r>
      <w:r w:rsidR="00DF7884" w:rsidRPr="00DF7884">
        <w:rPr>
          <w:i/>
        </w:rPr>
        <w:t>See</w:t>
      </w:r>
      <w:r w:rsidR="009E718A">
        <w:t xml:space="preserve"> </w:t>
      </w:r>
      <w:r w:rsidR="00D51194">
        <w:t>Joint Comments of All Six Providers on Rolka Loube Payment Formulas and Funding Requirements, CG Docket Nos. 10-51, 03-123 (filed June 4, 2015) (VRS Providers Comments)</w:t>
      </w:r>
      <w:r w:rsidR="00B36FE6">
        <w:t>; Consumer Groups and Registry of Interpreters for the Deaf Comments on Provider Compensation Rates, Funding Requirement, and Carrier Contribution for the Period from July 1, 2015, through June 30, 2016, CG Docket Nos. 03-123, 10-51 (filed June 4, 2015).</w:t>
      </w:r>
      <w:r w:rsidR="00D51194">
        <w:t xml:space="preserve">  Reply comments were submitted by </w:t>
      </w:r>
      <w:r w:rsidR="004B5B91">
        <w:t xml:space="preserve">Hamilton, IDT, </w:t>
      </w:r>
      <w:r w:rsidR="00D51194">
        <w:t>Sorenson</w:t>
      </w:r>
      <w:r w:rsidR="004B5B91">
        <w:t>, Ultratec, Inc. (Ultratec)</w:t>
      </w:r>
      <w:r w:rsidR="00B1220D">
        <w:t>, and the United States Telecom Association</w:t>
      </w:r>
      <w:r w:rsidR="00070E32">
        <w:t xml:space="preserve"> (USTA)</w:t>
      </w:r>
      <w:r w:rsidR="004B5B91">
        <w:t>.</w:t>
      </w:r>
      <w:r w:rsidR="00D51194">
        <w:t xml:space="preserve"> </w:t>
      </w:r>
      <w:r w:rsidR="009E718A">
        <w:t xml:space="preserve"> </w:t>
      </w:r>
    </w:p>
  </w:footnote>
  <w:footnote w:id="10">
    <w:p w14:paraId="41C98444" w14:textId="5205E4A5" w:rsidR="00566560" w:rsidRDefault="00566560">
      <w:pPr>
        <w:pStyle w:val="FootnoteText"/>
      </w:pPr>
      <w:r>
        <w:rPr>
          <w:rStyle w:val="FootnoteReference"/>
        </w:rPr>
        <w:footnoteRef/>
      </w:r>
      <w:r>
        <w:t xml:space="preserve"> Consistent</w:t>
      </w:r>
      <w:r w:rsidR="00FB4B08">
        <w:t>ly</w:t>
      </w:r>
      <w:r>
        <w:t xml:space="preserve"> with </w:t>
      </w:r>
      <w:r w:rsidR="00FB4B08">
        <w:t xml:space="preserve">rate determinations in </w:t>
      </w:r>
      <w:r>
        <w:t xml:space="preserve">past years, the STS rate includes an additional per-minute amount of $1.1310 to be used for STS outreach.  </w:t>
      </w:r>
      <w:r>
        <w:rPr>
          <w:i/>
        </w:rPr>
        <w:t xml:space="preserve">See </w:t>
      </w:r>
      <w:r w:rsidRPr="00CD0827">
        <w:rPr>
          <w:i/>
        </w:rPr>
        <w:t>Telecommunications Relay Services and Speech-to-Speech Services for Individuals with Hearing and Speech Disabilities</w:t>
      </w:r>
      <w:r w:rsidRPr="00CD0827">
        <w:t xml:space="preserve">, CG Docket No. 03-123, Report and Order and Declaratory Ruling, 22 FCC Rcd 20140, </w:t>
      </w:r>
      <w:r w:rsidRPr="00383FAA">
        <w:t>20170, ¶ 57</w:t>
      </w:r>
      <w:r w:rsidRPr="00CD0827">
        <w:t xml:space="preserve"> (2007) (</w:t>
      </w:r>
      <w:r w:rsidRPr="00CD0827">
        <w:rPr>
          <w:i/>
        </w:rPr>
        <w:t>2007 TRS Rate Methodology Order</w:t>
      </w:r>
      <w:r w:rsidRPr="00CD0827">
        <w:t>)</w:t>
      </w:r>
      <w:r>
        <w:t>.</w:t>
      </w:r>
      <w:r w:rsidR="0024580B">
        <w:t xml:space="preserve">  </w:t>
      </w:r>
      <w:r w:rsidR="009331F9" w:rsidRPr="009331F9">
        <w:t>Rolka Loube</w:t>
      </w:r>
      <w:r w:rsidR="0024580B">
        <w:t xml:space="preserve"> notes that the demand for STS is small compared to other services and suggests that the Commission revisit this issue to determine whether there is a more effective way to inform </w:t>
      </w:r>
      <w:r w:rsidR="007B434D">
        <w:t>people with speech disabilities</w:t>
      </w:r>
      <w:r w:rsidR="0024580B">
        <w:t xml:space="preserve"> about the availability of this service.  </w:t>
      </w:r>
      <w:r w:rsidR="0024580B" w:rsidRPr="0024580B">
        <w:rPr>
          <w:i/>
        </w:rPr>
        <w:t>2015 TRS Rate Filing</w:t>
      </w:r>
      <w:r w:rsidR="0024580B">
        <w:t xml:space="preserve"> at</w:t>
      </w:r>
      <w:r w:rsidR="00041206">
        <w:t xml:space="preserve"> 1</w:t>
      </w:r>
      <w:r w:rsidR="0024580B">
        <w:t xml:space="preserve">6.  </w:t>
      </w:r>
      <w:r w:rsidR="007B434D">
        <w:t xml:space="preserve">Any action on this </w:t>
      </w:r>
      <w:r w:rsidR="009533DD">
        <w:t xml:space="preserve">recommendation </w:t>
      </w:r>
      <w:r w:rsidR="007B434D">
        <w:t>will be addressed separately from</w:t>
      </w:r>
      <w:r w:rsidR="009533DD">
        <w:t xml:space="preserve"> this Order. </w:t>
      </w:r>
    </w:p>
  </w:footnote>
  <w:footnote w:id="11">
    <w:p w14:paraId="6AE40E20" w14:textId="275B908B" w:rsidR="00566560" w:rsidRDefault="00566560">
      <w:pPr>
        <w:pStyle w:val="FootnoteText"/>
      </w:pPr>
      <w:r>
        <w:rPr>
          <w:rStyle w:val="FootnoteReference"/>
        </w:rPr>
        <w:footnoteRef/>
      </w:r>
      <w:r>
        <w:t xml:space="preserve"> B</w:t>
      </w:r>
      <w:r w:rsidRPr="00CD0827">
        <w:t xml:space="preserve">ecause the states set rates for intrastate CTS but not IP CTS, the compensation rate for IP CTS </w:t>
      </w:r>
      <w:r>
        <w:t>is</w:t>
      </w:r>
      <w:r w:rsidRPr="00CD0827">
        <w:t xml:space="preserve"> set equal to the rate </w:t>
      </w:r>
      <w:r>
        <w:t>for interstate</w:t>
      </w:r>
      <w:r w:rsidRPr="00CD0827">
        <w:t xml:space="preserve"> CTS</w:t>
      </w:r>
      <w:r>
        <w:t xml:space="preserve">.  </w:t>
      </w:r>
      <w:r w:rsidR="00DF7884" w:rsidRPr="00DF7884">
        <w:rPr>
          <w:i/>
        </w:rPr>
        <w:t>2007 TRS Rate Methodology Order</w:t>
      </w:r>
      <w:r w:rsidRPr="00CD0827">
        <w:t xml:space="preserve">, 22 FCC Rcd </w:t>
      </w:r>
      <w:r>
        <w:t>at</w:t>
      </w:r>
      <w:r w:rsidRPr="00CD0827">
        <w:t xml:space="preserve"> 201</w:t>
      </w:r>
      <w:r>
        <w:t>61</w:t>
      </w:r>
      <w:r w:rsidRPr="00CD0827">
        <w:t xml:space="preserve">, ¶ </w:t>
      </w:r>
      <w:r>
        <w:t>38.</w:t>
      </w:r>
      <w:r w:rsidRPr="00281D0F">
        <w:t xml:space="preserve">  </w:t>
      </w:r>
    </w:p>
  </w:footnote>
  <w:footnote w:id="12">
    <w:p w14:paraId="1A2CD14B" w14:textId="14660E26" w:rsidR="00A70F9A" w:rsidRDefault="00A70F9A">
      <w:pPr>
        <w:pStyle w:val="FootnoteText"/>
      </w:pPr>
      <w:r>
        <w:rPr>
          <w:rStyle w:val="FootnoteReference"/>
        </w:rPr>
        <w:footnoteRef/>
      </w:r>
      <w:r>
        <w:t xml:space="preserve"> </w:t>
      </w:r>
      <w:r w:rsidR="00062147">
        <w:rPr>
          <w:i/>
        </w:rPr>
        <w:t>2015 TRS Rate PN</w:t>
      </w:r>
      <w:r w:rsidR="00062147">
        <w:t xml:space="preserve"> at 2, </w:t>
      </w:r>
      <w:r w:rsidR="00062147" w:rsidRPr="00062147">
        <w:rPr>
          <w:i/>
        </w:rPr>
        <w:t>citing</w:t>
      </w:r>
      <w:r w:rsidR="00062147">
        <w:t xml:space="preserve"> </w:t>
      </w:r>
      <w:r w:rsidRPr="00A70F9A">
        <w:rPr>
          <w:i/>
        </w:rPr>
        <w:t>Misuse of Internet Protocol (IP) Captioned Telephone Service, Telecommunications Relay Services and Speech-to-Speech Services for Individuals with Hearing and Speech Disabilities</w:t>
      </w:r>
      <w:r>
        <w:t xml:space="preserve">, CG Docket Nos. 13-24 and 03-123, Report and Order and Further Notice of Proposed Rulemaking, 28 FCC Rcd 13420, 13472-79, ¶¶ 111-27 (2013), </w:t>
      </w:r>
      <w:r w:rsidRPr="00A70F9A">
        <w:rPr>
          <w:i/>
        </w:rPr>
        <w:t>vacated in part on other grounds sub nom. Sorenson Communications, Inc. and CaptionCall, LLC v. FCC</w:t>
      </w:r>
      <w:r>
        <w:t>, 755 F.3d 702 (D.C. Cir. 2014).</w:t>
      </w:r>
    </w:p>
  </w:footnote>
  <w:footnote w:id="13">
    <w:p w14:paraId="4F75B613" w14:textId="1BE3BC99" w:rsidR="00E671F1" w:rsidRDefault="00E671F1">
      <w:pPr>
        <w:pStyle w:val="FootnoteText"/>
      </w:pPr>
      <w:r>
        <w:rPr>
          <w:rStyle w:val="FootnoteReference"/>
        </w:rPr>
        <w:footnoteRef/>
      </w:r>
      <w:r>
        <w:t xml:space="preserve"> Hamilton Comments at 2-12; IDT Comments at 2-6; Sorenson Comments at 5-8; Sprint Comments at 2</w:t>
      </w:r>
      <w:r w:rsidR="00B36FE6">
        <w:t xml:space="preserve">; Hamilton Reply Comments at 2-8; </w:t>
      </w:r>
      <w:r w:rsidR="00B1220D">
        <w:t xml:space="preserve">IDT Reply Comments at 6; </w:t>
      </w:r>
      <w:r w:rsidR="00BB3AAA">
        <w:t xml:space="preserve">Sorenson Reply Comments at 10-13; </w:t>
      </w:r>
      <w:r w:rsidR="00B36FE6">
        <w:t xml:space="preserve">Ultratec Reply Comments at 2-4. </w:t>
      </w:r>
    </w:p>
  </w:footnote>
  <w:footnote w:id="14">
    <w:p w14:paraId="1039F9A1" w14:textId="438C7FA9" w:rsidR="00566560" w:rsidRDefault="00566560" w:rsidP="00AC5B54">
      <w:pPr>
        <w:pStyle w:val="FootnoteText"/>
      </w:pPr>
      <w:r>
        <w:rPr>
          <w:rStyle w:val="FootnoteReference"/>
        </w:rPr>
        <w:footnoteRef/>
      </w:r>
      <w:r>
        <w:t xml:space="preserve"> </w:t>
      </w:r>
      <w:r w:rsidRPr="00865DEF">
        <w:t xml:space="preserve">In the </w:t>
      </w:r>
      <w:r w:rsidRPr="00865DEF">
        <w:rPr>
          <w:i/>
        </w:rPr>
        <w:t>2007 TRS Rate Methodology Order,</w:t>
      </w:r>
      <w:r w:rsidRPr="00865DEF">
        <w:t xml:space="preserve"> the Commission adopted a price cap methodology for IP Relay, setting a base rate for a three-year period ending June 30, 2010.</w:t>
      </w:r>
      <w:r>
        <w:t xml:space="preserve">  </w:t>
      </w:r>
      <w:r w:rsidRPr="0054044A">
        <w:rPr>
          <w:i/>
        </w:rPr>
        <w:t xml:space="preserve">2007 TRS Rate Methodology Order, </w:t>
      </w:r>
      <w:r w:rsidRPr="0054044A">
        <w:t xml:space="preserve">22 FCC Rcd at 20159-60, </w:t>
      </w:r>
      <w:r>
        <w:t>¶¶</w:t>
      </w:r>
      <w:r w:rsidRPr="0054044A">
        <w:t xml:space="preserve"> 43-46.</w:t>
      </w:r>
      <w:r w:rsidRPr="00865DEF">
        <w:t xml:space="preserve"> </w:t>
      </w:r>
      <w:r>
        <w:t xml:space="preserve"> </w:t>
      </w:r>
      <w:r w:rsidRPr="00865DEF">
        <w:t xml:space="preserve">In the </w:t>
      </w:r>
      <w:r w:rsidRPr="00865DEF">
        <w:rPr>
          <w:i/>
        </w:rPr>
        <w:t>2010 TRS Rate Order</w:t>
      </w:r>
      <w:r w:rsidRPr="00865DEF">
        <w:t xml:space="preserve">, the Commission approved continued use of the price cap methodology and three-year rate cycle, setting a new </w:t>
      </w:r>
      <w:r>
        <w:t>base rate</w:t>
      </w:r>
      <w:r w:rsidRPr="00865DEF">
        <w:t xml:space="preserve"> for a new rate period ending June 30, 2013.</w:t>
      </w:r>
      <w:r>
        <w:t xml:space="preserve">  </w:t>
      </w:r>
      <w:r w:rsidRPr="00865DEF">
        <w:rPr>
          <w:i/>
        </w:rPr>
        <w:t xml:space="preserve">Telecommunications Relay Services and Speech-to-Speech Services for Individuals with Hearing and Speech Disabilities, </w:t>
      </w:r>
      <w:r w:rsidRPr="00865DEF">
        <w:t>CG Docket No. 03-123, Order, 25 FCC Rcd 8689, 8700, ¶¶ 25-26 (2010)</w:t>
      </w:r>
      <w:r w:rsidRPr="00865DEF">
        <w:rPr>
          <w:i/>
        </w:rPr>
        <w:t>.</w:t>
      </w:r>
      <w:r w:rsidR="0096457A" w:rsidRPr="0096457A">
        <w:t xml:space="preserve"> </w:t>
      </w:r>
      <w:r w:rsidR="0096457A">
        <w:t xml:space="preserve"> The</w:t>
      </w:r>
      <w:r w:rsidR="0096457A">
        <w:rPr>
          <w:i/>
        </w:rPr>
        <w:t xml:space="preserve"> </w:t>
      </w:r>
      <w:r w:rsidR="0096457A">
        <w:t xml:space="preserve">price cap plan for IP Relay applies three factors to a base rate – an inflation factor, an efficiency (or “X”) factor, and exogenous costs.  The formula takes a base rate and multiplies it by an adjustment percentage that reflects an increase due to inflation, offset by a decrease due to efficiencies.  </w:t>
      </w:r>
      <w:r w:rsidR="0096457A">
        <w:rPr>
          <w:i/>
        </w:rPr>
        <w:t>Id</w:t>
      </w:r>
      <w:r w:rsidR="0096457A">
        <w:t xml:space="preserve">.  The inflation factor is Gross Domestic Product – Price Index (GDP-PI)).  The efficiency factor has been described as a figure equal to the Inflation Factor, less a designated amount to account for productivity gains.  </w:t>
      </w:r>
      <w:r w:rsidR="0096457A">
        <w:rPr>
          <w:i/>
        </w:rPr>
        <w:t>2007 TRS Rate Methodology Order</w:t>
      </w:r>
      <w:r w:rsidR="0096457A">
        <w:t>, 22 FCC Rcd at 20163, ¶¶ 43-44.</w:t>
      </w:r>
    </w:p>
  </w:footnote>
  <w:footnote w:id="15">
    <w:p w14:paraId="43ABEE7C" w14:textId="30797A21" w:rsidR="009E22E6" w:rsidRDefault="009E22E6">
      <w:pPr>
        <w:pStyle w:val="FootnoteText"/>
      </w:pPr>
      <w:r>
        <w:rPr>
          <w:rStyle w:val="FootnoteReference"/>
        </w:rPr>
        <w:footnoteRef/>
      </w:r>
      <w:r>
        <w:t xml:space="preserve"> </w:t>
      </w:r>
      <w:r w:rsidRPr="009E22E6">
        <w:rPr>
          <w:i/>
          <w:iCs/>
        </w:rPr>
        <w:t>Telecommunications Relay Services and Speech-to-Speech Services for Individuals with Hearing and Speech Disabilities</w:t>
      </w:r>
      <w:r w:rsidRPr="009E22E6">
        <w:rPr>
          <w:i/>
        </w:rPr>
        <w:t xml:space="preserve">, </w:t>
      </w:r>
      <w:r w:rsidRPr="009E22E6">
        <w:rPr>
          <w:i/>
          <w:iCs/>
        </w:rPr>
        <w:t>Structure and Practices of the Video Relay Service Program</w:t>
      </w:r>
      <w:r w:rsidRPr="009E22E6">
        <w:rPr>
          <w:i/>
        </w:rPr>
        <w:t xml:space="preserve">, </w:t>
      </w:r>
      <w:r w:rsidRPr="009E22E6">
        <w:t xml:space="preserve">CG Docket Nos. 03-123, 10-51, Order, 28 FCC Rcd 9219, 9224, ¶ 17 (CGB 2013).  </w:t>
      </w:r>
    </w:p>
  </w:footnote>
  <w:footnote w:id="16">
    <w:p w14:paraId="7C91293B" w14:textId="6EC2098C" w:rsidR="009E22E6" w:rsidRDefault="009E22E6">
      <w:pPr>
        <w:pStyle w:val="FootnoteText"/>
      </w:pPr>
      <w:r>
        <w:rPr>
          <w:rStyle w:val="FootnoteReference"/>
        </w:rPr>
        <w:footnoteRef/>
      </w:r>
      <w:r>
        <w:t xml:space="preserve"> </w:t>
      </w:r>
      <w:r>
        <w:rPr>
          <w:i/>
          <w:iCs/>
        </w:rPr>
        <w:t>Telecommunications Relay Services and Speech-to-Speech Services for Individuals with Hearing and Speech Disabilities</w:t>
      </w:r>
      <w:r>
        <w:rPr>
          <w:i/>
        </w:rPr>
        <w:t xml:space="preserve">, </w:t>
      </w:r>
      <w:r>
        <w:rPr>
          <w:i/>
          <w:iCs/>
        </w:rPr>
        <w:t>Structure and Practices of the Video Relay Service Program</w:t>
      </w:r>
      <w:r>
        <w:rPr>
          <w:i/>
        </w:rPr>
        <w:t xml:space="preserve">, </w:t>
      </w:r>
      <w:r>
        <w:t>CG Docket Nos. 03-123, 10-51, Order, 29 FCC Rcd 8044, 8052, ¶ 19 (CGB 2014)</w:t>
      </w:r>
      <w:r w:rsidR="00BD7F51">
        <w:t xml:space="preserve"> (</w:t>
      </w:r>
      <w:r w:rsidR="00BD7F51" w:rsidRPr="00C421CE">
        <w:rPr>
          <w:i/>
        </w:rPr>
        <w:t>2014 TRS Rate Order</w:t>
      </w:r>
      <w:r w:rsidR="00BD7F51">
        <w:t>)</w:t>
      </w:r>
      <w:r>
        <w:t xml:space="preserve">.  </w:t>
      </w:r>
    </w:p>
  </w:footnote>
  <w:footnote w:id="17">
    <w:p w14:paraId="1C2E2CDF" w14:textId="2F64F739" w:rsidR="0014577B" w:rsidRDefault="0014577B">
      <w:pPr>
        <w:pStyle w:val="FootnoteText"/>
      </w:pPr>
      <w:r>
        <w:rPr>
          <w:rStyle w:val="FootnoteReference"/>
        </w:rPr>
        <w:footnoteRef/>
      </w:r>
      <w:r>
        <w:t xml:space="preserve"> </w:t>
      </w:r>
      <w:r w:rsidRPr="0014577B">
        <w:rPr>
          <w:i/>
        </w:rPr>
        <w:t>Telecommunications Relay Services and Speech-to-Speech Services for Individuals with H</w:t>
      </w:r>
      <w:r w:rsidR="00750831">
        <w:rPr>
          <w:i/>
        </w:rPr>
        <w:t>e</w:t>
      </w:r>
      <w:r w:rsidRPr="0014577B">
        <w:rPr>
          <w:i/>
        </w:rPr>
        <w:t>aring and Speech Disabilities</w:t>
      </w:r>
      <w:r>
        <w:t>, CG Docket No. 03-123, Order, 29 FCC Rcd 16273, 16275-78, ¶¶ 6-12 (CGB 2014).</w:t>
      </w:r>
      <w:r w:rsidR="009E22E6">
        <w:t xml:space="preserve">  To facilitate Sprint’s expansion of capacity to service the expected sudden influx of new customers migrating from Purple, the Bureau also established a separate rate of $1.67 per minute, applicable to any monthly minutes handled in excess of 300,000 during the </w:t>
      </w:r>
      <w:r w:rsidR="00DF7884">
        <w:t xml:space="preserve">period from </w:t>
      </w:r>
      <w:r w:rsidR="009E22E6">
        <w:t xml:space="preserve">November 15, 2014, </w:t>
      </w:r>
      <w:r w:rsidR="00DF7884">
        <w:t>to</w:t>
      </w:r>
      <w:r w:rsidR="009E22E6">
        <w:t xml:space="preserve"> May 15, 2015.  </w:t>
      </w:r>
      <w:r w:rsidR="009E22E6" w:rsidRPr="001657FE">
        <w:rPr>
          <w:i/>
        </w:rPr>
        <w:t>Id</w:t>
      </w:r>
      <w:r w:rsidR="009E22E6">
        <w:t>.</w:t>
      </w:r>
    </w:p>
  </w:footnote>
  <w:footnote w:id="18">
    <w:p w14:paraId="761F13B5" w14:textId="13851B5A" w:rsidR="0010613F" w:rsidRDefault="0010613F">
      <w:pPr>
        <w:pStyle w:val="FootnoteText"/>
      </w:pPr>
      <w:r>
        <w:rPr>
          <w:rStyle w:val="FootnoteReference"/>
        </w:rPr>
        <w:footnoteRef/>
      </w:r>
      <w:r>
        <w:t xml:space="preserve"> </w:t>
      </w:r>
      <w:r w:rsidRPr="00C6249E">
        <w:rPr>
          <w:i/>
        </w:rPr>
        <w:t>2015 TRS Rate Filing</w:t>
      </w:r>
      <w:r>
        <w:t xml:space="preserve"> at 19.</w:t>
      </w:r>
    </w:p>
  </w:footnote>
  <w:footnote w:id="19">
    <w:p w14:paraId="7260C6F6" w14:textId="0177E1C3" w:rsidR="00026024" w:rsidRDefault="00026024" w:rsidP="00026024">
      <w:pPr>
        <w:pStyle w:val="FootnoteText"/>
      </w:pPr>
      <w:r>
        <w:rPr>
          <w:rStyle w:val="FootnoteReference"/>
        </w:rPr>
        <w:footnoteRef/>
      </w:r>
      <w:r>
        <w:t xml:space="preserve"> </w:t>
      </w:r>
      <w:r w:rsidR="007108C5" w:rsidRPr="007108C5">
        <w:t xml:space="preserve">Sprint, </w:t>
      </w:r>
      <w:r w:rsidR="007108C5">
        <w:t xml:space="preserve">currently </w:t>
      </w:r>
      <w:r w:rsidR="007108C5" w:rsidRPr="007108C5">
        <w:t xml:space="preserve">the </w:t>
      </w:r>
      <w:r w:rsidR="007108C5">
        <w:t>only</w:t>
      </w:r>
      <w:r w:rsidR="007108C5" w:rsidRPr="007108C5">
        <w:t xml:space="preserve"> IP Relay service provider, commented that </w:t>
      </w:r>
      <w:r w:rsidR="004800E5">
        <w:t>a MARS</w:t>
      </w:r>
      <w:r w:rsidR="007108C5" w:rsidRPr="007108C5">
        <w:t xml:space="preserve"> methodology </w:t>
      </w:r>
      <w:r w:rsidR="004800E5">
        <w:t xml:space="preserve">would be the most appropriate methodology </w:t>
      </w:r>
      <w:r w:rsidR="007108C5" w:rsidRPr="007108C5">
        <w:t xml:space="preserve">for </w:t>
      </w:r>
      <w:r w:rsidR="004800E5">
        <w:t xml:space="preserve">setting </w:t>
      </w:r>
      <w:r w:rsidR="007108C5" w:rsidRPr="007108C5">
        <w:t xml:space="preserve">IP Relay </w:t>
      </w:r>
      <w:r w:rsidR="004800E5">
        <w:t>rates</w:t>
      </w:r>
      <w:r w:rsidR="007108C5" w:rsidRPr="007108C5">
        <w:t>.</w:t>
      </w:r>
      <w:r w:rsidR="007108C5">
        <w:t xml:space="preserve">  </w:t>
      </w:r>
      <w:r>
        <w:t xml:space="preserve">Sprint Comments at </w:t>
      </w:r>
      <w:r w:rsidR="004800E5">
        <w:t xml:space="preserve">1, </w:t>
      </w:r>
      <w:r>
        <w:t>2.</w:t>
      </w:r>
      <w:r w:rsidR="007108C5">
        <w:t xml:space="preserve">  As such a change in cost methodology is for the Commission to decide, we do not address Sprint’s comment in this Order. </w:t>
      </w:r>
    </w:p>
  </w:footnote>
  <w:footnote w:id="20">
    <w:p w14:paraId="3335D06F" w14:textId="77777777" w:rsidR="00566560" w:rsidRDefault="00566560" w:rsidP="009F02CD">
      <w:pPr>
        <w:pStyle w:val="FootnoteText"/>
      </w:pPr>
      <w:r>
        <w:rPr>
          <w:rStyle w:val="FootnoteReference"/>
        </w:rPr>
        <w:footnoteRef/>
      </w:r>
      <w:r>
        <w:t xml:space="preserve"> </w:t>
      </w:r>
      <w:r w:rsidRPr="002372EF">
        <w:rPr>
          <w:i/>
          <w:iCs/>
        </w:rPr>
        <w:t>VRS Reform Order</w:t>
      </w:r>
      <w:r w:rsidRPr="002372EF">
        <w:rPr>
          <w:iCs/>
        </w:rPr>
        <w:t>, 28 FCC Rcd at 8703-06, ¶¶ 212-16.</w:t>
      </w:r>
    </w:p>
  </w:footnote>
  <w:footnote w:id="21">
    <w:p w14:paraId="3289F7EF" w14:textId="77777777" w:rsidR="00566560" w:rsidRDefault="00566560" w:rsidP="009F02CD">
      <w:pPr>
        <w:pStyle w:val="FootnoteText"/>
      </w:pPr>
      <w:r>
        <w:rPr>
          <w:rStyle w:val="FootnoteReference"/>
        </w:rPr>
        <w:footnoteRef/>
      </w:r>
      <w:r>
        <w:t xml:space="preserve"> </w:t>
      </w:r>
      <w:r>
        <w:rPr>
          <w:i/>
          <w:iCs/>
        </w:rPr>
        <w:t>Id.</w:t>
      </w:r>
      <w:r>
        <w:rPr>
          <w:iCs/>
        </w:rPr>
        <w:t xml:space="preserve"> at 8705-06, Table 2.</w:t>
      </w:r>
      <w:r>
        <w:t xml:space="preserve"> </w:t>
      </w:r>
    </w:p>
  </w:footnote>
  <w:footnote w:id="22">
    <w:p w14:paraId="74D94EC2" w14:textId="359E03EB" w:rsidR="00DD0A67" w:rsidRDefault="00DD0A67">
      <w:pPr>
        <w:pStyle w:val="FootnoteText"/>
      </w:pPr>
      <w:r>
        <w:rPr>
          <w:rStyle w:val="FootnoteReference"/>
        </w:rPr>
        <w:footnoteRef/>
      </w:r>
      <w:r w:rsidR="00746AB3">
        <w:t xml:space="preserve"> </w:t>
      </w:r>
      <w:r>
        <w:t>ASL Comments at 1; Convo Comments at 1</w:t>
      </w:r>
      <w:r w:rsidR="003D7612">
        <w:t xml:space="preserve">; </w:t>
      </w:r>
      <w:r>
        <w:t>Sorenson</w:t>
      </w:r>
      <w:r w:rsidR="003D7612">
        <w:t xml:space="preserve"> Comments</w:t>
      </w:r>
      <w:r>
        <w:t xml:space="preserve"> at 1</w:t>
      </w:r>
      <w:r w:rsidR="00746AB3">
        <w:t xml:space="preserve">; </w:t>
      </w:r>
      <w:r w:rsidR="00746AB3" w:rsidRPr="00746AB3">
        <w:t>VRS Providers Comments at 1-2</w:t>
      </w:r>
      <w:r>
        <w:t>.</w:t>
      </w:r>
    </w:p>
  </w:footnote>
  <w:footnote w:id="23">
    <w:p w14:paraId="28D30CA8" w14:textId="3908BB84" w:rsidR="003D7612" w:rsidRDefault="003D7612">
      <w:pPr>
        <w:pStyle w:val="FootnoteText"/>
      </w:pPr>
      <w:r>
        <w:rPr>
          <w:rStyle w:val="FootnoteReference"/>
        </w:rPr>
        <w:footnoteRef/>
      </w:r>
      <w:r>
        <w:t xml:space="preserve"> </w:t>
      </w:r>
      <w:r w:rsidRPr="001B688B">
        <w:rPr>
          <w:i/>
        </w:rPr>
        <w:t>See</w:t>
      </w:r>
      <w:r>
        <w:t xml:space="preserve"> </w:t>
      </w:r>
      <w:r w:rsidR="00746AB3">
        <w:t xml:space="preserve">ASL Comments at 2; </w:t>
      </w:r>
      <w:r>
        <w:t xml:space="preserve">Convo Comments at 3-4; Sorenson Comments at 2-4; VRS Providers </w:t>
      </w:r>
      <w:r w:rsidR="00746AB3">
        <w:t xml:space="preserve">Comments </w:t>
      </w:r>
      <w:r>
        <w:t>at 1-2.</w:t>
      </w:r>
    </w:p>
  </w:footnote>
  <w:footnote w:id="24">
    <w:p w14:paraId="1DC711BF" w14:textId="369AA980" w:rsidR="00DD0A67" w:rsidRDefault="00DD0A67">
      <w:pPr>
        <w:pStyle w:val="FootnoteText"/>
      </w:pPr>
      <w:r>
        <w:rPr>
          <w:rStyle w:val="FootnoteReference"/>
        </w:rPr>
        <w:footnoteRef/>
      </w:r>
      <w:r>
        <w:t xml:space="preserve"> Consumer Groups Comments at 3-7.</w:t>
      </w:r>
    </w:p>
  </w:footnote>
  <w:footnote w:id="25">
    <w:p w14:paraId="4B1C3176" w14:textId="4A2592A3" w:rsidR="009A218D" w:rsidRDefault="009A218D">
      <w:pPr>
        <w:pStyle w:val="FootnoteText"/>
      </w:pPr>
      <w:r>
        <w:rPr>
          <w:rStyle w:val="FootnoteReference"/>
        </w:rPr>
        <w:footnoteRef/>
      </w:r>
      <w:r>
        <w:t xml:space="preserve"> </w:t>
      </w:r>
      <w:r w:rsidRPr="001D60F1">
        <w:rPr>
          <w:i/>
        </w:rPr>
        <w:t>See</w:t>
      </w:r>
      <w:r>
        <w:t xml:space="preserve"> Consumer Groups Comments at 4.</w:t>
      </w:r>
    </w:p>
  </w:footnote>
  <w:footnote w:id="26">
    <w:p w14:paraId="1FEAA7DE" w14:textId="77777777" w:rsidR="00E3194D" w:rsidRDefault="00E3194D" w:rsidP="00E3194D">
      <w:pPr>
        <w:pStyle w:val="FootnoteText"/>
      </w:pPr>
      <w:r>
        <w:rPr>
          <w:rStyle w:val="FootnoteReference"/>
        </w:rPr>
        <w:footnoteRef/>
      </w:r>
      <w:r>
        <w:t xml:space="preserve"> </w:t>
      </w:r>
      <w:r w:rsidRPr="0022596D">
        <w:rPr>
          <w:i/>
        </w:rPr>
        <w:t>2015 TRS Rate Filing</w:t>
      </w:r>
      <w:r>
        <w:t xml:space="preserve"> at 35; </w:t>
      </w:r>
      <w:r w:rsidRPr="0022596D">
        <w:rPr>
          <w:i/>
        </w:rPr>
        <w:t>2015 TRS Rate Filing Supplement</w:t>
      </w:r>
      <w:r>
        <w:t xml:space="preserve"> at 2.  </w:t>
      </w:r>
    </w:p>
  </w:footnote>
  <w:footnote w:id="27">
    <w:p w14:paraId="6D1F1E90" w14:textId="2E3D2F14" w:rsidR="00B461BF" w:rsidRDefault="00B461BF">
      <w:pPr>
        <w:pStyle w:val="FootnoteText"/>
      </w:pPr>
      <w:r>
        <w:rPr>
          <w:rStyle w:val="FootnoteReference"/>
        </w:rPr>
        <w:footnoteRef/>
      </w:r>
      <w:r>
        <w:t xml:space="preserve"> </w:t>
      </w:r>
      <w:r w:rsidR="00EF351D" w:rsidRPr="00EF351D">
        <w:rPr>
          <w:i/>
        </w:rPr>
        <w:t>See</w:t>
      </w:r>
      <w:r w:rsidR="00EF351D">
        <w:t xml:space="preserve"> </w:t>
      </w:r>
      <w:r w:rsidR="00EF351D" w:rsidRPr="00EF351D">
        <w:rPr>
          <w:i/>
        </w:rPr>
        <w:t>2015 TRS Rate Filing</w:t>
      </w:r>
      <w:r w:rsidR="00EF351D" w:rsidRPr="00EF351D">
        <w:t xml:space="preserve"> at </w:t>
      </w:r>
      <w:r w:rsidR="00EF351D">
        <w:t>26, 30-</w:t>
      </w:r>
      <w:r w:rsidR="00EF351D" w:rsidRPr="00EF351D">
        <w:t xml:space="preserve">35; </w:t>
      </w:r>
      <w:r w:rsidRPr="00B461BF">
        <w:rPr>
          <w:i/>
        </w:rPr>
        <w:t>2015 TRS Rate Filing Supplement</w:t>
      </w:r>
      <w:r>
        <w:rPr>
          <w:i/>
        </w:rPr>
        <w:t xml:space="preserve">, </w:t>
      </w:r>
      <w:r w:rsidRPr="00B461BF">
        <w:t>Updated Exh. 2.</w:t>
      </w:r>
    </w:p>
  </w:footnote>
  <w:footnote w:id="28">
    <w:p w14:paraId="248E1AC8" w14:textId="09B7637E" w:rsidR="008C039D" w:rsidRDefault="008C039D">
      <w:pPr>
        <w:pStyle w:val="FootnoteText"/>
      </w:pPr>
      <w:r>
        <w:rPr>
          <w:rStyle w:val="FootnoteReference"/>
        </w:rPr>
        <w:footnoteRef/>
      </w:r>
      <w:r>
        <w:t xml:space="preserve"> </w:t>
      </w:r>
      <w:r w:rsidRPr="0022596D">
        <w:rPr>
          <w:i/>
        </w:rPr>
        <w:t>2015 TRS Rate Filing Supplement</w:t>
      </w:r>
      <w:r>
        <w:t xml:space="preserve"> at 3.</w:t>
      </w:r>
    </w:p>
  </w:footnote>
  <w:footnote w:id="29">
    <w:p w14:paraId="7E6F4164" w14:textId="1D9C9779" w:rsidR="00933398" w:rsidRPr="00BC298C" w:rsidRDefault="00933398">
      <w:pPr>
        <w:pStyle w:val="FootnoteText"/>
      </w:pPr>
      <w:r w:rsidRPr="00BC298C">
        <w:rPr>
          <w:rStyle w:val="FootnoteReference"/>
        </w:rPr>
        <w:footnoteRef/>
      </w:r>
      <w:r w:rsidRPr="00BC298C">
        <w:t xml:space="preserve"> </w:t>
      </w:r>
      <w:r w:rsidR="00E3194D" w:rsidRPr="00E3194D">
        <w:t>COMPTEL Comments</w:t>
      </w:r>
      <w:r w:rsidRPr="00BC298C">
        <w:t xml:space="preserve"> at </w:t>
      </w:r>
      <w:r w:rsidR="00E3194D">
        <w:t>1-</w:t>
      </w:r>
      <w:r w:rsidRPr="00BC298C">
        <w:t>2</w:t>
      </w:r>
      <w:r w:rsidR="00070E32">
        <w:t>; see also USTA Reply Comments at 2-3</w:t>
      </w:r>
      <w:r w:rsidRPr="00BC298C">
        <w:t>.</w:t>
      </w:r>
    </w:p>
  </w:footnote>
  <w:footnote w:id="30">
    <w:p w14:paraId="436E9D7D" w14:textId="43A137DC" w:rsidR="00224DE0" w:rsidRDefault="00224DE0">
      <w:pPr>
        <w:pStyle w:val="FootnoteText"/>
      </w:pPr>
      <w:r>
        <w:rPr>
          <w:rStyle w:val="FootnoteReference"/>
        </w:rPr>
        <w:footnoteRef/>
      </w:r>
      <w:r>
        <w:t xml:space="preserve"> </w:t>
      </w:r>
      <w:r w:rsidRPr="00224DE0">
        <w:rPr>
          <w:i/>
        </w:rPr>
        <w:t>2015 TRS Rate Filing</w:t>
      </w:r>
      <w:r w:rsidRPr="00224DE0">
        <w:t xml:space="preserve"> at 26</w:t>
      </w:r>
      <w:r>
        <w:t>-</w:t>
      </w:r>
      <w:r w:rsidRPr="00224DE0">
        <w:t>30</w:t>
      </w:r>
      <w:r>
        <w:t>.</w:t>
      </w:r>
    </w:p>
  </w:footnote>
  <w:footnote w:id="31">
    <w:p w14:paraId="6051B45C" w14:textId="38456574" w:rsidR="00464CF4" w:rsidRDefault="00464CF4">
      <w:pPr>
        <w:pStyle w:val="FootnoteText"/>
      </w:pPr>
      <w:r>
        <w:rPr>
          <w:rStyle w:val="FootnoteReference"/>
        </w:rPr>
        <w:footnoteRef/>
      </w:r>
      <w:r>
        <w:t xml:space="preserve"> </w:t>
      </w:r>
      <w:r w:rsidRPr="00224DE0">
        <w:rPr>
          <w:i/>
        </w:rPr>
        <w:t>2015 TRS Rate Filing</w:t>
      </w:r>
      <w:r w:rsidRPr="00224DE0">
        <w:t xml:space="preserve"> at 26</w:t>
      </w:r>
      <w:r>
        <w:t>.</w:t>
      </w:r>
    </w:p>
  </w:footnote>
  <w:footnote w:id="32">
    <w:p w14:paraId="5EBCCE3A" w14:textId="1B65C5DF" w:rsidR="004A3D31" w:rsidRDefault="004A3D31">
      <w:pPr>
        <w:pStyle w:val="FootnoteText"/>
      </w:pPr>
      <w:r>
        <w:rPr>
          <w:rStyle w:val="FootnoteReference"/>
        </w:rPr>
        <w:footnoteRef/>
      </w:r>
      <w:r>
        <w:t xml:space="preserve"> </w:t>
      </w:r>
      <w:r w:rsidRPr="008E6AD0">
        <w:rPr>
          <w:i/>
        </w:rPr>
        <w:t>Id</w:t>
      </w:r>
      <w:r>
        <w:t>.</w:t>
      </w:r>
    </w:p>
  </w:footnote>
  <w:footnote w:id="33">
    <w:p w14:paraId="189D7D00" w14:textId="2712FD28" w:rsidR="008E6AD0" w:rsidRDefault="008E6AD0">
      <w:pPr>
        <w:pStyle w:val="FootnoteText"/>
      </w:pPr>
      <w:r>
        <w:rPr>
          <w:rStyle w:val="FootnoteReference"/>
        </w:rPr>
        <w:footnoteRef/>
      </w:r>
      <w:r>
        <w:t xml:space="preserve"> </w:t>
      </w:r>
      <w:r w:rsidRPr="008E7263">
        <w:rPr>
          <w:i/>
        </w:rPr>
        <w:t>Id</w:t>
      </w:r>
      <w:r>
        <w:t>. at 26-30.</w:t>
      </w:r>
    </w:p>
  </w:footnote>
  <w:footnote w:id="34">
    <w:p w14:paraId="74C737CA" w14:textId="7C02010A" w:rsidR="008E6AD0" w:rsidRDefault="008E6AD0">
      <w:pPr>
        <w:pStyle w:val="FootnoteText"/>
      </w:pPr>
      <w:r>
        <w:rPr>
          <w:rStyle w:val="FootnoteReference"/>
        </w:rPr>
        <w:footnoteRef/>
      </w:r>
      <w:r>
        <w:t xml:space="preserve"> </w:t>
      </w:r>
      <w:r w:rsidRPr="008E7263">
        <w:rPr>
          <w:i/>
        </w:rPr>
        <w:t>Id</w:t>
      </w:r>
      <w:r>
        <w:t>. at 27.</w:t>
      </w:r>
      <w:r w:rsidR="00EC4AC5">
        <w:t xml:space="preserve">  As discussed below, Consumer Groups express concern that Rolka Loube may have </w:t>
      </w:r>
      <w:r w:rsidR="00EC4AC5" w:rsidRPr="00F4339A">
        <w:t>under</w:t>
      </w:r>
      <w:r w:rsidR="00EC4AC5">
        <w:t>estimated demand for IP CTS; however, as discussed in ¶ 16 of this Order, their concern appears to be based on a misinterpretation of Rolka Loube’s supporting exhibit.</w:t>
      </w:r>
    </w:p>
  </w:footnote>
  <w:footnote w:id="35">
    <w:p w14:paraId="3EF904C1" w14:textId="73B22D71" w:rsidR="00872B27" w:rsidRPr="00BC298C" w:rsidRDefault="00872B27" w:rsidP="00872B27">
      <w:pPr>
        <w:pStyle w:val="FootnoteText"/>
      </w:pPr>
      <w:r w:rsidRPr="00BC298C">
        <w:rPr>
          <w:rStyle w:val="FootnoteReference"/>
        </w:rPr>
        <w:footnoteRef/>
      </w:r>
      <w:r w:rsidRPr="00BC298C">
        <w:t xml:space="preserve"> </w:t>
      </w:r>
      <w:r w:rsidRPr="00BC298C">
        <w:rPr>
          <w:i/>
        </w:rPr>
        <w:t>Id</w:t>
      </w:r>
      <w:r w:rsidRPr="00BC298C">
        <w:t>. at 2-3</w:t>
      </w:r>
      <w:r w:rsidR="00B1220D">
        <w:t xml:space="preserve">; </w:t>
      </w:r>
      <w:r w:rsidR="00B1220D" w:rsidRPr="008E6AD0">
        <w:rPr>
          <w:i/>
        </w:rPr>
        <w:t>see also</w:t>
      </w:r>
      <w:r w:rsidR="00B1220D">
        <w:t xml:space="preserve"> IDT Comments at 24; IDT Reply Comments at 5-6</w:t>
      </w:r>
      <w:r w:rsidRPr="00BC298C">
        <w:t xml:space="preserve">.  </w:t>
      </w:r>
    </w:p>
  </w:footnote>
  <w:footnote w:id="36">
    <w:p w14:paraId="0FAC7029" w14:textId="5E114CF8" w:rsidR="00401710" w:rsidRDefault="00401710">
      <w:pPr>
        <w:pStyle w:val="FootnoteText"/>
      </w:pPr>
      <w:r>
        <w:rPr>
          <w:rStyle w:val="FootnoteReference"/>
        </w:rPr>
        <w:footnoteRef/>
      </w:r>
      <w:r>
        <w:t xml:space="preserve"> </w:t>
      </w:r>
      <w:r w:rsidR="00EF351D" w:rsidRPr="006F6F93">
        <w:rPr>
          <w:i/>
          <w:color w:val="000000"/>
        </w:rPr>
        <w:t>Telecommunication Services for Individuals with Hearing and Speech Disabilities</w:t>
      </w:r>
      <w:r w:rsidR="00EF351D" w:rsidRPr="006F6F93">
        <w:rPr>
          <w:color w:val="000000"/>
        </w:rPr>
        <w:t xml:space="preserve">, </w:t>
      </w:r>
      <w:r w:rsidR="00EF351D" w:rsidRPr="006F6F93">
        <w:rPr>
          <w:i/>
          <w:color w:val="000000"/>
        </w:rPr>
        <w:t xml:space="preserve">and the Americans With Disabilities Act of 1990, </w:t>
      </w:r>
      <w:r w:rsidR="00EF351D" w:rsidRPr="006F6F93">
        <w:rPr>
          <w:color w:val="000000"/>
        </w:rPr>
        <w:t xml:space="preserve">CC Docket No. 90-571, Report and Order and Request for Comments, </w:t>
      </w:r>
      <w:r w:rsidR="00EF351D">
        <w:rPr>
          <w:color w:val="000000"/>
        </w:rPr>
        <w:t xml:space="preserve">6 FCC Rcd 4657, 4664, </w:t>
      </w:r>
      <w:r w:rsidR="00EF351D" w:rsidRPr="006F6F93">
        <w:rPr>
          <w:color w:val="000000"/>
        </w:rPr>
        <w:t>¶ 34 (1991)</w:t>
      </w:r>
      <w:r w:rsidR="00EF351D">
        <w:rPr>
          <w:color w:val="000000"/>
        </w:rPr>
        <w:t>;</w:t>
      </w:r>
      <w:r w:rsidR="00EF351D" w:rsidRPr="006F6F93">
        <w:rPr>
          <w:color w:val="000000"/>
        </w:rPr>
        <w:t xml:space="preserve"> </w:t>
      </w:r>
      <w:r w:rsidR="005B4E5F" w:rsidRPr="005B4E5F">
        <w:rPr>
          <w:i/>
          <w:color w:val="000000"/>
        </w:rPr>
        <w:t>Telecommunication Services for Individuals with Hearing and Speech Disabilities, and the Americans With Disabilities Act of 1990</w:t>
      </w:r>
      <w:r w:rsidR="005B4E5F" w:rsidRPr="005B4E5F">
        <w:rPr>
          <w:color w:val="000000"/>
        </w:rPr>
        <w:t xml:space="preserve">, CC Docket No. 90-571, </w:t>
      </w:r>
      <w:r w:rsidR="005B4E5F">
        <w:rPr>
          <w:color w:val="000000"/>
        </w:rPr>
        <w:t xml:space="preserve">Order on Reconsideration, Second </w:t>
      </w:r>
      <w:r w:rsidR="005B4E5F" w:rsidRPr="005B4E5F">
        <w:rPr>
          <w:color w:val="000000"/>
        </w:rPr>
        <w:t>Report and Order</w:t>
      </w:r>
      <w:r w:rsidR="005B4E5F">
        <w:rPr>
          <w:color w:val="000000"/>
        </w:rPr>
        <w:t>,</w:t>
      </w:r>
      <w:r w:rsidR="005B4E5F" w:rsidRPr="005B4E5F">
        <w:rPr>
          <w:iCs/>
        </w:rPr>
        <w:t xml:space="preserve"> </w:t>
      </w:r>
      <w:r w:rsidR="005B4E5F" w:rsidRPr="005B4E5F">
        <w:rPr>
          <w:iCs/>
          <w:color w:val="000000"/>
        </w:rPr>
        <w:t>and Further Notice of Proposed Rulemaking</w:t>
      </w:r>
      <w:r w:rsidR="005B4E5F" w:rsidRPr="005B4E5F">
        <w:rPr>
          <w:color w:val="000000"/>
        </w:rPr>
        <w:t xml:space="preserve">, </w:t>
      </w:r>
      <w:r w:rsidR="005B4E5F">
        <w:rPr>
          <w:color w:val="000000"/>
        </w:rPr>
        <w:t>8</w:t>
      </w:r>
      <w:r w:rsidR="005B4E5F" w:rsidRPr="005B4E5F">
        <w:rPr>
          <w:color w:val="000000"/>
        </w:rPr>
        <w:t xml:space="preserve"> FCC Rcd </w:t>
      </w:r>
      <w:r w:rsidR="005B4E5F">
        <w:rPr>
          <w:color w:val="000000"/>
        </w:rPr>
        <w:t>1802</w:t>
      </w:r>
      <w:r w:rsidR="005B4E5F" w:rsidRPr="005B4E5F">
        <w:rPr>
          <w:color w:val="000000"/>
        </w:rPr>
        <w:t xml:space="preserve">, </w:t>
      </w:r>
      <w:r w:rsidR="005B4E5F">
        <w:rPr>
          <w:color w:val="000000"/>
        </w:rPr>
        <w:t>1806</w:t>
      </w:r>
      <w:r w:rsidR="005B4E5F" w:rsidRPr="005B4E5F">
        <w:rPr>
          <w:color w:val="000000"/>
        </w:rPr>
        <w:t xml:space="preserve">, ¶ </w:t>
      </w:r>
      <w:r w:rsidR="005B4E5F">
        <w:rPr>
          <w:color w:val="000000"/>
        </w:rPr>
        <w:t>22</w:t>
      </w:r>
      <w:r w:rsidR="005B4E5F" w:rsidRPr="005B4E5F">
        <w:rPr>
          <w:color w:val="000000"/>
        </w:rPr>
        <w:t xml:space="preserve"> (199</w:t>
      </w:r>
      <w:r w:rsidR="005B4E5F">
        <w:rPr>
          <w:color w:val="000000"/>
        </w:rPr>
        <w:t>3</w:t>
      </w:r>
      <w:r w:rsidR="005B4E5F" w:rsidRPr="005B4E5F">
        <w:rPr>
          <w:color w:val="000000"/>
        </w:rPr>
        <w:t>)</w:t>
      </w:r>
      <w:r w:rsidRPr="006F6F93">
        <w:rPr>
          <w:color w:val="000000"/>
        </w:rPr>
        <w:t xml:space="preserve">; </w:t>
      </w:r>
      <w:r w:rsidR="00EF351D" w:rsidRPr="00FF2F62">
        <w:rPr>
          <w:i/>
          <w:iCs/>
        </w:rPr>
        <w:t>Telecommunications Relay Services and Speech-to-Speech Services for Individuals with</w:t>
      </w:r>
      <w:r w:rsidR="00EF351D">
        <w:rPr>
          <w:i/>
          <w:iCs/>
        </w:rPr>
        <w:t xml:space="preserve"> </w:t>
      </w:r>
      <w:r w:rsidR="00EF351D" w:rsidRPr="00FF2F62">
        <w:rPr>
          <w:i/>
          <w:iCs/>
        </w:rPr>
        <w:t>Hearing and Speech Disabilities</w:t>
      </w:r>
      <w:r w:rsidR="00EF351D" w:rsidRPr="00FF2F62">
        <w:rPr>
          <w:iCs/>
        </w:rPr>
        <w:t xml:space="preserve">, </w:t>
      </w:r>
      <w:r w:rsidR="00EF351D" w:rsidRPr="00FF2F62">
        <w:t xml:space="preserve">CC Docket Nos. 90-571, 98-67, </w:t>
      </w:r>
      <w:r w:rsidR="00EF351D">
        <w:t xml:space="preserve">CG Docket No. </w:t>
      </w:r>
      <w:r w:rsidR="00EF351D" w:rsidRPr="00FF2F62">
        <w:t xml:space="preserve">03-123, </w:t>
      </w:r>
      <w:r w:rsidR="00EF351D" w:rsidRPr="00FF2F62">
        <w:rPr>
          <w:iCs/>
        </w:rPr>
        <w:t>Report and Order, Order on Reconsideration, and Further Notice of Proposed</w:t>
      </w:r>
      <w:r w:rsidR="00EF351D">
        <w:rPr>
          <w:iCs/>
        </w:rPr>
        <w:t xml:space="preserve"> </w:t>
      </w:r>
      <w:r w:rsidR="00EF351D" w:rsidRPr="00FF2F62">
        <w:rPr>
          <w:iCs/>
        </w:rPr>
        <w:t>Rulemaking</w:t>
      </w:r>
      <w:r w:rsidR="00EF351D" w:rsidRPr="00FF2F62">
        <w:t>, 19 FCC Rcd 12475, 12</w:t>
      </w:r>
      <w:r w:rsidR="00EF351D">
        <w:t>482</w:t>
      </w:r>
      <w:r w:rsidR="00EF351D" w:rsidRPr="00FF2F62">
        <w:t xml:space="preserve">, ¶ </w:t>
      </w:r>
      <w:r w:rsidR="00EF351D">
        <w:t>8, n.33</w:t>
      </w:r>
      <w:r w:rsidR="00EF351D" w:rsidRPr="00FF2F62">
        <w:t xml:space="preserve"> (2004)</w:t>
      </w:r>
      <w:r w:rsidR="00EF351D">
        <w:t xml:space="preserve">.  </w:t>
      </w:r>
      <w:r w:rsidR="00B36FE6" w:rsidRPr="00B36FE6">
        <w:rPr>
          <w:i/>
          <w:color w:val="000000"/>
        </w:rPr>
        <w:t>See also</w:t>
      </w:r>
      <w:r w:rsidR="00B36FE6">
        <w:rPr>
          <w:color w:val="000000"/>
        </w:rPr>
        <w:t xml:space="preserve"> Hamilton Reply Comments at 9.</w:t>
      </w:r>
    </w:p>
  </w:footnote>
  <w:footnote w:id="37">
    <w:p w14:paraId="249F476E" w14:textId="5994CE1F" w:rsidR="00311F30" w:rsidRPr="00BC298C" w:rsidRDefault="00311F30">
      <w:pPr>
        <w:pStyle w:val="FootnoteText"/>
      </w:pPr>
      <w:r w:rsidRPr="00BC298C">
        <w:rPr>
          <w:rStyle w:val="FootnoteReference"/>
        </w:rPr>
        <w:footnoteRef/>
      </w:r>
      <w:r w:rsidRPr="00BC298C">
        <w:t xml:space="preserve"> IDT Comments at 2</w:t>
      </w:r>
      <w:r w:rsidR="00A07CAE">
        <w:t xml:space="preserve">; </w:t>
      </w:r>
      <w:r w:rsidR="00A07CAE" w:rsidRPr="00A07CAE">
        <w:rPr>
          <w:i/>
        </w:rPr>
        <w:t>see also id</w:t>
      </w:r>
      <w:r w:rsidR="00A07CAE">
        <w:t>. at 6-17</w:t>
      </w:r>
      <w:r w:rsidR="00B1220D">
        <w:t>; IDT Reply Comments at 7-10</w:t>
      </w:r>
      <w:r w:rsidR="00A07CAE">
        <w:t>.</w:t>
      </w:r>
    </w:p>
  </w:footnote>
  <w:footnote w:id="38">
    <w:p w14:paraId="09395F60" w14:textId="510DB6BC" w:rsidR="00311F30" w:rsidRPr="00BC298C" w:rsidRDefault="00311F30">
      <w:pPr>
        <w:pStyle w:val="FootnoteText"/>
      </w:pPr>
      <w:r w:rsidRPr="00BC298C">
        <w:rPr>
          <w:rStyle w:val="FootnoteReference"/>
        </w:rPr>
        <w:footnoteRef/>
      </w:r>
      <w:r w:rsidRPr="00BC298C">
        <w:t xml:space="preserve"> </w:t>
      </w:r>
      <w:r w:rsidR="00EF351D" w:rsidRPr="00EF351D">
        <w:t xml:space="preserve">IDT Comments </w:t>
      </w:r>
      <w:r w:rsidRPr="00BC298C">
        <w:t>at 3, 6-17.</w:t>
      </w:r>
    </w:p>
  </w:footnote>
  <w:footnote w:id="39">
    <w:p w14:paraId="4059588C" w14:textId="3EA92992" w:rsidR="00497E45" w:rsidRPr="00497E45" w:rsidRDefault="00497E45" w:rsidP="00D3316B">
      <w:pPr>
        <w:pStyle w:val="FootnoteText"/>
        <w:rPr>
          <w:i/>
          <w:iCs/>
        </w:rPr>
      </w:pPr>
      <w:r>
        <w:rPr>
          <w:rStyle w:val="FootnoteReference"/>
        </w:rPr>
        <w:footnoteRef/>
      </w:r>
      <w:r>
        <w:t xml:space="preserve"> </w:t>
      </w:r>
      <w:r w:rsidRPr="00497E45">
        <w:rPr>
          <w:i/>
          <w:iCs/>
        </w:rPr>
        <w:t xml:space="preserve">Telecommunications Relay Services f or Individuals with Hearing and Speech Disabilities, </w:t>
      </w:r>
      <w:r w:rsidRPr="00497E45">
        <w:t>CC Docket No. 98-67,</w:t>
      </w:r>
      <w:r>
        <w:t xml:space="preserve"> </w:t>
      </w:r>
      <w:r w:rsidRPr="00497E45">
        <w:t xml:space="preserve">Report and Order and Further Notice of Proposed Rulemaking, 15 FCC Red 5140, </w:t>
      </w:r>
      <w:r w:rsidR="00D3316B">
        <w:t xml:space="preserve">5153-54, </w:t>
      </w:r>
      <w:r>
        <w:t>¶¶</w:t>
      </w:r>
      <w:r w:rsidRPr="00497E45">
        <w:t xml:space="preserve"> 2</w:t>
      </w:r>
      <w:r w:rsidR="00D3316B">
        <w:t>4</w:t>
      </w:r>
      <w:r w:rsidRPr="00497E45">
        <w:t>-27 (2000)</w:t>
      </w:r>
      <w:r>
        <w:t xml:space="preserve">; </w:t>
      </w:r>
      <w:r w:rsidR="00D3316B" w:rsidRPr="00D3316B">
        <w:rPr>
          <w:i/>
        </w:rPr>
        <w:t>Provision of Improved</w:t>
      </w:r>
      <w:r w:rsidR="00D3316B" w:rsidRPr="00D3316B">
        <w:t xml:space="preserve"> </w:t>
      </w:r>
      <w:r w:rsidR="00D3316B" w:rsidRPr="00D3316B">
        <w:rPr>
          <w:i/>
          <w:iCs/>
        </w:rPr>
        <w:t xml:space="preserve">Telecommunications Relay Services and Speech-to-Speech Services </w:t>
      </w:r>
      <w:r w:rsidR="00D3316B">
        <w:rPr>
          <w:i/>
          <w:iCs/>
        </w:rPr>
        <w:t xml:space="preserve">for </w:t>
      </w:r>
      <w:r w:rsidR="00D3316B" w:rsidRPr="00D3316B">
        <w:rPr>
          <w:i/>
          <w:iCs/>
        </w:rPr>
        <w:t xml:space="preserve">Individuals with Hearing and Speech Disabilities; Petition for Clarification of WorldCom, Inc., </w:t>
      </w:r>
      <w:r w:rsidR="00D3316B" w:rsidRPr="00D3316B">
        <w:rPr>
          <w:iCs/>
        </w:rPr>
        <w:t>C</w:t>
      </w:r>
      <w:r w:rsidR="00B96B1F">
        <w:rPr>
          <w:iCs/>
        </w:rPr>
        <w:t>C</w:t>
      </w:r>
      <w:r w:rsidR="00D3316B" w:rsidRPr="00D3316B">
        <w:rPr>
          <w:iCs/>
        </w:rPr>
        <w:t xml:space="preserve"> Docket No. 98-67, </w:t>
      </w:r>
      <w:r w:rsidR="00D3316B" w:rsidRPr="00D3316B">
        <w:t>Declaratory Ruling and</w:t>
      </w:r>
      <w:r w:rsidR="00D3316B">
        <w:rPr>
          <w:i/>
          <w:iCs/>
        </w:rPr>
        <w:t xml:space="preserve"> </w:t>
      </w:r>
      <w:r w:rsidR="00D3316B" w:rsidRPr="00D3316B">
        <w:t xml:space="preserve">Second Further Notice of Proposed Rulemaking, </w:t>
      </w:r>
      <w:r w:rsidR="00D3316B">
        <w:t xml:space="preserve">17 FCC Rcd 7779, 7786, </w:t>
      </w:r>
      <w:r w:rsidR="007C5175">
        <w:t>¶¶</w:t>
      </w:r>
      <w:r w:rsidR="00D3316B" w:rsidRPr="00D3316B">
        <w:t xml:space="preserve"> 20</w:t>
      </w:r>
      <w:r w:rsidR="007C5175">
        <w:t>-21</w:t>
      </w:r>
      <w:r w:rsidR="00D3316B" w:rsidRPr="00D3316B">
        <w:t xml:space="preserve"> (2002)</w:t>
      </w:r>
      <w:r w:rsidR="00D3316B">
        <w:t xml:space="preserve">; </w:t>
      </w:r>
      <w:r w:rsidR="00D3316B" w:rsidRPr="00D3316B">
        <w:rPr>
          <w:i/>
          <w:iCs/>
        </w:rPr>
        <w:t>Telecommunications Relay Services and Speech-to-Speech Services for Individuals with Hearing</w:t>
      </w:r>
      <w:r w:rsidR="00D3316B">
        <w:rPr>
          <w:i/>
          <w:iCs/>
        </w:rPr>
        <w:t xml:space="preserve"> </w:t>
      </w:r>
      <w:r w:rsidR="00D3316B" w:rsidRPr="00D3316B">
        <w:rPr>
          <w:i/>
          <w:iCs/>
        </w:rPr>
        <w:t xml:space="preserve">and Speech Disabilities, </w:t>
      </w:r>
      <w:r w:rsidR="00F43B66" w:rsidRPr="00F43B66">
        <w:rPr>
          <w:iCs/>
        </w:rPr>
        <w:t>CC Docket No</w:t>
      </w:r>
      <w:r w:rsidR="00B96B1F">
        <w:rPr>
          <w:iCs/>
        </w:rPr>
        <w:t>s</w:t>
      </w:r>
      <w:r w:rsidR="00F43B66" w:rsidRPr="00F43B66">
        <w:rPr>
          <w:iCs/>
        </w:rPr>
        <w:t xml:space="preserve">. 90-571, 98-67, CG Docket No. 03-123, </w:t>
      </w:r>
      <w:r w:rsidR="00D3316B" w:rsidRPr="00D3316B">
        <w:t>Report and Order, Order on Reconsideration and Further Notice of Proposed Rulemaking</w:t>
      </w:r>
      <w:r w:rsidR="00D3316B" w:rsidRPr="00B96B1F">
        <w:t>,</w:t>
      </w:r>
      <w:r w:rsidR="00D3316B" w:rsidRPr="00B96B1F">
        <w:rPr>
          <w:color w:val="4C494A"/>
        </w:rPr>
        <w:t xml:space="preserve"> </w:t>
      </w:r>
      <w:r w:rsidR="00B96B1F" w:rsidRPr="00B96B1F">
        <w:rPr>
          <w:color w:val="4C494A"/>
        </w:rPr>
        <w:t xml:space="preserve">19 FCC Rcd 12475, </w:t>
      </w:r>
      <w:r w:rsidR="00B96B1F">
        <w:rPr>
          <w:color w:val="4C494A"/>
        </w:rPr>
        <w:t xml:space="preserve">12490, </w:t>
      </w:r>
      <w:r w:rsidR="00B96B1F" w:rsidRPr="00B96B1F">
        <w:rPr>
          <w:color w:val="4C494A"/>
        </w:rPr>
        <w:t>¶¶ 23-24,</w:t>
      </w:r>
      <w:r w:rsidR="00B96B1F" w:rsidRPr="00B96B1F">
        <w:rPr>
          <w:snapToGrid w:val="0"/>
          <w:kern w:val="28"/>
          <w:sz w:val="22"/>
        </w:rPr>
        <w:t xml:space="preserve"> </w:t>
      </w:r>
      <w:r w:rsidR="00B96B1F" w:rsidRPr="00B96B1F">
        <w:rPr>
          <w:color w:val="4C494A"/>
        </w:rPr>
        <w:t>124</w:t>
      </w:r>
      <w:r w:rsidR="00B96B1F">
        <w:rPr>
          <w:color w:val="4C494A"/>
        </w:rPr>
        <w:t>96</w:t>
      </w:r>
      <w:r w:rsidR="00B96B1F" w:rsidRPr="00B96B1F">
        <w:rPr>
          <w:color w:val="4C494A"/>
        </w:rPr>
        <w:t>-</w:t>
      </w:r>
      <w:r w:rsidR="00B96B1F">
        <w:rPr>
          <w:color w:val="4C494A"/>
        </w:rPr>
        <w:t>97</w:t>
      </w:r>
      <w:r w:rsidR="00B96B1F" w:rsidRPr="00B96B1F">
        <w:rPr>
          <w:color w:val="4C494A"/>
        </w:rPr>
        <w:t xml:space="preserve">, ¶¶ 34-37 </w:t>
      </w:r>
      <w:r w:rsidR="00D3316B" w:rsidRPr="00B96B1F">
        <w:t>(</w:t>
      </w:r>
      <w:r w:rsidR="00D3316B" w:rsidRPr="00D3316B">
        <w:t>2004)</w:t>
      </w:r>
      <w:r w:rsidR="00D3316B">
        <w:t xml:space="preserve">; </w:t>
      </w:r>
      <w:r w:rsidR="00D3316B" w:rsidRPr="00D3316B">
        <w:rPr>
          <w:i/>
          <w:iCs/>
        </w:rPr>
        <w:t>Telecommunications Relay Services for Individuals with Hearing and Speech Disabilities; Internet-based</w:t>
      </w:r>
      <w:r w:rsidR="00D3316B">
        <w:rPr>
          <w:i/>
          <w:iCs/>
        </w:rPr>
        <w:t xml:space="preserve"> </w:t>
      </w:r>
      <w:r w:rsidR="00D3316B" w:rsidRPr="00D3316B">
        <w:rPr>
          <w:i/>
          <w:iCs/>
        </w:rPr>
        <w:t xml:space="preserve">Captioned Telephone Service, </w:t>
      </w:r>
      <w:r w:rsidR="00D3316B" w:rsidRPr="00D3316B">
        <w:t xml:space="preserve">CG Docket No. 03-123, Declaratory Ruling, </w:t>
      </w:r>
      <w:r w:rsidR="00B96B1F">
        <w:t xml:space="preserve">22 FCC Rcd 379, 390, ¶ 25 </w:t>
      </w:r>
      <w:r w:rsidR="00D3316B" w:rsidRPr="00D3316B">
        <w:t>(2007)</w:t>
      </w:r>
      <w:r>
        <w:t>.</w:t>
      </w:r>
    </w:p>
  </w:footnote>
  <w:footnote w:id="40">
    <w:p w14:paraId="7D12FF4A" w14:textId="679D62CA" w:rsidR="009B77A2" w:rsidRDefault="009B77A2">
      <w:pPr>
        <w:pStyle w:val="FootnoteText"/>
      </w:pPr>
      <w:r>
        <w:rPr>
          <w:rStyle w:val="FootnoteReference"/>
        </w:rPr>
        <w:footnoteRef/>
      </w:r>
      <w:r>
        <w:t xml:space="preserve"> </w:t>
      </w:r>
      <w:r w:rsidR="00B36FE6" w:rsidRPr="00B36FE6">
        <w:rPr>
          <w:i/>
          <w:color w:val="000000"/>
        </w:rPr>
        <w:t xml:space="preserve">See </w:t>
      </w:r>
      <w:r w:rsidR="00B36FE6">
        <w:rPr>
          <w:color w:val="000000"/>
        </w:rPr>
        <w:t>Hamilton Reply Comments at 9-10</w:t>
      </w:r>
      <w:r w:rsidR="00BB3AAA">
        <w:rPr>
          <w:color w:val="000000"/>
        </w:rPr>
        <w:t>; Sorenson Reply Comments at 2-9</w:t>
      </w:r>
      <w:r w:rsidR="00B36FE6">
        <w:rPr>
          <w:color w:val="000000"/>
        </w:rPr>
        <w:t xml:space="preserve"> (opposing IDT’s request).  </w:t>
      </w:r>
      <w:r w:rsidR="001B67F1">
        <w:t xml:space="preserve">We note that </w:t>
      </w:r>
      <w:r w:rsidR="005C730F">
        <w:t xml:space="preserve">IDT also requests the Commission to initiate a rulemaking to address these issues and </w:t>
      </w:r>
      <w:r w:rsidR="001B67F1">
        <w:t xml:space="preserve">that </w:t>
      </w:r>
      <w:r w:rsidR="005C730F">
        <w:t>it filed a formal petition for rulemaking on the subject last year</w:t>
      </w:r>
      <w:r w:rsidRPr="009B77A2">
        <w:t xml:space="preserve">.  </w:t>
      </w:r>
      <w:r w:rsidR="005C730F">
        <w:t>IDT Comments at 18-29</w:t>
      </w:r>
      <w:r w:rsidR="0092680B">
        <w:t>; IDT Reply Comments at 3-5.</w:t>
      </w:r>
      <w:r w:rsidR="00B36FE6">
        <w:t xml:space="preserve">  </w:t>
      </w:r>
    </w:p>
  </w:footnote>
  <w:footnote w:id="41">
    <w:p w14:paraId="176DD224" w14:textId="3BA7CEA6" w:rsidR="00A04229" w:rsidRDefault="00A04229">
      <w:pPr>
        <w:pStyle w:val="FootnoteText"/>
      </w:pPr>
      <w:r>
        <w:rPr>
          <w:rStyle w:val="FootnoteReference"/>
        </w:rPr>
        <w:footnoteRef/>
      </w:r>
      <w:r>
        <w:t xml:space="preserve"> Consumer Groups Comments at 7.</w:t>
      </w:r>
    </w:p>
  </w:footnote>
  <w:footnote w:id="42">
    <w:p w14:paraId="7786FE2C" w14:textId="57291775" w:rsidR="00A04229" w:rsidRDefault="00A04229">
      <w:pPr>
        <w:pStyle w:val="FootnoteText"/>
      </w:pPr>
      <w:r>
        <w:rPr>
          <w:rStyle w:val="FootnoteReference"/>
        </w:rPr>
        <w:footnoteRef/>
      </w:r>
      <w:r>
        <w:t xml:space="preserve"> </w:t>
      </w:r>
      <w:r>
        <w:rPr>
          <w:i/>
        </w:rPr>
        <w:t>2015 TRS Rate Filing</w:t>
      </w:r>
      <w:r>
        <w:t xml:space="preserve"> at 3</w:t>
      </w:r>
      <w:r w:rsidR="00B8601E">
        <w:t>4</w:t>
      </w:r>
      <w:r>
        <w:t xml:space="preserve">.  </w:t>
      </w:r>
    </w:p>
  </w:footnote>
  <w:footnote w:id="43">
    <w:p w14:paraId="4B2941F9" w14:textId="6D02769C" w:rsidR="001D60F1" w:rsidRDefault="001D60F1">
      <w:pPr>
        <w:pStyle w:val="FootnoteText"/>
      </w:pPr>
      <w:r>
        <w:rPr>
          <w:rStyle w:val="FootnoteReference"/>
        </w:rPr>
        <w:footnoteRef/>
      </w:r>
      <w:r>
        <w:t xml:space="preserve"> </w:t>
      </w:r>
      <w:r w:rsidRPr="001D60F1">
        <w:rPr>
          <w:i/>
        </w:rPr>
        <w:t>See</w:t>
      </w:r>
      <w:r>
        <w:t xml:space="preserve"> </w:t>
      </w:r>
      <w:r w:rsidRPr="001D60F1">
        <w:rPr>
          <w:i/>
        </w:rPr>
        <w:t xml:space="preserve">2015 TRS Rate Supplemental Filing, </w:t>
      </w:r>
      <w:r w:rsidRPr="001D60F1">
        <w:t>Updated Exh. 2</w:t>
      </w:r>
      <w:r w:rsidRPr="001D60F1">
        <w:rPr>
          <w:i/>
        </w:rPr>
        <w:t>.</w:t>
      </w:r>
    </w:p>
  </w:footnote>
  <w:footnote w:id="44">
    <w:p w14:paraId="2BF40799" w14:textId="77777777" w:rsidR="00D60C3C" w:rsidRPr="0087556C" w:rsidRDefault="00D60C3C" w:rsidP="00D60C3C">
      <w:pPr>
        <w:pStyle w:val="FootnoteText"/>
      </w:pPr>
      <w:r>
        <w:rPr>
          <w:rStyle w:val="FootnoteReference"/>
        </w:rPr>
        <w:footnoteRef/>
      </w:r>
      <w:r>
        <w:t xml:space="preserve"> </w:t>
      </w:r>
      <w:r>
        <w:rPr>
          <w:i/>
        </w:rPr>
        <w:t>2015 TRS Rate Filing</w:t>
      </w:r>
      <w:r>
        <w:t xml:space="preserve"> at 31.  Although the NDBEDP pilot program was initially to have ended on June 30, 2015, the Commission extended it for an additional year, until June 30, 2016, to provide time to consider public comment on proposed rules to make the program permanent.  </w:t>
      </w:r>
      <w:r w:rsidRPr="0087556C">
        <w:rPr>
          <w:i/>
        </w:rPr>
        <w:t>See</w:t>
      </w:r>
      <w:r>
        <w:t xml:space="preserve"> </w:t>
      </w:r>
      <w:r w:rsidRPr="0087556C">
        <w:rPr>
          <w:i/>
        </w:rPr>
        <w:t>Implementation of the Twenty-First Century Communications and Video Accessibility Act of 2010, Section 105, Relay Services for Deaf-Blind Individuals</w:t>
      </w:r>
      <w:r>
        <w:t xml:space="preserve">, CG Docket No 10-210, Order, FCC 15-57 (rel. May 27, 2015).  </w:t>
      </w:r>
      <w:r w:rsidRPr="0087556C">
        <w:rPr>
          <w:i/>
        </w:rPr>
        <w:t>See also</w:t>
      </w:r>
      <w:r>
        <w:t xml:space="preserve"> </w:t>
      </w:r>
      <w:r w:rsidRPr="0087556C">
        <w:rPr>
          <w:i/>
        </w:rPr>
        <w:t>Implementation of the Twenty-First Century Communications and Video Accessibility Act of 2010, Section 105, Relay Services for Deaf-Blind Individuals</w:t>
      </w:r>
      <w:r>
        <w:t>, CG Docket No 10-210, Notice of Proposed Rulemaking, FCC 15-58 (rel. May 27, 2015).</w:t>
      </w:r>
    </w:p>
  </w:footnote>
  <w:footnote w:id="45">
    <w:p w14:paraId="74DF367A" w14:textId="77777777" w:rsidR="0002625F" w:rsidRDefault="0002625F" w:rsidP="0002625F">
      <w:pPr>
        <w:pStyle w:val="FootnoteText"/>
      </w:pPr>
      <w:r>
        <w:rPr>
          <w:rStyle w:val="FootnoteReference"/>
        </w:rPr>
        <w:footnoteRef/>
      </w:r>
      <w:r>
        <w:t xml:space="preserve"> </w:t>
      </w:r>
      <w:r w:rsidRPr="001E630D">
        <w:t>Pub. L. No. 111-204 (July</w:t>
      </w:r>
      <w:r>
        <w:t xml:space="preserve"> </w:t>
      </w:r>
      <w:r w:rsidRPr="001E630D">
        <w:t>22, 2010)</w:t>
      </w:r>
      <w:r>
        <w:t>.</w:t>
      </w:r>
    </w:p>
  </w:footnote>
  <w:footnote w:id="46">
    <w:p w14:paraId="4BD439B2" w14:textId="1FEA8E3A" w:rsidR="00D60C3C" w:rsidRDefault="00D60C3C" w:rsidP="00D60C3C">
      <w:pPr>
        <w:pStyle w:val="FootnoteText"/>
      </w:pPr>
      <w:r>
        <w:rPr>
          <w:rStyle w:val="FootnoteReference"/>
        </w:rPr>
        <w:footnoteRef/>
      </w:r>
      <w:r w:rsidR="00EF351D">
        <w:rPr>
          <w:i/>
        </w:rPr>
        <w:t xml:space="preserve"> </w:t>
      </w:r>
      <w:r>
        <w:rPr>
          <w:i/>
        </w:rPr>
        <w:t>2015 TRS Rate Filing</w:t>
      </w:r>
      <w:r>
        <w:t xml:space="preserve"> at </w:t>
      </w:r>
      <w:r w:rsidR="00B8601E">
        <w:t>3</w:t>
      </w:r>
      <w:r w:rsidR="003915EF">
        <w:t>0</w:t>
      </w:r>
      <w:r w:rsidR="00B8601E">
        <w:t>-</w:t>
      </w:r>
      <w:r>
        <w:t xml:space="preserve">33.  </w:t>
      </w:r>
    </w:p>
  </w:footnote>
  <w:footnote w:id="47">
    <w:p w14:paraId="16DEAF54" w14:textId="2DF6631D" w:rsidR="00E32456" w:rsidRDefault="00E32456">
      <w:pPr>
        <w:pStyle w:val="FootnoteText"/>
      </w:pPr>
      <w:r>
        <w:rPr>
          <w:rStyle w:val="FootnoteReference"/>
        </w:rPr>
        <w:footnoteRef/>
      </w:r>
      <w:r>
        <w:t xml:space="preserve"> </w:t>
      </w:r>
      <w:r w:rsidRPr="00E32456">
        <w:rPr>
          <w:i/>
        </w:rPr>
        <w:t>2015 TRS Rate Filing</w:t>
      </w:r>
      <w:r w:rsidRPr="00E32456">
        <w:t xml:space="preserve"> at 30-33.</w:t>
      </w:r>
    </w:p>
  </w:footnote>
  <w:footnote w:id="48">
    <w:p w14:paraId="335509DF" w14:textId="2ADC85B9" w:rsidR="001D60F1" w:rsidRPr="00BD7F51" w:rsidRDefault="001D60F1">
      <w:pPr>
        <w:pStyle w:val="FootnoteText"/>
      </w:pPr>
      <w:r>
        <w:rPr>
          <w:rStyle w:val="FootnoteReference"/>
        </w:rPr>
        <w:footnoteRef/>
      </w:r>
      <w:r>
        <w:t xml:space="preserve"> </w:t>
      </w:r>
      <w:r w:rsidRPr="001D60F1">
        <w:rPr>
          <w:i/>
        </w:rPr>
        <w:t xml:space="preserve">2015 TRS Rate </w:t>
      </w:r>
      <w:r>
        <w:rPr>
          <w:i/>
        </w:rPr>
        <w:t xml:space="preserve">Supplemental </w:t>
      </w:r>
      <w:r w:rsidRPr="001D60F1">
        <w:rPr>
          <w:i/>
        </w:rPr>
        <w:t>Filing</w:t>
      </w:r>
      <w:r>
        <w:rPr>
          <w:i/>
        </w:rPr>
        <w:t xml:space="preserve"> </w:t>
      </w:r>
      <w:r w:rsidR="00BD7F51">
        <w:t xml:space="preserve">at 34-35 &amp; </w:t>
      </w:r>
      <w:r w:rsidRPr="001D60F1">
        <w:t>Updated Exh. 2</w:t>
      </w:r>
      <w:r>
        <w:rPr>
          <w:i/>
        </w:rPr>
        <w:t>.</w:t>
      </w:r>
      <w:r w:rsidR="00BD7F51">
        <w:t xml:space="preserve">  </w:t>
      </w:r>
      <w:r w:rsidR="00831170">
        <w:t xml:space="preserve">In the </w:t>
      </w:r>
      <w:r w:rsidR="00831170" w:rsidRPr="00831170">
        <w:rPr>
          <w:i/>
        </w:rPr>
        <w:t>2014 TRS Rate Order</w:t>
      </w:r>
      <w:r w:rsidR="00831170" w:rsidRPr="0002625F">
        <w:t>,</w:t>
      </w:r>
      <w:r w:rsidR="00831170">
        <w:t xml:space="preserve"> t</w:t>
      </w:r>
      <w:r w:rsidR="00831170" w:rsidRPr="00831170">
        <w:t>he</w:t>
      </w:r>
      <w:r w:rsidR="00831170">
        <w:t xml:space="preserve"> Commission approved an increase in the payment reserve from one month to two months in order to appropriately reflect the practice of budgeting demand. </w:t>
      </w:r>
      <w:r w:rsidR="00831170" w:rsidRPr="00831170">
        <w:rPr>
          <w:i/>
        </w:rPr>
        <w:t>2014 TRS Rate Order</w:t>
      </w:r>
      <w:r w:rsidR="00831170" w:rsidRPr="00831170">
        <w:t xml:space="preserve">, 29 FCC Rcd </w:t>
      </w:r>
      <w:r w:rsidR="00831170">
        <w:t>at</w:t>
      </w:r>
      <w:r w:rsidR="00831170" w:rsidRPr="00831170">
        <w:t xml:space="preserve"> 8053, ¶ </w:t>
      </w:r>
      <w:r w:rsidR="00831170">
        <w:t>23</w:t>
      </w:r>
      <w:r w:rsidR="00831170" w:rsidRPr="00831170">
        <w:t xml:space="preserve"> (CGB 2014)</w:t>
      </w:r>
    </w:p>
  </w:footnote>
  <w:footnote w:id="49">
    <w:p w14:paraId="2C0C1CD0" w14:textId="0A79871C" w:rsidR="00831170" w:rsidRDefault="00831170">
      <w:pPr>
        <w:pStyle w:val="FootnoteText"/>
      </w:pPr>
      <w:r>
        <w:rPr>
          <w:rStyle w:val="FootnoteReference"/>
        </w:rPr>
        <w:footnoteRef/>
      </w:r>
      <w:r>
        <w:t xml:space="preserve"> </w:t>
      </w:r>
      <w:r w:rsidRPr="00831170">
        <w:rPr>
          <w:i/>
        </w:rPr>
        <w:t>See 2014 TRS Rate Order</w:t>
      </w:r>
      <w:r w:rsidRPr="00831170">
        <w:t xml:space="preserve">, 29 FCC Rcd 8044, 8052-53, ¶ </w:t>
      </w:r>
      <w:r>
        <w:t>22</w:t>
      </w:r>
      <w:r w:rsidRPr="00831170">
        <w:t xml:space="preserve"> (CGB 2014) (approving a $20 million VRS reform implementation 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13F99" w14:textId="77777777" w:rsidR="00313966" w:rsidRDefault="003139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5AB10" w14:textId="3AE12742" w:rsidR="00566560" w:rsidRPr="0009228C" w:rsidRDefault="00566560" w:rsidP="0009228C">
    <w:pPr>
      <w:pBdr>
        <w:bottom w:val="single" w:sz="12" w:space="1" w:color="auto"/>
      </w:pBdr>
      <w:tabs>
        <w:tab w:val="center" w:pos="4680"/>
        <w:tab w:val="right" w:pos="9360"/>
      </w:tabs>
    </w:pPr>
    <w:r w:rsidRPr="0009228C">
      <w:rPr>
        <w:b/>
      </w:rPr>
      <w:tab/>
    </w:r>
    <w:r w:rsidRPr="00F101A9">
      <w:rPr>
        <w:b/>
      </w:rPr>
      <w:t>Federal Communications Commission</w:t>
    </w:r>
    <w:r w:rsidRPr="00F101A9">
      <w:rPr>
        <w:b/>
      </w:rPr>
      <w:tab/>
    </w:r>
    <w:r w:rsidRPr="00606F99">
      <w:rPr>
        <w:b/>
        <w:spacing w:val="-2"/>
      </w:rPr>
      <w:t>DA</w:t>
    </w:r>
    <w:r w:rsidR="00501462">
      <w:rPr>
        <w:b/>
        <w:spacing w:val="-2"/>
      </w:rPr>
      <w:t xml:space="preserve"> </w:t>
    </w:r>
    <w:r w:rsidR="00501462" w:rsidRPr="00501462">
      <w:rPr>
        <w:b/>
        <w:spacing w:val="-2"/>
      </w:rPr>
      <w:t>1</w:t>
    </w:r>
    <w:r w:rsidR="00196BDA">
      <w:rPr>
        <w:b/>
        <w:spacing w:val="-2"/>
      </w:rPr>
      <w:t>5-</w:t>
    </w:r>
    <w:r w:rsidR="00365E43">
      <w:rPr>
        <w:b/>
        <w:spacing w:val="-2"/>
      </w:rPr>
      <w:t>774</w:t>
    </w:r>
  </w:p>
  <w:p w14:paraId="35A085FD" w14:textId="77777777" w:rsidR="00566560" w:rsidRDefault="00566560" w:rsidP="00D373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507A4" w14:textId="1549552D" w:rsidR="00566560" w:rsidRPr="0009228C" w:rsidRDefault="00566560" w:rsidP="0009228C">
    <w:pPr>
      <w:pBdr>
        <w:bottom w:val="single" w:sz="12" w:space="1" w:color="auto"/>
      </w:pBdr>
      <w:tabs>
        <w:tab w:val="center" w:pos="4680"/>
        <w:tab w:val="right" w:pos="9360"/>
      </w:tabs>
    </w:pPr>
    <w:r w:rsidRPr="0009228C">
      <w:rPr>
        <w:b/>
      </w:rPr>
      <w:tab/>
    </w:r>
    <w:r w:rsidRPr="00F101A9">
      <w:rPr>
        <w:b/>
      </w:rPr>
      <w:t>Federal Communications Commission</w:t>
    </w:r>
    <w:r w:rsidRPr="00F101A9">
      <w:rPr>
        <w:b/>
      </w:rPr>
      <w:tab/>
    </w:r>
    <w:r w:rsidRPr="00606F99">
      <w:rPr>
        <w:b/>
        <w:spacing w:val="-2"/>
      </w:rPr>
      <w:t>DA</w:t>
    </w:r>
    <w:r w:rsidR="00501462">
      <w:rPr>
        <w:b/>
        <w:spacing w:val="-2"/>
      </w:rPr>
      <w:t xml:space="preserve"> </w:t>
    </w:r>
    <w:r w:rsidR="00501462" w:rsidRPr="00501462">
      <w:rPr>
        <w:b/>
        <w:spacing w:val="-2"/>
      </w:rPr>
      <w:t>1</w:t>
    </w:r>
    <w:r w:rsidR="00196BDA">
      <w:rPr>
        <w:b/>
        <w:spacing w:val="-2"/>
      </w:rPr>
      <w:t>5-</w:t>
    </w:r>
    <w:r w:rsidR="00365E43">
      <w:rPr>
        <w:b/>
        <w:spacing w:val="-2"/>
      </w:rPr>
      <w:t>774</w:t>
    </w:r>
  </w:p>
  <w:p w14:paraId="3EF31AE2" w14:textId="77777777" w:rsidR="00566560" w:rsidRDefault="005665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F82490"/>
    <w:lvl w:ilvl="0">
      <w:start w:val="1"/>
      <w:numFmt w:val="decimal"/>
      <w:lvlText w:val="%1."/>
      <w:lvlJc w:val="left"/>
      <w:pPr>
        <w:tabs>
          <w:tab w:val="num" w:pos="1800"/>
        </w:tabs>
        <w:ind w:left="1800" w:hanging="360"/>
      </w:pPr>
    </w:lvl>
  </w:abstractNum>
  <w:abstractNum w:abstractNumId="1">
    <w:nsid w:val="FFFFFF7D"/>
    <w:multiLevelType w:val="singleLevel"/>
    <w:tmpl w:val="9D2C350E"/>
    <w:lvl w:ilvl="0">
      <w:start w:val="1"/>
      <w:numFmt w:val="decimal"/>
      <w:lvlText w:val="%1."/>
      <w:lvlJc w:val="left"/>
      <w:pPr>
        <w:tabs>
          <w:tab w:val="num" w:pos="1440"/>
        </w:tabs>
        <w:ind w:left="1440" w:hanging="360"/>
      </w:pPr>
    </w:lvl>
  </w:abstractNum>
  <w:abstractNum w:abstractNumId="2">
    <w:nsid w:val="FFFFFF7E"/>
    <w:multiLevelType w:val="singleLevel"/>
    <w:tmpl w:val="ECDAEEEC"/>
    <w:lvl w:ilvl="0">
      <w:start w:val="1"/>
      <w:numFmt w:val="decimal"/>
      <w:lvlText w:val="%1."/>
      <w:lvlJc w:val="left"/>
      <w:pPr>
        <w:tabs>
          <w:tab w:val="num" w:pos="1080"/>
        </w:tabs>
        <w:ind w:left="1080" w:hanging="360"/>
      </w:pPr>
    </w:lvl>
  </w:abstractNum>
  <w:abstractNum w:abstractNumId="3">
    <w:nsid w:val="FFFFFF7F"/>
    <w:multiLevelType w:val="singleLevel"/>
    <w:tmpl w:val="D876DADE"/>
    <w:lvl w:ilvl="0">
      <w:start w:val="1"/>
      <w:numFmt w:val="decimal"/>
      <w:lvlText w:val="%1."/>
      <w:lvlJc w:val="left"/>
      <w:pPr>
        <w:tabs>
          <w:tab w:val="num" w:pos="720"/>
        </w:tabs>
        <w:ind w:left="720" w:hanging="360"/>
      </w:pPr>
    </w:lvl>
  </w:abstractNum>
  <w:abstractNum w:abstractNumId="4">
    <w:nsid w:val="FFFFFF80"/>
    <w:multiLevelType w:val="singleLevel"/>
    <w:tmpl w:val="C27EF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3D245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861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4834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C4296AA"/>
    <w:lvl w:ilvl="0">
      <w:start w:val="1"/>
      <w:numFmt w:val="decimal"/>
      <w:lvlText w:val="%1."/>
      <w:lvlJc w:val="left"/>
      <w:pPr>
        <w:tabs>
          <w:tab w:val="num" w:pos="360"/>
        </w:tabs>
        <w:ind w:left="360" w:hanging="360"/>
      </w:pPr>
    </w:lvl>
  </w:abstractNum>
  <w:abstractNum w:abstractNumId="9">
    <w:nsid w:val="FFFFFF89"/>
    <w:multiLevelType w:val="singleLevel"/>
    <w:tmpl w:val="731A2B42"/>
    <w:lvl w:ilvl="0">
      <w:start w:val="1"/>
      <w:numFmt w:val="bullet"/>
      <w:lvlText w:val=""/>
      <w:lvlJc w:val="left"/>
      <w:pPr>
        <w:tabs>
          <w:tab w:val="num" w:pos="360"/>
        </w:tabs>
        <w:ind w:left="360" w:hanging="360"/>
      </w:pPr>
      <w:rPr>
        <w:rFonts w:ascii="Symbol" w:hAnsi="Symbol" w:hint="default"/>
      </w:rPr>
    </w:lvl>
  </w:abstractNum>
  <w:abstractNum w:abstractNumId="10">
    <w:nsid w:val="084B453C"/>
    <w:multiLevelType w:val="singleLevel"/>
    <w:tmpl w:val="40A8E97A"/>
    <w:lvl w:ilvl="0">
      <w:start w:val="1"/>
      <w:numFmt w:val="decimal"/>
      <w:lvlText w:val="%1."/>
      <w:lvlJc w:val="left"/>
      <w:pPr>
        <w:tabs>
          <w:tab w:val="num" w:pos="1080"/>
        </w:tabs>
        <w:ind w:left="0" w:firstLine="720"/>
      </w:pPr>
    </w:lvl>
  </w:abstractNum>
  <w:abstractNum w:abstractNumId="1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2">
    <w:nsid w:val="248246F3"/>
    <w:multiLevelType w:val="singleLevel"/>
    <w:tmpl w:val="B1F45678"/>
    <w:lvl w:ilvl="0">
      <w:start w:val="1"/>
      <w:numFmt w:val="decimal"/>
      <w:lvlText w:val="%1."/>
      <w:lvlJc w:val="left"/>
      <w:pPr>
        <w:tabs>
          <w:tab w:val="num" w:pos="1080"/>
        </w:tabs>
        <w:ind w:left="0" w:firstLine="720"/>
      </w:pPr>
    </w:lvl>
  </w:abstractNum>
  <w:abstractNum w:abstractNumId="1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4">
    <w:nsid w:val="3D0F1B3D"/>
    <w:multiLevelType w:val="singleLevel"/>
    <w:tmpl w:val="72603662"/>
    <w:lvl w:ilvl="0">
      <w:start w:val="1"/>
      <w:numFmt w:val="decimal"/>
      <w:lvlText w:val="%1."/>
      <w:lvlJc w:val="left"/>
      <w:pPr>
        <w:tabs>
          <w:tab w:val="num" w:pos="360"/>
        </w:tabs>
        <w:ind w:left="-72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5341241F"/>
    <w:multiLevelType w:val="singleLevel"/>
    <w:tmpl w:val="4C62BFF4"/>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17">
    <w:nsid w:val="541F6B38"/>
    <w:multiLevelType w:val="multilevel"/>
    <w:tmpl w:val="D892E404"/>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18">
    <w:nsid w:val="59BA0F8A"/>
    <w:multiLevelType w:val="singleLevel"/>
    <w:tmpl w:val="5E322D42"/>
    <w:lvl w:ilvl="0">
      <w:start w:val="1"/>
      <w:numFmt w:val="bullet"/>
      <w:lvlText w:val=""/>
      <w:lvlJc w:val="left"/>
      <w:pPr>
        <w:tabs>
          <w:tab w:val="num" w:pos="2520"/>
        </w:tabs>
        <w:ind w:left="2520" w:hanging="360"/>
      </w:pPr>
      <w:rPr>
        <w:rFonts w:ascii="Symbol" w:hAnsi="Symbol" w:hint="default"/>
      </w:rPr>
    </w:lvl>
  </w:abstractNum>
  <w:abstractNum w:abstractNumId="19">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7"/>
  </w:num>
  <w:num w:numId="2">
    <w:abstractNumId w:val="18"/>
  </w:num>
  <w:num w:numId="3">
    <w:abstractNumId w:val="14"/>
  </w:num>
  <w:num w:numId="4">
    <w:abstractNumId w:val="16"/>
  </w:num>
  <w:num w:numId="5">
    <w:abstractNumId w:val="14"/>
  </w:num>
  <w:num w:numId="6">
    <w:abstractNumId w:val="14"/>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9"/>
  </w:num>
  <w:num w:numId="20">
    <w:abstractNumId w:val="13"/>
  </w:num>
  <w:num w:numId="21">
    <w:abstractNumId w:val="15"/>
  </w:num>
  <w:num w:numId="22">
    <w:abstractNumId w:val="12"/>
  </w:num>
  <w:num w:numId="23">
    <w:abstractNumId w:val="10"/>
  </w:num>
  <w:num w:numId="24">
    <w:abstractNumId w:val="13"/>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lvlOverride w:ilvl="0">
      <w:startOverride w:val="1"/>
    </w:lvlOverride>
  </w:num>
  <w:num w:numId="33">
    <w:abstractNumId w:val="19"/>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ttachedTemplate r:id="rId1"/>
  <w:linkStyle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1E"/>
    <w:rsid w:val="00004383"/>
    <w:rsid w:val="0000612A"/>
    <w:rsid w:val="00011627"/>
    <w:rsid w:val="00015920"/>
    <w:rsid w:val="000165C0"/>
    <w:rsid w:val="00021CBD"/>
    <w:rsid w:val="00023109"/>
    <w:rsid w:val="00026024"/>
    <w:rsid w:val="0002625F"/>
    <w:rsid w:val="00027FBD"/>
    <w:rsid w:val="0003257F"/>
    <w:rsid w:val="00032BC9"/>
    <w:rsid w:val="00034264"/>
    <w:rsid w:val="00036576"/>
    <w:rsid w:val="00036DC7"/>
    <w:rsid w:val="000374A9"/>
    <w:rsid w:val="00041206"/>
    <w:rsid w:val="00042020"/>
    <w:rsid w:val="00042AD2"/>
    <w:rsid w:val="000440BF"/>
    <w:rsid w:val="00045588"/>
    <w:rsid w:val="000506EC"/>
    <w:rsid w:val="00057687"/>
    <w:rsid w:val="00062147"/>
    <w:rsid w:val="00063506"/>
    <w:rsid w:val="000704BB"/>
    <w:rsid w:val="00070D8F"/>
    <w:rsid w:val="00070E32"/>
    <w:rsid w:val="000733E2"/>
    <w:rsid w:val="00081A43"/>
    <w:rsid w:val="000843D3"/>
    <w:rsid w:val="00086B48"/>
    <w:rsid w:val="00090C06"/>
    <w:rsid w:val="0009228C"/>
    <w:rsid w:val="00093838"/>
    <w:rsid w:val="00094124"/>
    <w:rsid w:val="00095C04"/>
    <w:rsid w:val="0009695A"/>
    <w:rsid w:val="00096EBE"/>
    <w:rsid w:val="000A2A42"/>
    <w:rsid w:val="000A2E9D"/>
    <w:rsid w:val="000A5DEA"/>
    <w:rsid w:val="000A7328"/>
    <w:rsid w:val="000B0A1B"/>
    <w:rsid w:val="000B10E5"/>
    <w:rsid w:val="000B3F0B"/>
    <w:rsid w:val="000B5D3C"/>
    <w:rsid w:val="000C4037"/>
    <w:rsid w:val="000C4525"/>
    <w:rsid w:val="000C47E4"/>
    <w:rsid w:val="000C5713"/>
    <w:rsid w:val="000C61CB"/>
    <w:rsid w:val="000C62BB"/>
    <w:rsid w:val="000C762B"/>
    <w:rsid w:val="000C7948"/>
    <w:rsid w:val="000D256C"/>
    <w:rsid w:val="000D27B5"/>
    <w:rsid w:val="000D2A6B"/>
    <w:rsid w:val="000D3346"/>
    <w:rsid w:val="000D488D"/>
    <w:rsid w:val="000D4EB5"/>
    <w:rsid w:val="000D601E"/>
    <w:rsid w:val="000D6088"/>
    <w:rsid w:val="000D65E7"/>
    <w:rsid w:val="000D7076"/>
    <w:rsid w:val="000E4A40"/>
    <w:rsid w:val="000E519B"/>
    <w:rsid w:val="000E5B1A"/>
    <w:rsid w:val="000E71CE"/>
    <w:rsid w:val="000F14F2"/>
    <w:rsid w:val="000F27CC"/>
    <w:rsid w:val="000F3744"/>
    <w:rsid w:val="000F41A1"/>
    <w:rsid w:val="000F4E3A"/>
    <w:rsid w:val="000F546E"/>
    <w:rsid w:val="000F5838"/>
    <w:rsid w:val="000F706F"/>
    <w:rsid w:val="00100B3A"/>
    <w:rsid w:val="00103083"/>
    <w:rsid w:val="001043D0"/>
    <w:rsid w:val="001060E7"/>
    <w:rsid w:val="0010613F"/>
    <w:rsid w:val="00107724"/>
    <w:rsid w:val="00111054"/>
    <w:rsid w:val="00113D27"/>
    <w:rsid w:val="00116249"/>
    <w:rsid w:val="0011630D"/>
    <w:rsid w:val="00121BD1"/>
    <w:rsid w:val="00125FC8"/>
    <w:rsid w:val="00130C5D"/>
    <w:rsid w:val="001334C2"/>
    <w:rsid w:val="00142A56"/>
    <w:rsid w:val="00144C71"/>
    <w:rsid w:val="0014546F"/>
    <w:rsid w:val="0014577B"/>
    <w:rsid w:val="0014744D"/>
    <w:rsid w:val="00147B83"/>
    <w:rsid w:val="00150FCF"/>
    <w:rsid w:val="0015404D"/>
    <w:rsid w:val="00161B19"/>
    <w:rsid w:val="00163B8D"/>
    <w:rsid w:val="001657FE"/>
    <w:rsid w:val="00165ABC"/>
    <w:rsid w:val="00171644"/>
    <w:rsid w:val="00173CAB"/>
    <w:rsid w:val="0017654B"/>
    <w:rsid w:val="00180EE1"/>
    <w:rsid w:val="001828CE"/>
    <w:rsid w:val="00182E75"/>
    <w:rsid w:val="00184AB2"/>
    <w:rsid w:val="0018504E"/>
    <w:rsid w:val="0018669A"/>
    <w:rsid w:val="00191C72"/>
    <w:rsid w:val="00196BDA"/>
    <w:rsid w:val="001977FF"/>
    <w:rsid w:val="00197C2D"/>
    <w:rsid w:val="001A16A9"/>
    <w:rsid w:val="001A184A"/>
    <w:rsid w:val="001A50BB"/>
    <w:rsid w:val="001A5F00"/>
    <w:rsid w:val="001A67A2"/>
    <w:rsid w:val="001B1FDD"/>
    <w:rsid w:val="001B395F"/>
    <w:rsid w:val="001B5EF4"/>
    <w:rsid w:val="001B67F1"/>
    <w:rsid w:val="001B688B"/>
    <w:rsid w:val="001B6A5A"/>
    <w:rsid w:val="001C4906"/>
    <w:rsid w:val="001C4E38"/>
    <w:rsid w:val="001C68B8"/>
    <w:rsid w:val="001C78CF"/>
    <w:rsid w:val="001D1CEC"/>
    <w:rsid w:val="001D1DC9"/>
    <w:rsid w:val="001D2129"/>
    <w:rsid w:val="001D60F1"/>
    <w:rsid w:val="001E06BD"/>
    <w:rsid w:val="001E630D"/>
    <w:rsid w:val="001F182D"/>
    <w:rsid w:val="001F1D0C"/>
    <w:rsid w:val="001F3AB7"/>
    <w:rsid w:val="001F5AF2"/>
    <w:rsid w:val="00200747"/>
    <w:rsid w:val="00206EC7"/>
    <w:rsid w:val="002134F8"/>
    <w:rsid w:val="00214C9C"/>
    <w:rsid w:val="00214EF5"/>
    <w:rsid w:val="00216775"/>
    <w:rsid w:val="00221344"/>
    <w:rsid w:val="002219B5"/>
    <w:rsid w:val="00222542"/>
    <w:rsid w:val="00224697"/>
    <w:rsid w:val="00224DE0"/>
    <w:rsid w:val="0022596D"/>
    <w:rsid w:val="00227249"/>
    <w:rsid w:val="00232895"/>
    <w:rsid w:val="00233378"/>
    <w:rsid w:val="0023345A"/>
    <w:rsid w:val="00236484"/>
    <w:rsid w:val="002372EF"/>
    <w:rsid w:val="0024580B"/>
    <w:rsid w:val="002476EF"/>
    <w:rsid w:val="00247A79"/>
    <w:rsid w:val="0025208C"/>
    <w:rsid w:val="0025396C"/>
    <w:rsid w:val="00257991"/>
    <w:rsid w:val="0026055F"/>
    <w:rsid w:val="00265355"/>
    <w:rsid w:val="00265CC3"/>
    <w:rsid w:val="00267004"/>
    <w:rsid w:val="002678EA"/>
    <w:rsid w:val="00271A4A"/>
    <w:rsid w:val="00272BFA"/>
    <w:rsid w:val="00281D0F"/>
    <w:rsid w:val="00282AD6"/>
    <w:rsid w:val="0028579A"/>
    <w:rsid w:val="0028643C"/>
    <w:rsid w:val="00290B14"/>
    <w:rsid w:val="00294507"/>
    <w:rsid w:val="002A0EBC"/>
    <w:rsid w:val="002A1374"/>
    <w:rsid w:val="002A445B"/>
    <w:rsid w:val="002C0EA1"/>
    <w:rsid w:val="002C16DC"/>
    <w:rsid w:val="002C30C6"/>
    <w:rsid w:val="002C5B22"/>
    <w:rsid w:val="002D01C2"/>
    <w:rsid w:val="002D1393"/>
    <w:rsid w:val="002D4DE2"/>
    <w:rsid w:val="002D75C4"/>
    <w:rsid w:val="002E1075"/>
    <w:rsid w:val="002E2E79"/>
    <w:rsid w:val="002F04F4"/>
    <w:rsid w:val="002F05BB"/>
    <w:rsid w:val="002F084B"/>
    <w:rsid w:val="002F323E"/>
    <w:rsid w:val="002F4447"/>
    <w:rsid w:val="002F58AD"/>
    <w:rsid w:val="002F58AE"/>
    <w:rsid w:val="002F657B"/>
    <w:rsid w:val="00311F30"/>
    <w:rsid w:val="0031242A"/>
    <w:rsid w:val="00313966"/>
    <w:rsid w:val="003218D0"/>
    <w:rsid w:val="00321CD6"/>
    <w:rsid w:val="00322C09"/>
    <w:rsid w:val="00323F57"/>
    <w:rsid w:val="0032578F"/>
    <w:rsid w:val="00327176"/>
    <w:rsid w:val="00330B96"/>
    <w:rsid w:val="0033103E"/>
    <w:rsid w:val="0033114A"/>
    <w:rsid w:val="003344B1"/>
    <w:rsid w:val="00335197"/>
    <w:rsid w:val="00335216"/>
    <w:rsid w:val="00335513"/>
    <w:rsid w:val="003358F8"/>
    <w:rsid w:val="00336017"/>
    <w:rsid w:val="003374C8"/>
    <w:rsid w:val="003406EC"/>
    <w:rsid w:val="003408A0"/>
    <w:rsid w:val="00343291"/>
    <w:rsid w:val="00343B9F"/>
    <w:rsid w:val="00345470"/>
    <w:rsid w:val="0034582B"/>
    <w:rsid w:val="00345F68"/>
    <w:rsid w:val="003551A9"/>
    <w:rsid w:val="003569DF"/>
    <w:rsid w:val="0036194E"/>
    <w:rsid w:val="0036199F"/>
    <w:rsid w:val="00361D82"/>
    <w:rsid w:val="00364944"/>
    <w:rsid w:val="00365E43"/>
    <w:rsid w:val="0036771C"/>
    <w:rsid w:val="003714A1"/>
    <w:rsid w:val="00371D87"/>
    <w:rsid w:val="003732BD"/>
    <w:rsid w:val="00374BD1"/>
    <w:rsid w:val="00375054"/>
    <w:rsid w:val="00376C50"/>
    <w:rsid w:val="00383293"/>
    <w:rsid w:val="00383FAA"/>
    <w:rsid w:val="00385642"/>
    <w:rsid w:val="003900B6"/>
    <w:rsid w:val="003915EF"/>
    <w:rsid w:val="00397CF9"/>
    <w:rsid w:val="003B0165"/>
    <w:rsid w:val="003B1235"/>
    <w:rsid w:val="003B2559"/>
    <w:rsid w:val="003B2823"/>
    <w:rsid w:val="003B4485"/>
    <w:rsid w:val="003B5D67"/>
    <w:rsid w:val="003C0C95"/>
    <w:rsid w:val="003C2038"/>
    <w:rsid w:val="003C5C97"/>
    <w:rsid w:val="003C5F04"/>
    <w:rsid w:val="003C6686"/>
    <w:rsid w:val="003C6D37"/>
    <w:rsid w:val="003D5DEB"/>
    <w:rsid w:val="003D6105"/>
    <w:rsid w:val="003D7612"/>
    <w:rsid w:val="003E2796"/>
    <w:rsid w:val="003E4AD2"/>
    <w:rsid w:val="003E54A4"/>
    <w:rsid w:val="003E742A"/>
    <w:rsid w:val="003E7489"/>
    <w:rsid w:val="003E7920"/>
    <w:rsid w:val="003E7E06"/>
    <w:rsid w:val="00400566"/>
    <w:rsid w:val="00401710"/>
    <w:rsid w:val="00401E71"/>
    <w:rsid w:val="004049B5"/>
    <w:rsid w:val="00405A25"/>
    <w:rsid w:val="00406F41"/>
    <w:rsid w:val="00411231"/>
    <w:rsid w:val="00417CCA"/>
    <w:rsid w:val="00421D28"/>
    <w:rsid w:val="004320DC"/>
    <w:rsid w:val="004350C1"/>
    <w:rsid w:val="004428F0"/>
    <w:rsid w:val="00446915"/>
    <w:rsid w:val="0045015B"/>
    <w:rsid w:val="00450E78"/>
    <w:rsid w:val="00453356"/>
    <w:rsid w:val="00456AE5"/>
    <w:rsid w:val="00456C4B"/>
    <w:rsid w:val="00460F9D"/>
    <w:rsid w:val="00461430"/>
    <w:rsid w:val="00462DEE"/>
    <w:rsid w:val="00464CF4"/>
    <w:rsid w:val="00466C57"/>
    <w:rsid w:val="00471F6F"/>
    <w:rsid w:val="00472E06"/>
    <w:rsid w:val="004747CB"/>
    <w:rsid w:val="004758F5"/>
    <w:rsid w:val="00477135"/>
    <w:rsid w:val="004800E5"/>
    <w:rsid w:val="0048186F"/>
    <w:rsid w:val="00481C5C"/>
    <w:rsid w:val="00483D27"/>
    <w:rsid w:val="00485DE5"/>
    <w:rsid w:val="004906B7"/>
    <w:rsid w:val="00490F3F"/>
    <w:rsid w:val="00491BD1"/>
    <w:rsid w:val="004939C7"/>
    <w:rsid w:val="00494C09"/>
    <w:rsid w:val="00495442"/>
    <w:rsid w:val="00497270"/>
    <w:rsid w:val="00497E45"/>
    <w:rsid w:val="004A0005"/>
    <w:rsid w:val="004A0008"/>
    <w:rsid w:val="004A32D6"/>
    <w:rsid w:val="004A3D31"/>
    <w:rsid w:val="004A4B56"/>
    <w:rsid w:val="004B129F"/>
    <w:rsid w:val="004B21B0"/>
    <w:rsid w:val="004B2978"/>
    <w:rsid w:val="004B43E2"/>
    <w:rsid w:val="004B4459"/>
    <w:rsid w:val="004B4F12"/>
    <w:rsid w:val="004B50F9"/>
    <w:rsid w:val="004B5B91"/>
    <w:rsid w:val="004B74FB"/>
    <w:rsid w:val="004B7A55"/>
    <w:rsid w:val="004C03E4"/>
    <w:rsid w:val="004C2775"/>
    <w:rsid w:val="004C2CF5"/>
    <w:rsid w:val="004C3B9A"/>
    <w:rsid w:val="004C4C25"/>
    <w:rsid w:val="004C7448"/>
    <w:rsid w:val="004D10B3"/>
    <w:rsid w:val="004D6889"/>
    <w:rsid w:val="004D722C"/>
    <w:rsid w:val="004E126F"/>
    <w:rsid w:val="004E1415"/>
    <w:rsid w:val="004E4A38"/>
    <w:rsid w:val="004E4BC5"/>
    <w:rsid w:val="004E5FEA"/>
    <w:rsid w:val="004F0138"/>
    <w:rsid w:val="004F1DF8"/>
    <w:rsid w:val="004F4B63"/>
    <w:rsid w:val="004F50B5"/>
    <w:rsid w:val="004F5140"/>
    <w:rsid w:val="004F6C0A"/>
    <w:rsid w:val="00501462"/>
    <w:rsid w:val="0050294A"/>
    <w:rsid w:val="0050377D"/>
    <w:rsid w:val="00503E90"/>
    <w:rsid w:val="005060F8"/>
    <w:rsid w:val="0050717B"/>
    <w:rsid w:val="0050718B"/>
    <w:rsid w:val="00510EC7"/>
    <w:rsid w:val="00513321"/>
    <w:rsid w:val="00514ACD"/>
    <w:rsid w:val="00514E37"/>
    <w:rsid w:val="00515A49"/>
    <w:rsid w:val="005214ED"/>
    <w:rsid w:val="0052362E"/>
    <w:rsid w:val="005301EF"/>
    <w:rsid w:val="005319A3"/>
    <w:rsid w:val="00531C4B"/>
    <w:rsid w:val="0053731E"/>
    <w:rsid w:val="0054044A"/>
    <w:rsid w:val="0054196D"/>
    <w:rsid w:val="00542CB1"/>
    <w:rsid w:val="00542CB7"/>
    <w:rsid w:val="0054455F"/>
    <w:rsid w:val="0054466F"/>
    <w:rsid w:val="00550535"/>
    <w:rsid w:val="0055125F"/>
    <w:rsid w:val="00551260"/>
    <w:rsid w:val="00551C6E"/>
    <w:rsid w:val="00553629"/>
    <w:rsid w:val="00553FF1"/>
    <w:rsid w:val="00555A5A"/>
    <w:rsid w:val="00566560"/>
    <w:rsid w:val="005711AA"/>
    <w:rsid w:val="00581389"/>
    <w:rsid w:val="00581A75"/>
    <w:rsid w:val="0058252F"/>
    <w:rsid w:val="005935E4"/>
    <w:rsid w:val="00594C70"/>
    <w:rsid w:val="00597FB1"/>
    <w:rsid w:val="005A016B"/>
    <w:rsid w:val="005A1079"/>
    <w:rsid w:val="005A2666"/>
    <w:rsid w:val="005A3774"/>
    <w:rsid w:val="005B2E4E"/>
    <w:rsid w:val="005B383C"/>
    <w:rsid w:val="005B4E5F"/>
    <w:rsid w:val="005B5F66"/>
    <w:rsid w:val="005C0F62"/>
    <w:rsid w:val="005C1A7C"/>
    <w:rsid w:val="005C3162"/>
    <w:rsid w:val="005C4F7D"/>
    <w:rsid w:val="005C730F"/>
    <w:rsid w:val="005E11C4"/>
    <w:rsid w:val="005E2007"/>
    <w:rsid w:val="005E26DE"/>
    <w:rsid w:val="005E6D62"/>
    <w:rsid w:val="005E7A90"/>
    <w:rsid w:val="005F18D5"/>
    <w:rsid w:val="005F68B8"/>
    <w:rsid w:val="005F68EB"/>
    <w:rsid w:val="006011EC"/>
    <w:rsid w:val="006044EC"/>
    <w:rsid w:val="00606F99"/>
    <w:rsid w:val="00607B10"/>
    <w:rsid w:val="00607BEB"/>
    <w:rsid w:val="00612CE8"/>
    <w:rsid w:val="00615FF8"/>
    <w:rsid w:val="00616310"/>
    <w:rsid w:val="006203E0"/>
    <w:rsid w:val="006209EC"/>
    <w:rsid w:val="00621D28"/>
    <w:rsid w:val="00621E27"/>
    <w:rsid w:val="00624CBB"/>
    <w:rsid w:val="00625A95"/>
    <w:rsid w:val="00627C62"/>
    <w:rsid w:val="00630A29"/>
    <w:rsid w:val="0063409E"/>
    <w:rsid w:val="00637A53"/>
    <w:rsid w:val="00643759"/>
    <w:rsid w:val="00644C1C"/>
    <w:rsid w:val="00644C54"/>
    <w:rsid w:val="00645F30"/>
    <w:rsid w:val="00646726"/>
    <w:rsid w:val="00650C56"/>
    <w:rsid w:val="00653416"/>
    <w:rsid w:val="00653517"/>
    <w:rsid w:val="006544D5"/>
    <w:rsid w:val="00656C7B"/>
    <w:rsid w:val="00660106"/>
    <w:rsid w:val="00660F98"/>
    <w:rsid w:val="00661620"/>
    <w:rsid w:val="0066429A"/>
    <w:rsid w:val="00664BA2"/>
    <w:rsid w:val="006736ED"/>
    <w:rsid w:val="00674157"/>
    <w:rsid w:val="00676635"/>
    <w:rsid w:val="00681600"/>
    <w:rsid w:val="0068655C"/>
    <w:rsid w:val="006873C3"/>
    <w:rsid w:val="006910BF"/>
    <w:rsid w:val="0069163F"/>
    <w:rsid w:val="00693F58"/>
    <w:rsid w:val="00697679"/>
    <w:rsid w:val="006A03B1"/>
    <w:rsid w:val="006A1CFF"/>
    <w:rsid w:val="006A2CA1"/>
    <w:rsid w:val="006A3401"/>
    <w:rsid w:val="006B14F2"/>
    <w:rsid w:val="006B1F07"/>
    <w:rsid w:val="006B2DE5"/>
    <w:rsid w:val="006C464B"/>
    <w:rsid w:val="006D045C"/>
    <w:rsid w:val="006D0828"/>
    <w:rsid w:val="006D1765"/>
    <w:rsid w:val="006D62A3"/>
    <w:rsid w:val="006D6630"/>
    <w:rsid w:val="006D6F26"/>
    <w:rsid w:val="006D7457"/>
    <w:rsid w:val="006E2E3C"/>
    <w:rsid w:val="006F0480"/>
    <w:rsid w:val="006F17D5"/>
    <w:rsid w:val="006F3978"/>
    <w:rsid w:val="006F4FEA"/>
    <w:rsid w:val="00700629"/>
    <w:rsid w:val="007007B4"/>
    <w:rsid w:val="00702055"/>
    <w:rsid w:val="0070205A"/>
    <w:rsid w:val="00704246"/>
    <w:rsid w:val="00704739"/>
    <w:rsid w:val="0070601B"/>
    <w:rsid w:val="007108C5"/>
    <w:rsid w:val="007112F5"/>
    <w:rsid w:val="00712B06"/>
    <w:rsid w:val="00713EEB"/>
    <w:rsid w:val="00713F46"/>
    <w:rsid w:val="00715104"/>
    <w:rsid w:val="0071707F"/>
    <w:rsid w:val="00717A58"/>
    <w:rsid w:val="0072170E"/>
    <w:rsid w:val="00721969"/>
    <w:rsid w:val="00723038"/>
    <w:rsid w:val="00724171"/>
    <w:rsid w:val="00726762"/>
    <w:rsid w:val="00727217"/>
    <w:rsid w:val="00727C15"/>
    <w:rsid w:val="00727F6A"/>
    <w:rsid w:val="007303E5"/>
    <w:rsid w:val="00732A5A"/>
    <w:rsid w:val="00732F33"/>
    <w:rsid w:val="00733D69"/>
    <w:rsid w:val="00734F16"/>
    <w:rsid w:val="00736ECE"/>
    <w:rsid w:val="007416A9"/>
    <w:rsid w:val="00742A86"/>
    <w:rsid w:val="007431B9"/>
    <w:rsid w:val="007439BF"/>
    <w:rsid w:val="00744D50"/>
    <w:rsid w:val="00746AB3"/>
    <w:rsid w:val="00747022"/>
    <w:rsid w:val="00750831"/>
    <w:rsid w:val="00753C7F"/>
    <w:rsid w:val="00754F52"/>
    <w:rsid w:val="00754FFC"/>
    <w:rsid w:val="00760F0D"/>
    <w:rsid w:val="00767922"/>
    <w:rsid w:val="00774FE3"/>
    <w:rsid w:val="0077563F"/>
    <w:rsid w:val="00780CB3"/>
    <w:rsid w:val="00781FC9"/>
    <w:rsid w:val="007824F0"/>
    <w:rsid w:val="00784228"/>
    <w:rsid w:val="00791FC0"/>
    <w:rsid w:val="0079351D"/>
    <w:rsid w:val="00793ABD"/>
    <w:rsid w:val="007976E5"/>
    <w:rsid w:val="00797B00"/>
    <w:rsid w:val="007A3055"/>
    <w:rsid w:val="007A791C"/>
    <w:rsid w:val="007B0B43"/>
    <w:rsid w:val="007B0ED8"/>
    <w:rsid w:val="007B12E7"/>
    <w:rsid w:val="007B1D26"/>
    <w:rsid w:val="007B380B"/>
    <w:rsid w:val="007B434D"/>
    <w:rsid w:val="007B5621"/>
    <w:rsid w:val="007B56B2"/>
    <w:rsid w:val="007C19EC"/>
    <w:rsid w:val="007C3698"/>
    <w:rsid w:val="007C444A"/>
    <w:rsid w:val="007C50AE"/>
    <w:rsid w:val="007C5175"/>
    <w:rsid w:val="007C63C1"/>
    <w:rsid w:val="007D0855"/>
    <w:rsid w:val="007D3EE1"/>
    <w:rsid w:val="007D532B"/>
    <w:rsid w:val="007D6391"/>
    <w:rsid w:val="007D7E77"/>
    <w:rsid w:val="007E019D"/>
    <w:rsid w:val="007E1443"/>
    <w:rsid w:val="007E4066"/>
    <w:rsid w:val="007E785E"/>
    <w:rsid w:val="007F1344"/>
    <w:rsid w:val="007F3E75"/>
    <w:rsid w:val="007F48AA"/>
    <w:rsid w:val="007F7AED"/>
    <w:rsid w:val="00800751"/>
    <w:rsid w:val="00800CD0"/>
    <w:rsid w:val="008011FE"/>
    <w:rsid w:val="00802025"/>
    <w:rsid w:val="00805191"/>
    <w:rsid w:val="00805339"/>
    <w:rsid w:val="0080541E"/>
    <w:rsid w:val="00805CC0"/>
    <w:rsid w:val="00812B16"/>
    <w:rsid w:val="00812B5E"/>
    <w:rsid w:val="00814AF7"/>
    <w:rsid w:val="00815EBA"/>
    <w:rsid w:val="00820A4A"/>
    <w:rsid w:val="0082437E"/>
    <w:rsid w:val="00824D68"/>
    <w:rsid w:val="008256ED"/>
    <w:rsid w:val="008303F0"/>
    <w:rsid w:val="00831170"/>
    <w:rsid w:val="00831E26"/>
    <w:rsid w:val="00833B22"/>
    <w:rsid w:val="00836836"/>
    <w:rsid w:val="00840293"/>
    <w:rsid w:val="00853E53"/>
    <w:rsid w:val="0085501E"/>
    <w:rsid w:val="008609AD"/>
    <w:rsid w:val="0086250B"/>
    <w:rsid w:val="0086504D"/>
    <w:rsid w:val="00872B27"/>
    <w:rsid w:val="00872B7C"/>
    <w:rsid w:val="0087556C"/>
    <w:rsid w:val="0087756D"/>
    <w:rsid w:val="00882042"/>
    <w:rsid w:val="008867A1"/>
    <w:rsid w:val="00886C7F"/>
    <w:rsid w:val="008925A4"/>
    <w:rsid w:val="00894BB8"/>
    <w:rsid w:val="00895B74"/>
    <w:rsid w:val="00896004"/>
    <w:rsid w:val="00897098"/>
    <w:rsid w:val="008A1319"/>
    <w:rsid w:val="008A2FA4"/>
    <w:rsid w:val="008A6B14"/>
    <w:rsid w:val="008B082C"/>
    <w:rsid w:val="008B0CE6"/>
    <w:rsid w:val="008B44C0"/>
    <w:rsid w:val="008B7965"/>
    <w:rsid w:val="008B79B8"/>
    <w:rsid w:val="008C039D"/>
    <w:rsid w:val="008C05CD"/>
    <w:rsid w:val="008D4CD4"/>
    <w:rsid w:val="008D59F5"/>
    <w:rsid w:val="008D5AE6"/>
    <w:rsid w:val="008D62D3"/>
    <w:rsid w:val="008D6A3A"/>
    <w:rsid w:val="008E1CB3"/>
    <w:rsid w:val="008E2439"/>
    <w:rsid w:val="008E6AD0"/>
    <w:rsid w:val="008E7C1D"/>
    <w:rsid w:val="008F1038"/>
    <w:rsid w:val="008F2F37"/>
    <w:rsid w:val="008F521B"/>
    <w:rsid w:val="0090305C"/>
    <w:rsid w:val="009128CD"/>
    <w:rsid w:val="0091331E"/>
    <w:rsid w:val="00915657"/>
    <w:rsid w:val="00916723"/>
    <w:rsid w:val="0092017C"/>
    <w:rsid w:val="009204FF"/>
    <w:rsid w:val="009222BB"/>
    <w:rsid w:val="009241D6"/>
    <w:rsid w:val="009255FF"/>
    <w:rsid w:val="0092680B"/>
    <w:rsid w:val="0093141F"/>
    <w:rsid w:val="00931A4C"/>
    <w:rsid w:val="00931FCA"/>
    <w:rsid w:val="00932C42"/>
    <w:rsid w:val="009331F9"/>
    <w:rsid w:val="00933398"/>
    <w:rsid w:val="00933B26"/>
    <w:rsid w:val="009360A0"/>
    <w:rsid w:val="00940F3D"/>
    <w:rsid w:val="00944001"/>
    <w:rsid w:val="0094606F"/>
    <w:rsid w:val="009466ED"/>
    <w:rsid w:val="009504A5"/>
    <w:rsid w:val="009533DD"/>
    <w:rsid w:val="009552E1"/>
    <w:rsid w:val="009601B7"/>
    <w:rsid w:val="00960C95"/>
    <w:rsid w:val="00961C55"/>
    <w:rsid w:val="00961EBA"/>
    <w:rsid w:val="0096457A"/>
    <w:rsid w:val="00967BF9"/>
    <w:rsid w:val="0097010E"/>
    <w:rsid w:val="00972DAD"/>
    <w:rsid w:val="00975932"/>
    <w:rsid w:val="00975A54"/>
    <w:rsid w:val="009763FF"/>
    <w:rsid w:val="00980828"/>
    <w:rsid w:val="009817EC"/>
    <w:rsid w:val="0099089F"/>
    <w:rsid w:val="0099174D"/>
    <w:rsid w:val="00992C89"/>
    <w:rsid w:val="00994437"/>
    <w:rsid w:val="00994738"/>
    <w:rsid w:val="00994966"/>
    <w:rsid w:val="0099549D"/>
    <w:rsid w:val="009A218D"/>
    <w:rsid w:val="009A25BB"/>
    <w:rsid w:val="009A3E14"/>
    <w:rsid w:val="009B0525"/>
    <w:rsid w:val="009B30CB"/>
    <w:rsid w:val="009B4BA7"/>
    <w:rsid w:val="009B77A2"/>
    <w:rsid w:val="009C1327"/>
    <w:rsid w:val="009C20FE"/>
    <w:rsid w:val="009C3B02"/>
    <w:rsid w:val="009C3F0C"/>
    <w:rsid w:val="009D3C95"/>
    <w:rsid w:val="009D3D29"/>
    <w:rsid w:val="009E22E6"/>
    <w:rsid w:val="009E3A20"/>
    <w:rsid w:val="009E6673"/>
    <w:rsid w:val="009E718A"/>
    <w:rsid w:val="009F02CD"/>
    <w:rsid w:val="009F1188"/>
    <w:rsid w:val="009F24E7"/>
    <w:rsid w:val="009F5529"/>
    <w:rsid w:val="009F701C"/>
    <w:rsid w:val="009F79AF"/>
    <w:rsid w:val="00A01AB2"/>
    <w:rsid w:val="00A01F22"/>
    <w:rsid w:val="00A0408D"/>
    <w:rsid w:val="00A04229"/>
    <w:rsid w:val="00A04F6B"/>
    <w:rsid w:val="00A05B2E"/>
    <w:rsid w:val="00A063A6"/>
    <w:rsid w:val="00A06671"/>
    <w:rsid w:val="00A068B0"/>
    <w:rsid w:val="00A07431"/>
    <w:rsid w:val="00A07CAE"/>
    <w:rsid w:val="00A1100B"/>
    <w:rsid w:val="00A1462A"/>
    <w:rsid w:val="00A23F51"/>
    <w:rsid w:val="00A257A6"/>
    <w:rsid w:val="00A32E63"/>
    <w:rsid w:val="00A33425"/>
    <w:rsid w:val="00A35706"/>
    <w:rsid w:val="00A41430"/>
    <w:rsid w:val="00A43AA0"/>
    <w:rsid w:val="00A454E9"/>
    <w:rsid w:val="00A47D82"/>
    <w:rsid w:val="00A519AD"/>
    <w:rsid w:val="00A52429"/>
    <w:rsid w:val="00A544BC"/>
    <w:rsid w:val="00A70F9A"/>
    <w:rsid w:val="00A75544"/>
    <w:rsid w:val="00A805CE"/>
    <w:rsid w:val="00A8268B"/>
    <w:rsid w:val="00A8594D"/>
    <w:rsid w:val="00A85FAA"/>
    <w:rsid w:val="00A91182"/>
    <w:rsid w:val="00A91AE1"/>
    <w:rsid w:val="00A922C3"/>
    <w:rsid w:val="00A959D6"/>
    <w:rsid w:val="00AA1C64"/>
    <w:rsid w:val="00AA3BC5"/>
    <w:rsid w:val="00AA3C36"/>
    <w:rsid w:val="00AB1969"/>
    <w:rsid w:val="00AB42F7"/>
    <w:rsid w:val="00AB69D0"/>
    <w:rsid w:val="00AC0441"/>
    <w:rsid w:val="00AC1995"/>
    <w:rsid w:val="00AC3C6F"/>
    <w:rsid w:val="00AC5B54"/>
    <w:rsid w:val="00AC7E7B"/>
    <w:rsid w:val="00AD0773"/>
    <w:rsid w:val="00AD2BD7"/>
    <w:rsid w:val="00AD44D1"/>
    <w:rsid w:val="00AD6A88"/>
    <w:rsid w:val="00AE082E"/>
    <w:rsid w:val="00AF0B27"/>
    <w:rsid w:val="00AF0EBC"/>
    <w:rsid w:val="00AF2147"/>
    <w:rsid w:val="00AF25BA"/>
    <w:rsid w:val="00AF2BD7"/>
    <w:rsid w:val="00AF6E5B"/>
    <w:rsid w:val="00AF766B"/>
    <w:rsid w:val="00B00524"/>
    <w:rsid w:val="00B00B28"/>
    <w:rsid w:val="00B1220D"/>
    <w:rsid w:val="00B13D72"/>
    <w:rsid w:val="00B157D2"/>
    <w:rsid w:val="00B21351"/>
    <w:rsid w:val="00B220C4"/>
    <w:rsid w:val="00B24CA6"/>
    <w:rsid w:val="00B25126"/>
    <w:rsid w:val="00B26D4C"/>
    <w:rsid w:val="00B270A4"/>
    <w:rsid w:val="00B30AEB"/>
    <w:rsid w:val="00B355B5"/>
    <w:rsid w:val="00B35D60"/>
    <w:rsid w:val="00B36FE6"/>
    <w:rsid w:val="00B40C6C"/>
    <w:rsid w:val="00B42E61"/>
    <w:rsid w:val="00B43E76"/>
    <w:rsid w:val="00B44E88"/>
    <w:rsid w:val="00B461BF"/>
    <w:rsid w:val="00B52367"/>
    <w:rsid w:val="00B56904"/>
    <w:rsid w:val="00B5720D"/>
    <w:rsid w:val="00B603B2"/>
    <w:rsid w:val="00B6189E"/>
    <w:rsid w:val="00B61A3D"/>
    <w:rsid w:val="00B62F11"/>
    <w:rsid w:val="00B63957"/>
    <w:rsid w:val="00B6633C"/>
    <w:rsid w:val="00B67231"/>
    <w:rsid w:val="00B70ABB"/>
    <w:rsid w:val="00B748BE"/>
    <w:rsid w:val="00B76BAB"/>
    <w:rsid w:val="00B81A7B"/>
    <w:rsid w:val="00B8601E"/>
    <w:rsid w:val="00B9318D"/>
    <w:rsid w:val="00B95AA1"/>
    <w:rsid w:val="00B96B1F"/>
    <w:rsid w:val="00BA0E11"/>
    <w:rsid w:val="00BA18F0"/>
    <w:rsid w:val="00BA194F"/>
    <w:rsid w:val="00BA31AE"/>
    <w:rsid w:val="00BA411D"/>
    <w:rsid w:val="00BA5D30"/>
    <w:rsid w:val="00BA6978"/>
    <w:rsid w:val="00BB3AAA"/>
    <w:rsid w:val="00BB427F"/>
    <w:rsid w:val="00BB51D0"/>
    <w:rsid w:val="00BB54BB"/>
    <w:rsid w:val="00BB711F"/>
    <w:rsid w:val="00BB75FA"/>
    <w:rsid w:val="00BC22C6"/>
    <w:rsid w:val="00BC234C"/>
    <w:rsid w:val="00BC298C"/>
    <w:rsid w:val="00BC5AF7"/>
    <w:rsid w:val="00BD5754"/>
    <w:rsid w:val="00BD63F6"/>
    <w:rsid w:val="00BD7F51"/>
    <w:rsid w:val="00BE08FB"/>
    <w:rsid w:val="00BE24FE"/>
    <w:rsid w:val="00BE536A"/>
    <w:rsid w:val="00BE6BB1"/>
    <w:rsid w:val="00BF0A55"/>
    <w:rsid w:val="00BF2519"/>
    <w:rsid w:val="00BF548B"/>
    <w:rsid w:val="00C01133"/>
    <w:rsid w:val="00C02CB2"/>
    <w:rsid w:val="00C04D71"/>
    <w:rsid w:val="00C06233"/>
    <w:rsid w:val="00C10CB5"/>
    <w:rsid w:val="00C1119D"/>
    <w:rsid w:val="00C12875"/>
    <w:rsid w:val="00C16618"/>
    <w:rsid w:val="00C168A3"/>
    <w:rsid w:val="00C178DD"/>
    <w:rsid w:val="00C233B8"/>
    <w:rsid w:val="00C2347A"/>
    <w:rsid w:val="00C255D3"/>
    <w:rsid w:val="00C26C9C"/>
    <w:rsid w:val="00C272B6"/>
    <w:rsid w:val="00C31814"/>
    <w:rsid w:val="00C3230A"/>
    <w:rsid w:val="00C33EED"/>
    <w:rsid w:val="00C36A0A"/>
    <w:rsid w:val="00C37BB2"/>
    <w:rsid w:val="00C41102"/>
    <w:rsid w:val="00C421CE"/>
    <w:rsid w:val="00C421E1"/>
    <w:rsid w:val="00C43942"/>
    <w:rsid w:val="00C443B5"/>
    <w:rsid w:val="00C44817"/>
    <w:rsid w:val="00C462E8"/>
    <w:rsid w:val="00C46706"/>
    <w:rsid w:val="00C601D6"/>
    <w:rsid w:val="00C619A7"/>
    <w:rsid w:val="00C6249E"/>
    <w:rsid w:val="00C62D88"/>
    <w:rsid w:val="00C66DAD"/>
    <w:rsid w:val="00C72684"/>
    <w:rsid w:val="00C740F3"/>
    <w:rsid w:val="00C758F0"/>
    <w:rsid w:val="00C80178"/>
    <w:rsid w:val="00C868CA"/>
    <w:rsid w:val="00C87DEB"/>
    <w:rsid w:val="00C915DD"/>
    <w:rsid w:val="00C916E8"/>
    <w:rsid w:val="00C940D2"/>
    <w:rsid w:val="00C94837"/>
    <w:rsid w:val="00CA5151"/>
    <w:rsid w:val="00CB244F"/>
    <w:rsid w:val="00CB6428"/>
    <w:rsid w:val="00CB6F85"/>
    <w:rsid w:val="00CC11BE"/>
    <w:rsid w:val="00CC11FE"/>
    <w:rsid w:val="00CC2A02"/>
    <w:rsid w:val="00CC32D0"/>
    <w:rsid w:val="00CD0019"/>
    <w:rsid w:val="00CD0827"/>
    <w:rsid w:val="00CD5B6A"/>
    <w:rsid w:val="00CE0841"/>
    <w:rsid w:val="00CE1E15"/>
    <w:rsid w:val="00CE2103"/>
    <w:rsid w:val="00CE2D0A"/>
    <w:rsid w:val="00CE2EFA"/>
    <w:rsid w:val="00CE4935"/>
    <w:rsid w:val="00CF1B53"/>
    <w:rsid w:val="00CF4F60"/>
    <w:rsid w:val="00CF56C0"/>
    <w:rsid w:val="00CF6E81"/>
    <w:rsid w:val="00CF71D3"/>
    <w:rsid w:val="00D016E1"/>
    <w:rsid w:val="00D01D8E"/>
    <w:rsid w:val="00D020AC"/>
    <w:rsid w:val="00D06BF0"/>
    <w:rsid w:val="00D10ED9"/>
    <w:rsid w:val="00D12916"/>
    <w:rsid w:val="00D15048"/>
    <w:rsid w:val="00D156EC"/>
    <w:rsid w:val="00D15FDA"/>
    <w:rsid w:val="00D16308"/>
    <w:rsid w:val="00D221DB"/>
    <w:rsid w:val="00D23BDD"/>
    <w:rsid w:val="00D248E1"/>
    <w:rsid w:val="00D2674B"/>
    <w:rsid w:val="00D2729F"/>
    <w:rsid w:val="00D279BB"/>
    <w:rsid w:val="00D27E6A"/>
    <w:rsid w:val="00D30868"/>
    <w:rsid w:val="00D3316B"/>
    <w:rsid w:val="00D33F6B"/>
    <w:rsid w:val="00D36555"/>
    <w:rsid w:val="00D37365"/>
    <w:rsid w:val="00D42F3C"/>
    <w:rsid w:val="00D45026"/>
    <w:rsid w:val="00D50F1F"/>
    <w:rsid w:val="00D51194"/>
    <w:rsid w:val="00D527B7"/>
    <w:rsid w:val="00D52D31"/>
    <w:rsid w:val="00D56C99"/>
    <w:rsid w:val="00D60C3C"/>
    <w:rsid w:val="00D60D44"/>
    <w:rsid w:val="00D6245F"/>
    <w:rsid w:val="00D62BCC"/>
    <w:rsid w:val="00D62C53"/>
    <w:rsid w:val="00D633EA"/>
    <w:rsid w:val="00D65552"/>
    <w:rsid w:val="00D660DD"/>
    <w:rsid w:val="00D67012"/>
    <w:rsid w:val="00D71775"/>
    <w:rsid w:val="00D72B55"/>
    <w:rsid w:val="00D74198"/>
    <w:rsid w:val="00D7669A"/>
    <w:rsid w:val="00D82EF4"/>
    <w:rsid w:val="00D837BE"/>
    <w:rsid w:val="00D862A3"/>
    <w:rsid w:val="00D9129C"/>
    <w:rsid w:val="00D925D9"/>
    <w:rsid w:val="00D94C34"/>
    <w:rsid w:val="00D95814"/>
    <w:rsid w:val="00D95A88"/>
    <w:rsid w:val="00D979CE"/>
    <w:rsid w:val="00D97C69"/>
    <w:rsid w:val="00DA1D54"/>
    <w:rsid w:val="00DA44C8"/>
    <w:rsid w:val="00DA4553"/>
    <w:rsid w:val="00DA4F28"/>
    <w:rsid w:val="00DA6612"/>
    <w:rsid w:val="00DB1888"/>
    <w:rsid w:val="00DB2687"/>
    <w:rsid w:val="00DB26DE"/>
    <w:rsid w:val="00DB489B"/>
    <w:rsid w:val="00DC1356"/>
    <w:rsid w:val="00DC16EE"/>
    <w:rsid w:val="00DC2846"/>
    <w:rsid w:val="00DC2C89"/>
    <w:rsid w:val="00DC2FE1"/>
    <w:rsid w:val="00DC2FFA"/>
    <w:rsid w:val="00DC59EB"/>
    <w:rsid w:val="00DC7CAB"/>
    <w:rsid w:val="00DD0A67"/>
    <w:rsid w:val="00DD33C3"/>
    <w:rsid w:val="00DD3D41"/>
    <w:rsid w:val="00DD4789"/>
    <w:rsid w:val="00DD49B4"/>
    <w:rsid w:val="00DD49E9"/>
    <w:rsid w:val="00DD5D75"/>
    <w:rsid w:val="00DD7452"/>
    <w:rsid w:val="00DE039B"/>
    <w:rsid w:val="00DE4370"/>
    <w:rsid w:val="00DE72C2"/>
    <w:rsid w:val="00DE7F30"/>
    <w:rsid w:val="00DF0D05"/>
    <w:rsid w:val="00DF1A41"/>
    <w:rsid w:val="00DF7884"/>
    <w:rsid w:val="00DF7B0B"/>
    <w:rsid w:val="00E01588"/>
    <w:rsid w:val="00E0280A"/>
    <w:rsid w:val="00E0411A"/>
    <w:rsid w:val="00E050AA"/>
    <w:rsid w:val="00E05A61"/>
    <w:rsid w:val="00E07270"/>
    <w:rsid w:val="00E13E48"/>
    <w:rsid w:val="00E14023"/>
    <w:rsid w:val="00E15CBA"/>
    <w:rsid w:val="00E1682F"/>
    <w:rsid w:val="00E256A1"/>
    <w:rsid w:val="00E31680"/>
    <w:rsid w:val="00E3194D"/>
    <w:rsid w:val="00E32456"/>
    <w:rsid w:val="00E346E8"/>
    <w:rsid w:val="00E34DAA"/>
    <w:rsid w:val="00E354C1"/>
    <w:rsid w:val="00E376DB"/>
    <w:rsid w:val="00E4218D"/>
    <w:rsid w:val="00E43322"/>
    <w:rsid w:val="00E459DA"/>
    <w:rsid w:val="00E46CD8"/>
    <w:rsid w:val="00E47778"/>
    <w:rsid w:val="00E53C4F"/>
    <w:rsid w:val="00E56308"/>
    <w:rsid w:val="00E56563"/>
    <w:rsid w:val="00E57E37"/>
    <w:rsid w:val="00E605E8"/>
    <w:rsid w:val="00E61A1C"/>
    <w:rsid w:val="00E6270E"/>
    <w:rsid w:val="00E6472F"/>
    <w:rsid w:val="00E64BDB"/>
    <w:rsid w:val="00E66679"/>
    <w:rsid w:val="00E671F1"/>
    <w:rsid w:val="00E70258"/>
    <w:rsid w:val="00E70C2F"/>
    <w:rsid w:val="00E74371"/>
    <w:rsid w:val="00E82111"/>
    <w:rsid w:val="00E82131"/>
    <w:rsid w:val="00E83CCA"/>
    <w:rsid w:val="00E90136"/>
    <w:rsid w:val="00E90478"/>
    <w:rsid w:val="00E90AD9"/>
    <w:rsid w:val="00E92676"/>
    <w:rsid w:val="00E934EE"/>
    <w:rsid w:val="00E95B79"/>
    <w:rsid w:val="00EA0887"/>
    <w:rsid w:val="00EA290A"/>
    <w:rsid w:val="00EB0DCF"/>
    <w:rsid w:val="00EB2611"/>
    <w:rsid w:val="00EB427E"/>
    <w:rsid w:val="00EB544A"/>
    <w:rsid w:val="00EB75A3"/>
    <w:rsid w:val="00EC12ED"/>
    <w:rsid w:val="00EC3291"/>
    <w:rsid w:val="00EC3DC9"/>
    <w:rsid w:val="00EC4AC5"/>
    <w:rsid w:val="00EC4B47"/>
    <w:rsid w:val="00EC74EE"/>
    <w:rsid w:val="00EC7610"/>
    <w:rsid w:val="00ED382B"/>
    <w:rsid w:val="00ED4A74"/>
    <w:rsid w:val="00ED602B"/>
    <w:rsid w:val="00ED64FD"/>
    <w:rsid w:val="00ED705F"/>
    <w:rsid w:val="00ED7307"/>
    <w:rsid w:val="00EE0658"/>
    <w:rsid w:val="00EE1087"/>
    <w:rsid w:val="00EE3C91"/>
    <w:rsid w:val="00EE3F29"/>
    <w:rsid w:val="00EE419E"/>
    <w:rsid w:val="00EE4AC6"/>
    <w:rsid w:val="00EE4D32"/>
    <w:rsid w:val="00EE587B"/>
    <w:rsid w:val="00EE58C1"/>
    <w:rsid w:val="00EE7621"/>
    <w:rsid w:val="00EF1885"/>
    <w:rsid w:val="00EF22A5"/>
    <w:rsid w:val="00EF303F"/>
    <w:rsid w:val="00EF351D"/>
    <w:rsid w:val="00EF4540"/>
    <w:rsid w:val="00EF5F0C"/>
    <w:rsid w:val="00EF718B"/>
    <w:rsid w:val="00EF75E8"/>
    <w:rsid w:val="00EF7DF8"/>
    <w:rsid w:val="00F101A9"/>
    <w:rsid w:val="00F10DAD"/>
    <w:rsid w:val="00F117FB"/>
    <w:rsid w:val="00F151A3"/>
    <w:rsid w:val="00F169E5"/>
    <w:rsid w:val="00F23EC4"/>
    <w:rsid w:val="00F25CEC"/>
    <w:rsid w:val="00F26BDD"/>
    <w:rsid w:val="00F30280"/>
    <w:rsid w:val="00F315C9"/>
    <w:rsid w:val="00F333A7"/>
    <w:rsid w:val="00F33AC1"/>
    <w:rsid w:val="00F33F4D"/>
    <w:rsid w:val="00F3467F"/>
    <w:rsid w:val="00F35C06"/>
    <w:rsid w:val="00F3645E"/>
    <w:rsid w:val="00F3744C"/>
    <w:rsid w:val="00F419EC"/>
    <w:rsid w:val="00F4339A"/>
    <w:rsid w:val="00F43B66"/>
    <w:rsid w:val="00F44161"/>
    <w:rsid w:val="00F44222"/>
    <w:rsid w:val="00F45661"/>
    <w:rsid w:val="00F459D7"/>
    <w:rsid w:val="00F45DEC"/>
    <w:rsid w:val="00F46B9F"/>
    <w:rsid w:val="00F47D8B"/>
    <w:rsid w:val="00F564B9"/>
    <w:rsid w:val="00F606C4"/>
    <w:rsid w:val="00F62DCB"/>
    <w:rsid w:val="00F645DF"/>
    <w:rsid w:val="00F64751"/>
    <w:rsid w:val="00F71198"/>
    <w:rsid w:val="00F71C61"/>
    <w:rsid w:val="00F72B94"/>
    <w:rsid w:val="00F72F71"/>
    <w:rsid w:val="00F76E99"/>
    <w:rsid w:val="00F81C72"/>
    <w:rsid w:val="00F82BDB"/>
    <w:rsid w:val="00F83E4A"/>
    <w:rsid w:val="00F854C9"/>
    <w:rsid w:val="00F92372"/>
    <w:rsid w:val="00F92C37"/>
    <w:rsid w:val="00F96DFF"/>
    <w:rsid w:val="00FA03E3"/>
    <w:rsid w:val="00FA1ECF"/>
    <w:rsid w:val="00FA2291"/>
    <w:rsid w:val="00FA4361"/>
    <w:rsid w:val="00FA532C"/>
    <w:rsid w:val="00FA7CF7"/>
    <w:rsid w:val="00FB0711"/>
    <w:rsid w:val="00FB4B08"/>
    <w:rsid w:val="00FC0ECD"/>
    <w:rsid w:val="00FC1C3A"/>
    <w:rsid w:val="00FC5919"/>
    <w:rsid w:val="00FC7E88"/>
    <w:rsid w:val="00FD1D08"/>
    <w:rsid w:val="00FD2961"/>
    <w:rsid w:val="00FD5528"/>
    <w:rsid w:val="00FD6014"/>
    <w:rsid w:val="00FE339F"/>
    <w:rsid w:val="00FE5831"/>
    <w:rsid w:val="00FE6499"/>
    <w:rsid w:val="00FF1E8A"/>
    <w:rsid w:val="00FF2F62"/>
    <w:rsid w:val="00FF4D61"/>
    <w:rsid w:val="00FF6994"/>
    <w:rsid w:val="00FF6E3B"/>
    <w:rsid w:val="00FF70EA"/>
    <w:rsid w:val="00FF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CF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6A"/>
    <w:pPr>
      <w:widowControl w:val="0"/>
    </w:pPr>
    <w:rPr>
      <w:snapToGrid w:val="0"/>
      <w:kern w:val="28"/>
      <w:sz w:val="22"/>
    </w:rPr>
  </w:style>
  <w:style w:type="paragraph" w:styleId="Heading1">
    <w:name w:val="heading 1"/>
    <w:basedOn w:val="Normal"/>
    <w:next w:val="ParaNum"/>
    <w:autoRedefine/>
    <w:qFormat/>
    <w:rsid w:val="00D27E6A"/>
    <w:pPr>
      <w:keepNext/>
      <w:numPr>
        <w:numId w:val="20"/>
      </w:numPr>
      <w:suppressAutoHyphens/>
      <w:spacing w:after="120"/>
      <w:outlineLvl w:val="0"/>
    </w:pPr>
    <w:rPr>
      <w:rFonts w:ascii="Times New Roman Bold" w:hAnsi="Times New Roman Bold"/>
      <w:b/>
      <w:caps/>
    </w:rPr>
  </w:style>
  <w:style w:type="paragraph" w:styleId="Heading2">
    <w:name w:val="heading 2"/>
    <w:aliases w:val="Heading 2 Char1,Heading 2 Char Char1"/>
    <w:basedOn w:val="Normal"/>
    <w:next w:val="ParaNum"/>
    <w:link w:val="Heading2Char"/>
    <w:autoRedefine/>
    <w:qFormat/>
    <w:rsid w:val="00D27E6A"/>
    <w:pPr>
      <w:keepNext/>
      <w:numPr>
        <w:ilvl w:val="1"/>
        <w:numId w:val="20"/>
      </w:numPr>
      <w:spacing w:after="120"/>
      <w:outlineLvl w:val="1"/>
    </w:pPr>
    <w:rPr>
      <w:b/>
    </w:rPr>
  </w:style>
  <w:style w:type="paragraph" w:styleId="Heading3">
    <w:name w:val="heading 3"/>
    <w:basedOn w:val="Normal"/>
    <w:next w:val="ParaNum"/>
    <w:qFormat/>
    <w:rsid w:val="00D27E6A"/>
    <w:pPr>
      <w:keepNext/>
      <w:numPr>
        <w:ilvl w:val="2"/>
        <w:numId w:val="20"/>
      </w:numPr>
      <w:spacing w:after="120"/>
      <w:outlineLvl w:val="2"/>
    </w:pPr>
    <w:rPr>
      <w:b/>
    </w:rPr>
  </w:style>
  <w:style w:type="paragraph" w:styleId="Heading4">
    <w:name w:val="heading 4"/>
    <w:basedOn w:val="Normal"/>
    <w:next w:val="ParaNum"/>
    <w:qFormat/>
    <w:rsid w:val="00D27E6A"/>
    <w:pPr>
      <w:keepNext/>
      <w:numPr>
        <w:ilvl w:val="3"/>
        <w:numId w:val="20"/>
      </w:numPr>
      <w:spacing w:after="120"/>
      <w:outlineLvl w:val="3"/>
    </w:pPr>
    <w:rPr>
      <w:b/>
    </w:rPr>
  </w:style>
  <w:style w:type="paragraph" w:styleId="Heading5">
    <w:name w:val="heading 5"/>
    <w:basedOn w:val="Normal"/>
    <w:next w:val="ParaNum"/>
    <w:qFormat/>
    <w:rsid w:val="00D27E6A"/>
    <w:pPr>
      <w:keepNext/>
      <w:numPr>
        <w:ilvl w:val="4"/>
        <w:numId w:val="20"/>
      </w:numPr>
      <w:suppressAutoHyphens/>
      <w:spacing w:after="120"/>
      <w:outlineLvl w:val="4"/>
    </w:pPr>
    <w:rPr>
      <w:b/>
    </w:rPr>
  </w:style>
  <w:style w:type="paragraph" w:styleId="Heading6">
    <w:name w:val="heading 6"/>
    <w:basedOn w:val="Normal"/>
    <w:next w:val="ParaNum"/>
    <w:qFormat/>
    <w:rsid w:val="00D27E6A"/>
    <w:pPr>
      <w:numPr>
        <w:ilvl w:val="5"/>
        <w:numId w:val="20"/>
      </w:numPr>
      <w:spacing w:after="120"/>
      <w:outlineLvl w:val="5"/>
    </w:pPr>
    <w:rPr>
      <w:b/>
    </w:rPr>
  </w:style>
  <w:style w:type="paragraph" w:styleId="Heading7">
    <w:name w:val="heading 7"/>
    <w:basedOn w:val="Normal"/>
    <w:next w:val="ParaNum"/>
    <w:qFormat/>
    <w:rsid w:val="00D27E6A"/>
    <w:pPr>
      <w:numPr>
        <w:ilvl w:val="6"/>
        <w:numId w:val="20"/>
      </w:numPr>
      <w:spacing w:after="120"/>
      <w:outlineLvl w:val="6"/>
    </w:pPr>
    <w:rPr>
      <w:b/>
    </w:rPr>
  </w:style>
  <w:style w:type="paragraph" w:styleId="Heading8">
    <w:name w:val="heading 8"/>
    <w:basedOn w:val="Normal"/>
    <w:next w:val="ParaNum"/>
    <w:qFormat/>
    <w:rsid w:val="00D27E6A"/>
    <w:pPr>
      <w:numPr>
        <w:ilvl w:val="7"/>
        <w:numId w:val="20"/>
      </w:numPr>
      <w:tabs>
        <w:tab w:val="left" w:pos="5760"/>
      </w:tabs>
      <w:spacing w:after="120"/>
      <w:outlineLvl w:val="7"/>
    </w:pPr>
    <w:rPr>
      <w:b/>
    </w:rPr>
  </w:style>
  <w:style w:type="paragraph" w:styleId="Heading9">
    <w:name w:val="heading 9"/>
    <w:basedOn w:val="Normal"/>
    <w:next w:val="ParaNum"/>
    <w:qFormat/>
    <w:rsid w:val="00D27E6A"/>
    <w:pPr>
      <w:numPr>
        <w:ilvl w:val="8"/>
        <w:numId w:val="20"/>
      </w:numPr>
      <w:tabs>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customStyle="1" w:styleId="ParaNum">
    <w:name w:val="ParaNum"/>
    <w:basedOn w:val="Normal"/>
    <w:link w:val="ParaNumChar1"/>
    <w:rsid w:val="00D27E6A"/>
    <w:pPr>
      <w:numPr>
        <w:numId w:val="19"/>
      </w:numPr>
      <w:tabs>
        <w:tab w:val="clear" w:pos="1080"/>
        <w:tab w:val="num" w:pos="1440"/>
      </w:tabs>
      <w:spacing w:after="120"/>
    </w:pPr>
  </w:style>
  <w:style w:type="paragraph" w:styleId="FootnoteText">
    <w:name w:val="footnote text"/>
    <w:aliases w:val="Footnote Text Char3,Footnote Text Char Char,Footnote Text Char1 Char Char Char,Footnote Text Char Char1 Char Char Char,Footnote Text Char3 Char Char Char Char Char,Footnote Text Char Char Char1 Char Char Char Char,Footnote Text Char1 Char"/>
    <w:link w:val="FootnoteTextChar"/>
    <w:rsid w:val="00D27E6A"/>
    <w:pPr>
      <w:spacing w:after="120"/>
    </w:pPr>
  </w:style>
  <w:style w:type="paragraph" w:customStyle="1" w:styleId="Bullet">
    <w:name w:val="Bullet"/>
    <w:basedOn w:val="Normal"/>
    <w:rsid w:val="00D27E6A"/>
    <w:pPr>
      <w:tabs>
        <w:tab w:val="left" w:pos="2160"/>
      </w:tabs>
      <w:spacing w:after="220"/>
      <w:ind w:left="2160" w:hanging="720"/>
    </w:pPr>
  </w:style>
  <w:style w:type="paragraph" w:styleId="BlockText">
    <w:name w:val="Block Text"/>
    <w:basedOn w:val="Normal"/>
    <w:rsid w:val="00D27E6A"/>
    <w:pPr>
      <w:spacing w:after="240"/>
      <w:ind w:left="1440" w:right="1440"/>
    </w:pPr>
  </w:style>
  <w:style w:type="paragraph" w:customStyle="1" w:styleId="TableFormat">
    <w:name w:val="TableFormat"/>
    <w:basedOn w:val="Bullet"/>
    <w:rsid w:val="00D27E6A"/>
    <w:pPr>
      <w:tabs>
        <w:tab w:val="clear" w:pos="2160"/>
        <w:tab w:val="left" w:pos="5040"/>
      </w:tabs>
      <w:ind w:left="5040" w:hanging="3600"/>
    </w:pPr>
  </w:style>
  <w:style w:type="character" w:styleId="FootnoteReference">
    <w:name w:val="footnote reference"/>
    <w:aliases w:val="Appel note de bas de p,Style 12,(NECG) Footnote Reference,Style 124,o,fr,Style 3,Style 13,FR,Style 17,Style 6,Footnote Reference/"/>
    <w:rsid w:val="00D27E6A"/>
    <w:rPr>
      <w:rFonts w:ascii="Times New Roman" w:hAnsi="Times New Roman"/>
      <w:dstrike w:val="0"/>
      <w:color w:val="auto"/>
      <w:sz w:val="20"/>
      <w:vertAlign w:val="superscript"/>
    </w:rPr>
  </w:style>
  <w:style w:type="paragraph" w:styleId="Header">
    <w:name w:val="header"/>
    <w:basedOn w:val="Normal"/>
    <w:autoRedefine/>
    <w:rsid w:val="00D27E6A"/>
    <w:pPr>
      <w:tabs>
        <w:tab w:val="center" w:pos="4680"/>
        <w:tab w:val="right" w:pos="9360"/>
      </w:tabs>
    </w:pPr>
    <w:rPr>
      <w:b/>
    </w:rPr>
  </w:style>
  <w:style w:type="paragraph" w:styleId="Footer">
    <w:name w:val="footer"/>
    <w:basedOn w:val="Normal"/>
    <w:link w:val="FooterChar"/>
    <w:rsid w:val="00D27E6A"/>
    <w:pPr>
      <w:tabs>
        <w:tab w:val="center" w:pos="4320"/>
        <w:tab w:val="right" w:pos="8640"/>
      </w:tabs>
    </w:pPr>
  </w:style>
  <w:style w:type="paragraph" w:styleId="TOC2">
    <w:name w:val="toc 2"/>
    <w:basedOn w:val="Normal"/>
    <w:next w:val="Normal"/>
    <w:semiHidden/>
    <w:rsid w:val="00D27E6A"/>
    <w:pPr>
      <w:tabs>
        <w:tab w:val="left" w:pos="720"/>
        <w:tab w:val="right" w:leader="dot" w:pos="9360"/>
      </w:tabs>
      <w:suppressAutoHyphens/>
      <w:ind w:left="720" w:right="720" w:hanging="360"/>
    </w:pPr>
    <w:rPr>
      <w:noProof/>
    </w:rPr>
  </w:style>
  <w:style w:type="paragraph" w:customStyle="1" w:styleId="NumberedList">
    <w:name w:val="Numbered List"/>
    <w:basedOn w:val="Normal"/>
    <w:pPr>
      <w:numPr>
        <w:numId w:val="4"/>
      </w:numPr>
      <w:tabs>
        <w:tab w:val="clear" w:pos="1080"/>
      </w:tabs>
      <w:spacing w:after="220"/>
      <w:ind w:firstLine="0"/>
    </w:pPr>
  </w:style>
  <w:style w:type="paragraph" w:styleId="TOC1">
    <w:name w:val="toc 1"/>
    <w:basedOn w:val="Normal"/>
    <w:next w:val="Normal"/>
    <w:semiHidden/>
    <w:rsid w:val="00D27E6A"/>
    <w:pPr>
      <w:tabs>
        <w:tab w:val="left" w:pos="360"/>
        <w:tab w:val="right" w:leader="dot" w:pos="9360"/>
      </w:tabs>
      <w:suppressAutoHyphens/>
      <w:ind w:left="360" w:right="720" w:hanging="360"/>
    </w:pPr>
    <w:rPr>
      <w:caps/>
      <w:noProof/>
    </w:rPr>
  </w:style>
  <w:style w:type="paragraph" w:styleId="TOC3">
    <w:name w:val="toc 3"/>
    <w:basedOn w:val="Normal"/>
    <w:next w:val="Normal"/>
    <w:semiHidden/>
    <w:rsid w:val="00D27E6A"/>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D27E6A"/>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D27E6A"/>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27E6A"/>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27E6A"/>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27E6A"/>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27E6A"/>
    <w:pPr>
      <w:tabs>
        <w:tab w:val="left" w:pos="3240"/>
        <w:tab w:val="right" w:leader="dot" w:pos="9360"/>
      </w:tabs>
      <w:suppressAutoHyphens/>
      <w:ind w:left="3240" w:hanging="360"/>
    </w:pPr>
    <w:rPr>
      <w:noProof/>
    </w:rPr>
  </w:style>
  <w:style w:type="character" w:styleId="PageNumber">
    <w:name w:val="page number"/>
    <w:basedOn w:val="DefaultParagraphFont"/>
    <w:rsid w:val="00D27E6A"/>
  </w:style>
  <w:style w:type="paragraph" w:styleId="Title">
    <w:name w:val="Title"/>
    <w:basedOn w:val="Normal"/>
    <w:qFormat/>
    <w:pPr>
      <w:jc w:val="center"/>
    </w:pPr>
    <w:rPr>
      <w:b/>
    </w:rPr>
  </w:style>
  <w:style w:type="character" w:customStyle="1" w:styleId="searchterm">
    <w:name w:val="searchterm"/>
    <w:rPr>
      <w:b/>
      <w:bCs/>
      <w:shd w:val="clear" w:color="auto" w:fill="FFFF00"/>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pPr>
      <w:spacing w:after="120"/>
      <w:ind w:left="360"/>
    </w:pPr>
  </w:style>
  <w:style w:type="paragraph" w:styleId="Subtitle">
    <w:name w:val="Subtitle"/>
    <w:basedOn w:val="Normal"/>
    <w:qFormat/>
    <w:pPr>
      <w:spacing w:after="60"/>
      <w:jc w:val="center"/>
      <w:outlineLvl w:val="1"/>
    </w:pPr>
    <w:rPr>
      <w:rFonts w:ascii="Arial" w:hAnsi="Arial" w:cs="Arial"/>
      <w:sz w:val="24"/>
      <w:szCs w:val="24"/>
    </w:rPr>
  </w:style>
  <w:style w:type="paragraph" w:styleId="BodyText">
    <w:name w:val="Body Text"/>
    <w:basedOn w:val="Normal"/>
    <w:link w:val="BodyTextChar"/>
    <w:pPr>
      <w:spacing w:after="120"/>
    </w:pPr>
  </w:style>
  <w:style w:type="paragraph" w:customStyle="1" w:styleId="Byline">
    <w:name w:val="Byline"/>
    <w:basedOn w:val="BodyText"/>
  </w:style>
  <w:style w:type="paragraph" w:customStyle="1" w:styleId="Style1">
    <w:name w:val="Style1"/>
    <w:basedOn w:val="Normal"/>
  </w:style>
  <w:style w:type="paragraph" w:customStyle="1" w:styleId="Style2">
    <w:name w:val="Style2"/>
    <w:basedOn w:val="Normal"/>
  </w:style>
  <w:style w:type="character" w:styleId="Hyperlink">
    <w:name w:val="Hyperlink"/>
    <w:rsid w:val="00D27E6A"/>
    <w:rPr>
      <w:color w:val="0000FF"/>
      <w:u w:val="single"/>
    </w:rPr>
  </w:style>
  <w:style w:type="character" w:customStyle="1" w:styleId="normaltextfont">
    <w:name w:val="normaltextfont"/>
    <w:rPr>
      <w:rFonts w:ascii="Verdana" w:hAnsi="Verdana" w:hint="default"/>
      <w:sz w:val="19"/>
      <w:szCs w:val="19"/>
    </w:rPr>
  </w:style>
  <w:style w:type="character" w:styleId="Emphasis">
    <w:name w:val="Emphasis"/>
    <w:qFormat/>
    <w:rPr>
      <w:i/>
      <w:iCs/>
    </w:rPr>
  </w:style>
  <w:style w:type="paragraph" w:styleId="NormalWeb">
    <w:name w:val="Normal (Web)"/>
    <w:basedOn w:val="Normal"/>
    <w:pPr>
      <w:spacing w:before="100" w:beforeAutospacing="1" w:after="100" w:afterAutospacing="1"/>
    </w:pPr>
    <w:rPr>
      <w:rFonts w:ascii="Verdana" w:hAnsi="Verdana"/>
      <w:color w:val="000000"/>
      <w:sz w:val="20"/>
    </w:rPr>
  </w:style>
  <w:style w:type="paragraph" w:customStyle="1" w:styleId="Style3">
    <w:name w:val="Style3"/>
    <w:basedOn w:val="FootnoteText"/>
    <w:rPr>
      <w:i/>
    </w:rPr>
  </w:style>
  <w:style w:type="paragraph" w:customStyle="1" w:styleId="Style4">
    <w:name w:val="Style4"/>
    <w:basedOn w:val="FootnoteText"/>
  </w:style>
  <w:style w:type="character" w:customStyle="1" w:styleId="FootnoteTextChar">
    <w:name w:val="Footnote Text Char"/>
    <w:aliases w:val="Footnote Text Char3 Char,Footnote Text Char Char Char,Footnote Text Char1 Char Char Char Char,Footnote Text Char Char1 Char Char Char Char,Footnote Text Char3 Char Char Char Char Char Char,Footnote Text Char1 Char Char"/>
    <w:link w:val="FootnoteText"/>
  </w:style>
  <w:style w:type="paragraph" w:styleId="BodyText3">
    <w:name w:val="Body Text 3"/>
    <w:basedOn w:val="Normal"/>
    <w:pPr>
      <w:spacing w:after="120"/>
    </w:pPr>
    <w:rPr>
      <w:sz w:val="16"/>
      <w:szCs w:val="16"/>
    </w:rPr>
  </w:style>
  <w:style w:type="paragraph" w:styleId="PlainText">
    <w:name w:val="Plain Text"/>
    <w:basedOn w:val="Normal"/>
    <w:rPr>
      <w:rFonts w:ascii="Courier New" w:hAnsi="Courier New" w:cs="Courier New"/>
      <w:sz w:val="20"/>
    </w:rPr>
  </w:style>
  <w:style w:type="paragraph" w:styleId="NoteHeading">
    <w:name w:val="Note Heading"/>
    <w:basedOn w:val="Normal"/>
    <w:next w:val="Normal"/>
  </w:style>
  <w:style w:type="character" w:customStyle="1" w:styleId="documentbody1">
    <w:name w:val="documentbody1"/>
    <w:rPr>
      <w:rFonts w:ascii="Verdana" w:hAnsi="Verdana" w:hint="default"/>
      <w:sz w:val="19"/>
      <w:szCs w:val="19"/>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customStyle="1" w:styleId="ParaNumChar1">
    <w:name w:val="ParaNum Char1"/>
    <w:link w:val="ParaNum"/>
    <w:rsid w:val="00643759"/>
    <w:rPr>
      <w:snapToGrid w:val="0"/>
      <w:kern w:val="28"/>
      <w:sz w:val="22"/>
    </w:rPr>
  </w:style>
  <w:style w:type="character" w:styleId="CommentReference">
    <w:name w:val="annotation reference"/>
    <w:rPr>
      <w:sz w:val="18"/>
      <w:szCs w:val="18"/>
    </w:rPr>
  </w:style>
  <w:style w:type="paragraph" w:styleId="CommentText">
    <w:name w:val="annotation text"/>
    <w:basedOn w:val="Normal"/>
    <w:link w:val="CommentTextChar"/>
    <w:rPr>
      <w:sz w:val="24"/>
      <w:szCs w:val="24"/>
      <w:lang w:val="x-none" w:eastAsia="x-none"/>
    </w:rPr>
  </w:style>
  <w:style w:type="character" w:customStyle="1" w:styleId="CommentTextChar">
    <w:name w:val="Comment Text Char"/>
    <w:link w:val="CommentText"/>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z w:val="24"/>
      <w:szCs w:val="24"/>
    </w:rPr>
  </w:style>
  <w:style w:type="character" w:customStyle="1" w:styleId="Heading2Char">
    <w:name w:val="Heading 2 Char"/>
    <w:aliases w:val="Heading 2 Char1 Char,Heading 2 Char Char1 Char"/>
    <w:link w:val="Heading2"/>
    <w:rsid w:val="0014546F"/>
    <w:rPr>
      <w:b/>
      <w:snapToGrid w:val="0"/>
      <w:kern w:val="28"/>
      <w:sz w:val="22"/>
    </w:rPr>
  </w:style>
  <w:style w:type="character" w:customStyle="1" w:styleId="BodyTextChar">
    <w:name w:val="Body Text Char"/>
    <w:link w:val="BodyText"/>
    <w:rsid w:val="005E2007"/>
    <w:rPr>
      <w:sz w:val="22"/>
    </w:rPr>
  </w:style>
  <w:style w:type="character" w:customStyle="1" w:styleId="BodyTextIndentChar">
    <w:name w:val="Body Text Indent Char"/>
    <w:link w:val="BodyTextIndent"/>
    <w:rsid w:val="005E2007"/>
    <w:rPr>
      <w:sz w:val="22"/>
    </w:rPr>
  </w:style>
  <w:style w:type="paragraph" w:styleId="EndnoteText">
    <w:name w:val="endnote text"/>
    <w:basedOn w:val="Normal"/>
    <w:link w:val="EndnoteTextChar"/>
    <w:rsid w:val="00D27E6A"/>
    <w:rPr>
      <w:sz w:val="20"/>
    </w:rPr>
  </w:style>
  <w:style w:type="character" w:customStyle="1" w:styleId="EndnoteTextChar">
    <w:name w:val="Endnote Text Char"/>
    <w:link w:val="EndnoteText"/>
    <w:rsid w:val="005E2007"/>
    <w:rPr>
      <w:snapToGrid w:val="0"/>
      <w:kern w:val="28"/>
    </w:rPr>
  </w:style>
  <w:style w:type="character" w:styleId="EndnoteReference">
    <w:name w:val="endnote reference"/>
    <w:rsid w:val="00D27E6A"/>
    <w:rPr>
      <w:vertAlign w:val="superscript"/>
    </w:rPr>
  </w:style>
  <w:style w:type="paragraph" w:styleId="TOAHeading">
    <w:name w:val="toa heading"/>
    <w:basedOn w:val="Normal"/>
    <w:next w:val="Normal"/>
    <w:rsid w:val="00D27E6A"/>
    <w:pPr>
      <w:tabs>
        <w:tab w:val="right" w:pos="9360"/>
      </w:tabs>
      <w:suppressAutoHyphens/>
    </w:pPr>
  </w:style>
  <w:style w:type="character" w:customStyle="1" w:styleId="EquationCaption">
    <w:name w:val="_Equation Caption"/>
    <w:rsid w:val="00D27E6A"/>
  </w:style>
  <w:style w:type="paragraph" w:customStyle="1" w:styleId="Paratitle">
    <w:name w:val="Para title"/>
    <w:basedOn w:val="Normal"/>
    <w:rsid w:val="00D27E6A"/>
    <w:pPr>
      <w:tabs>
        <w:tab w:val="center" w:pos="9270"/>
      </w:tabs>
      <w:spacing w:after="240"/>
    </w:pPr>
    <w:rPr>
      <w:spacing w:val="-2"/>
    </w:rPr>
  </w:style>
  <w:style w:type="paragraph" w:customStyle="1" w:styleId="TOCTitle">
    <w:name w:val="TOC Title"/>
    <w:basedOn w:val="Normal"/>
    <w:rsid w:val="00D27E6A"/>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27E6A"/>
    <w:pPr>
      <w:jc w:val="center"/>
    </w:pPr>
    <w:rPr>
      <w:rFonts w:ascii="Times New Roman Bold" w:hAnsi="Times New Roman Bold"/>
      <w:b/>
      <w:bCs/>
      <w:caps/>
      <w:szCs w:val="22"/>
    </w:rPr>
  </w:style>
  <w:style w:type="paragraph" w:styleId="Revision">
    <w:name w:val="Revision"/>
    <w:hidden/>
    <w:uiPriority w:val="99"/>
    <w:semiHidden/>
    <w:rsid w:val="00AF0B27"/>
    <w:rPr>
      <w:snapToGrid w:val="0"/>
      <w:kern w:val="28"/>
      <w:sz w:val="22"/>
    </w:rPr>
  </w:style>
  <w:style w:type="character" w:customStyle="1" w:styleId="FooterChar">
    <w:name w:val="Footer Char"/>
    <w:link w:val="Footer"/>
    <w:rsid w:val="0009228C"/>
    <w:rPr>
      <w:snapToGrid w:val="0"/>
      <w:kern w:val="28"/>
      <w:sz w:val="22"/>
    </w:rPr>
  </w:style>
  <w:style w:type="paragraph" w:customStyle="1" w:styleId="StyleHeading1After144pt">
    <w:name w:val="Style Heading 1 + After:  14.4 pt"/>
    <w:basedOn w:val="Heading1"/>
    <w:autoRedefine/>
    <w:rsid w:val="004A0005"/>
    <w:rPr>
      <w:bCs/>
    </w:rPr>
  </w:style>
  <w:style w:type="character" w:customStyle="1" w:styleId="FootnoteTextChar1">
    <w:name w:val="Footnote Text Char1"/>
    <w:aliases w:val="Footnote Text Char1 Char1 Char Char,Footnote Text Char Char Char Char Char,Footnote Text Char1 Char Char Char Char Char,Footnote Text Char Char Char Char Char Char Char,fn Char Char Char,f Char"/>
    <w:semiHidden/>
    <w:locked/>
    <w:rsid w:val="00C467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E6A"/>
    <w:pPr>
      <w:widowControl w:val="0"/>
    </w:pPr>
    <w:rPr>
      <w:snapToGrid w:val="0"/>
      <w:kern w:val="28"/>
      <w:sz w:val="22"/>
    </w:rPr>
  </w:style>
  <w:style w:type="paragraph" w:styleId="Heading1">
    <w:name w:val="heading 1"/>
    <w:basedOn w:val="Normal"/>
    <w:next w:val="ParaNum"/>
    <w:autoRedefine/>
    <w:qFormat/>
    <w:rsid w:val="00D27E6A"/>
    <w:pPr>
      <w:keepNext/>
      <w:numPr>
        <w:numId w:val="20"/>
      </w:numPr>
      <w:suppressAutoHyphens/>
      <w:spacing w:after="120"/>
      <w:outlineLvl w:val="0"/>
    </w:pPr>
    <w:rPr>
      <w:rFonts w:ascii="Times New Roman Bold" w:hAnsi="Times New Roman Bold"/>
      <w:b/>
      <w:caps/>
    </w:rPr>
  </w:style>
  <w:style w:type="paragraph" w:styleId="Heading2">
    <w:name w:val="heading 2"/>
    <w:aliases w:val="Heading 2 Char1,Heading 2 Char Char1"/>
    <w:basedOn w:val="Normal"/>
    <w:next w:val="ParaNum"/>
    <w:link w:val="Heading2Char"/>
    <w:autoRedefine/>
    <w:qFormat/>
    <w:rsid w:val="00D27E6A"/>
    <w:pPr>
      <w:keepNext/>
      <w:numPr>
        <w:ilvl w:val="1"/>
        <w:numId w:val="20"/>
      </w:numPr>
      <w:spacing w:after="120"/>
      <w:outlineLvl w:val="1"/>
    </w:pPr>
    <w:rPr>
      <w:b/>
    </w:rPr>
  </w:style>
  <w:style w:type="paragraph" w:styleId="Heading3">
    <w:name w:val="heading 3"/>
    <w:basedOn w:val="Normal"/>
    <w:next w:val="ParaNum"/>
    <w:qFormat/>
    <w:rsid w:val="00D27E6A"/>
    <w:pPr>
      <w:keepNext/>
      <w:numPr>
        <w:ilvl w:val="2"/>
        <w:numId w:val="20"/>
      </w:numPr>
      <w:spacing w:after="120"/>
      <w:outlineLvl w:val="2"/>
    </w:pPr>
    <w:rPr>
      <w:b/>
    </w:rPr>
  </w:style>
  <w:style w:type="paragraph" w:styleId="Heading4">
    <w:name w:val="heading 4"/>
    <w:basedOn w:val="Normal"/>
    <w:next w:val="ParaNum"/>
    <w:qFormat/>
    <w:rsid w:val="00D27E6A"/>
    <w:pPr>
      <w:keepNext/>
      <w:numPr>
        <w:ilvl w:val="3"/>
        <w:numId w:val="20"/>
      </w:numPr>
      <w:spacing w:after="120"/>
      <w:outlineLvl w:val="3"/>
    </w:pPr>
    <w:rPr>
      <w:b/>
    </w:rPr>
  </w:style>
  <w:style w:type="paragraph" w:styleId="Heading5">
    <w:name w:val="heading 5"/>
    <w:basedOn w:val="Normal"/>
    <w:next w:val="ParaNum"/>
    <w:qFormat/>
    <w:rsid w:val="00D27E6A"/>
    <w:pPr>
      <w:keepNext/>
      <w:numPr>
        <w:ilvl w:val="4"/>
        <w:numId w:val="20"/>
      </w:numPr>
      <w:suppressAutoHyphens/>
      <w:spacing w:after="120"/>
      <w:outlineLvl w:val="4"/>
    </w:pPr>
    <w:rPr>
      <w:b/>
    </w:rPr>
  </w:style>
  <w:style w:type="paragraph" w:styleId="Heading6">
    <w:name w:val="heading 6"/>
    <w:basedOn w:val="Normal"/>
    <w:next w:val="ParaNum"/>
    <w:qFormat/>
    <w:rsid w:val="00D27E6A"/>
    <w:pPr>
      <w:numPr>
        <w:ilvl w:val="5"/>
        <w:numId w:val="20"/>
      </w:numPr>
      <w:spacing w:after="120"/>
      <w:outlineLvl w:val="5"/>
    </w:pPr>
    <w:rPr>
      <w:b/>
    </w:rPr>
  </w:style>
  <w:style w:type="paragraph" w:styleId="Heading7">
    <w:name w:val="heading 7"/>
    <w:basedOn w:val="Normal"/>
    <w:next w:val="ParaNum"/>
    <w:qFormat/>
    <w:rsid w:val="00D27E6A"/>
    <w:pPr>
      <w:numPr>
        <w:ilvl w:val="6"/>
        <w:numId w:val="20"/>
      </w:numPr>
      <w:spacing w:after="120"/>
      <w:outlineLvl w:val="6"/>
    </w:pPr>
    <w:rPr>
      <w:b/>
    </w:rPr>
  </w:style>
  <w:style w:type="paragraph" w:styleId="Heading8">
    <w:name w:val="heading 8"/>
    <w:basedOn w:val="Normal"/>
    <w:next w:val="ParaNum"/>
    <w:qFormat/>
    <w:rsid w:val="00D27E6A"/>
    <w:pPr>
      <w:numPr>
        <w:ilvl w:val="7"/>
        <w:numId w:val="20"/>
      </w:numPr>
      <w:tabs>
        <w:tab w:val="left" w:pos="5760"/>
      </w:tabs>
      <w:spacing w:after="120"/>
      <w:outlineLvl w:val="7"/>
    </w:pPr>
    <w:rPr>
      <w:b/>
    </w:rPr>
  </w:style>
  <w:style w:type="paragraph" w:styleId="Heading9">
    <w:name w:val="heading 9"/>
    <w:basedOn w:val="Normal"/>
    <w:next w:val="ParaNum"/>
    <w:qFormat/>
    <w:rsid w:val="00D27E6A"/>
    <w:pPr>
      <w:numPr>
        <w:ilvl w:val="8"/>
        <w:numId w:val="20"/>
      </w:numPr>
      <w:tabs>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customStyle="1" w:styleId="ParaNum">
    <w:name w:val="ParaNum"/>
    <w:basedOn w:val="Normal"/>
    <w:link w:val="ParaNumChar1"/>
    <w:rsid w:val="00D27E6A"/>
    <w:pPr>
      <w:numPr>
        <w:numId w:val="19"/>
      </w:numPr>
      <w:tabs>
        <w:tab w:val="clear" w:pos="1080"/>
        <w:tab w:val="num" w:pos="1440"/>
      </w:tabs>
      <w:spacing w:after="120"/>
    </w:pPr>
  </w:style>
  <w:style w:type="paragraph" w:styleId="FootnoteText">
    <w:name w:val="footnote text"/>
    <w:aliases w:val="Footnote Text Char3,Footnote Text Char Char,Footnote Text Char1 Char Char Char,Footnote Text Char Char1 Char Char Char,Footnote Text Char3 Char Char Char Char Char,Footnote Text Char Char Char1 Char Char Char Char,Footnote Text Char1 Char"/>
    <w:link w:val="FootnoteTextChar"/>
    <w:rsid w:val="00D27E6A"/>
    <w:pPr>
      <w:spacing w:after="120"/>
    </w:pPr>
  </w:style>
  <w:style w:type="paragraph" w:customStyle="1" w:styleId="Bullet">
    <w:name w:val="Bullet"/>
    <w:basedOn w:val="Normal"/>
    <w:rsid w:val="00D27E6A"/>
    <w:pPr>
      <w:tabs>
        <w:tab w:val="left" w:pos="2160"/>
      </w:tabs>
      <w:spacing w:after="220"/>
      <w:ind w:left="2160" w:hanging="720"/>
    </w:pPr>
  </w:style>
  <w:style w:type="paragraph" w:styleId="BlockText">
    <w:name w:val="Block Text"/>
    <w:basedOn w:val="Normal"/>
    <w:rsid w:val="00D27E6A"/>
    <w:pPr>
      <w:spacing w:after="240"/>
      <w:ind w:left="1440" w:right="1440"/>
    </w:pPr>
  </w:style>
  <w:style w:type="paragraph" w:customStyle="1" w:styleId="TableFormat">
    <w:name w:val="TableFormat"/>
    <w:basedOn w:val="Bullet"/>
    <w:rsid w:val="00D27E6A"/>
    <w:pPr>
      <w:tabs>
        <w:tab w:val="clear" w:pos="2160"/>
        <w:tab w:val="left" w:pos="5040"/>
      </w:tabs>
      <w:ind w:left="5040" w:hanging="3600"/>
    </w:pPr>
  </w:style>
  <w:style w:type="character" w:styleId="FootnoteReference">
    <w:name w:val="footnote reference"/>
    <w:aliases w:val="Appel note de bas de p,Style 12,(NECG) Footnote Reference,Style 124,o,fr,Style 3,Style 13,FR,Style 17,Style 6,Footnote Reference/"/>
    <w:rsid w:val="00D27E6A"/>
    <w:rPr>
      <w:rFonts w:ascii="Times New Roman" w:hAnsi="Times New Roman"/>
      <w:dstrike w:val="0"/>
      <w:color w:val="auto"/>
      <w:sz w:val="20"/>
      <w:vertAlign w:val="superscript"/>
    </w:rPr>
  </w:style>
  <w:style w:type="paragraph" w:styleId="Header">
    <w:name w:val="header"/>
    <w:basedOn w:val="Normal"/>
    <w:autoRedefine/>
    <w:rsid w:val="00D27E6A"/>
    <w:pPr>
      <w:tabs>
        <w:tab w:val="center" w:pos="4680"/>
        <w:tab w:val="right" w:pos="9360"/>
      </w:tabs>
    </w:pPr>
    <w:rPr>
      <w:b/>
    </w:rPr>
  </w:style>
  <w:style w:type="paragraph" w:styleId="Footer">
    <w:name w:val="footer"/>
    <w:basedOn w:val="Normal"/>
    <w:link w:val="FooterChar"/>
    <w:rsid w:val="00D27E6A"/>
    <w:pPr>
      <w:tabs>
        <w:tab w:val="center" w:pos="4320"/>
        <w:tab w:val="right" w:pos="8640"/>
      </w:tabs>
    </w:pPr>
  </w:style>
  <w:style w:type="paragraph" w:styleId="TOC2">
    <w:name w:val="toc 2"/>
    <w:basedOn w:val="Normal"/>
    <w:next w:val="Normal"/>
    <w:semiHidden/>
    <w:rsid w:val="00D27E6A"/>
    <w:pPr>
      <w:tabs>
        <w:tab w:val="left" w:pos="720"/>
        <w:tab w:val="right" w:leader="dot" w:pos="9360"/>
      </w:tabs>
      <w:suppressAutoHyphens/>
      <w:ind w:left="720" w:right="720" w:hanging="360"/>
    </w:pPr>
    <w:rPr>
      <w:noProof/>
    </w:rPr>
  </w:style>
  <w:style w:type="paragraph" w:customStyle="1" w:styleId="NumberedList">
    <w:name w:val="Numbered List"/>
    <w:basedOn w:val="Normal"/>
    <w:pPr>
      <w:numPr>
        <w:numId w:val="4"/>
      </w:numPr>
      <w:tabs>
        <w:tab w:val="clear" w:pos="1080"/>
      </w:tabs>
      <w:spacing w:after="220"/>
      <w:ind w:firstLine="0"/>
    </w:pPr>
  </w:style>
  <w:style w:type="paragraph" w:styleId="TOC1">
    <w:name w:val="toc 1"/>
    <w:basedOn w:val="Normal"/>
    <w:next w:val="Normal"/>
    <w:semiHidden/>
    <w:rsid w:val="00D27E6A"/>
    <w:pPr>
      <w:tabs>
        <w:tab w:val="left" w:pos="360"/>
        <w:tab w:val="right" w:leader="dot" w:pos="9360"/>
      </w:tabs>
      <w:suppressAutoHyphens/>
      <w:ind w:left="360" w:right="720" w:hanging="360"/>
    </w:pPr>
    <w:rPr>
      <w:caps/>
      <w:noProof/>
    </w:rPr>
  </w:style>
  <w:style w:type="paragraph" w:styleId="TOC3">
    <w:name w:val="toc 3"/>
    <w:basedOn w:val="Normal"/>
    <w:next w:val="Normal"/>
    <w:semiHidden/>
    <w:rsid w:val="00D27E6A"/>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D27E6A"/>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D27E6A"/>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27E6A"/>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27E6A"/>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27E6A"/>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27E6A"/>
    <w:pPr>
      <w:tabs>
        <w:tab w:val="left" w:pos="3240"/>
        <w:tab w:val="right" w:leader="dot" w:pos="9360"/>
      </w:tabs>
      <w:suppressAutoHyphens/>
      <w:ind w:left="3240" w:hanging="360"/>
    </w:pPr>
    <w:rPr>
      <w:noProof/>
    </w:rPr>
  </w:style>
  <w:style w:type="character" w:styleId="PageNumber">
    <w:name w:val="page number"/>
    <w:basedOn w:val="DefaultParagraphFont"/>
    <w:rsid w:val="00D27E6A"/>
  </w:style>
  <w:style w:type="paragraph" w:styleId="Title">
    <w:name w:val="Title"/>
    <w:basedOn w:val="Normal"/>
    <w:qFormat/>
    <w:pPr>
      <w:jc w:val="center"/>
    </w:pPr>
    <w:rPr>
      <w:b/>
    </w:rPr>
  </w:style>
  <w:style w:type="character" w:customStyle="1" w:styleId="searchterm">
    <w:name w:val="searchterm"/>
    <w:rPr>
      <w:b/>
      <w:bCs/>
      <w:shd w:val="clear" w:color="auto" w:fill="FFFF00"/>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pPr>
      <w:spacing w:after="120"/>
      <w:ind w:left="360"/>
    </w:pPr>
  </w:style>
  <w:style w:type="paragraph" w:styleId="Subtitle">
    <w:name w:val="Subtitle"/>
    <w:basedOn w:val="Normal"/>
    <w:qFormat/>
    <w:pPr>
      <w:spacing w:after="60"/>
      <w:jc w:val="center"/>
      <w:outlineLvl w:val="1"/>
    </w:pPr>
    <w:rPr>
      <w:rFonts w:ascii="Arial" w:hAnsi="Arial" w:cs="Arial"/>
      <w:sz w:val="24"/>
      <w:szCs w:val="24"/>
    </w:rPr>
  </w:style>
  <w:style w:type="paragraph" w:styleId="BodyText">
    <w:name w:val="Body Text"/>
    <w:basedOn w:val="Normal"/>
    <w:link w:val="BodyTextChar"/>
    <w:pPr>
      <w:spacing w:after="120"/>
    </w:pPr>
  </w:style>
  <w:style w:type="paragraph" w:customStyle="1" w:styleId="Byline">
    <w:name w:val="Byline"/>
    <w:basedOn w:val="BodyText"/>
  </w:style>
  <w:style w:type="paragraph" w:customStyle="1" w:styleId="Style1">
    <w:name w:val="Style1"/>
    <w:basedOn w:val="Normal"/>
  </w:style>
  <w:style w:type="paragraph" w:customStyle="1" w:styleId="Style2">
    <w:name w:val="Style2"/>
    <w:basedOn w:val="Normal"/>
  </w:style>
  <w:style w:type="character" w:styleId="Hyperlink">
    <w:name w:val="Hyperlink"/>
    <w:rsid w:val="00D27E6A"/>
    <w:rPr>
      <w:color w:val="0000FF"/>
      <w:u w:val="single"/>
    </w:rPr>
  </w:style>
  <w:style w:type="character" w:customStyle="1" w:styleId="normaltextfont">
    <w:name w:val="normaltextfont"/>
    <w:rPr>
      <w:rFonts w:ascii="Verdana" w:hAnsi="Verdana" w:hint="default"/>
      <w:sz w:val="19"/>
      <w:szCs w:val="19"/>
    </w:rPr>
  </w:style>
  <w:style w:type="character" w:styleId="Emphasis">
    <w:name w:val="Emphasis"/>
    <w:qFormat/>
    <w:rPr>
      <w:i/>
      <w:iCs/>
    </w:rPr>
  </w:style>
  <w:style w:type="paragraph" w:styleId="NormalWeb">
    <w:name w:val="Normal (Web)"/>
    <w:basedOn w:val="Normal"/>
    <w:pPr>
      <w:spacing w:before="100" w:beforeAutospacing="1" w:after="100" w:afterAutospacing="1"/>
    </w:pPr>
    <w:rPr>
      <w:rFonts w:ascii="Verdana" w:hAnsi="Verdana"/>
      <w:color w:val="000000"/>
      <w:sz w:val="20"/>
    </w:rPr>
  </w:style>
  <w:style w:type="paragraph" w:customStyle="1" w:styleId="Style3">
    <w:name w:val="Style3"/>
    <w:basedOn w:val="FootnoteText"/>
    <w:rPr>
      <w:i/>
    </w:rPr>
  </w:style>
  <w:style w:type="paragraph" w:customStyle="1" w:styleId="Style4">
    <w:name w:val="Style4"/>
    <w:basedOn w:val="FootnoteText"/>
  </w:style>
  <w:style w:type="character" w:customStyle="1" w:styleId="FootnoteTextChar">
    <w:name w:val="Footnote Text Char"/>
    <w:aliases w:val="Footnote Text Char3 Char,Footnote Text Char Char Char,Footnote Text Char1 Char Char Char Char,Footnote Text Char Char1 Char Char Char Char,Footnote Text Char3 Char Char Char Char Char Char,Footnote Text Char1 Char Char"/>
    <w:link w:val="FootnoteText"/>
  </w:style>
  <w:style w:type="paragraph" w:styleId="BodyText3">
    <w:name w:val="Body Text 3"/>
    <w:basedOn w:val="Normal"/>
    <w:pPr>
      <w:spacing w:after="120"/>
    </w:pPr>
    <w:rPr>
      <w:sz w:val="16"/>
      <w:szCs w:val="16"/>
    </w:rPr>
  </w:style>
  <w:style w:type="paragraph" w:styleId="PlainText">
    <w:name w:val="Plain Text"/>
    <w:basedOn w:val="Normal"/>
    <w:rPr>
      <w:rFonts w:ascii="Courier New" w:hAnsi="Courier New" w:cs="Courier New"/>
      <w:sz w:val="20"/>
    </w:rPr>
  </w:style>
  <w:style w:type="paragraph" w:styleId="NoteHeading">
    <w:name w:val="Note Heading"/>
    <w:basedOn w:val="Normal"/>
    <w:next w:val="Normal"/>
  </w:style>
  <w:style w:type="character" w:customStyle="1" w:styleId="documentbody1">
    <w:name w:val="documentbody1"/>
    <w:rPr>
      <w:rFonts w:ascii="Verdana" w:hAnsi="Verdana" w:hint="default"/>
      <w:sz w:val="19"/>
      <w:szCs w:val="19"/>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customStyle="1" w:styleId="ParaNumChar1">
    <w:name w:val="ParaNum Char1"/>
    <w:link w:val="ParaNum"/>
    <w:rsid w:val="00643759"/>
    <w:rPr>
      <w:snapToGrid w:val="0"/>
      <w:kern w:val="28"/>
      <w:sz w:val="22"/>
    </w:rPr>
  </w:style>
  <w:style w:type="character" w:styleId="CommentReference">
    <w:name w:val="annotation reference"/>
    <w:rPr>
      <w:sz w:val="18"/>
      <w:szCs w:val="18"/>
    </w:rPr>
  </w:style>
  <w:style w:type="paragraph" w:styleId="CommentText">
    <w:name w:val="annotation text"/>
    <w:basedOn w:val="Normal"/>
    <w:link w:val="CommentTextChar"/>
    <w:rPr>
      <w:sz w:val="24"/>
      <w:szCs w:val="24"/>
      <w:lang w:val="x-none" w:eastAsia="x-none"/>
    </w:rPr>
  </w:style>
  <w:style w:type="character" w:customStyle="1" w:styleId="CommentTextChar">
    <w:name w:val="Comment Text Char"/>
    <w:link w:val="CommentText"/>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z w:val="24"/>
      <w:szCs w:val="24"/>
    </w:rPr>
  </w:style>
  <w:style w:type="character" w:customStyle="1" w:styleId="Heading2Char">
    <w:name w:val="Heading 2 Char"/>
    <w:aliases w:val="Heading 2 Char1 Char,Heading 2 Char Char1 Char"/>
    <w:link w:val="Heading2"/>
    <w:rsid w:val="0014546F"/>
    <w:rPr>
      <w:b/>
      <w:snapToGrid w:val="0"/>
      <w:kern w:val="28"/>
      <w:sz w:val="22"/>
    </w:rPr>
  </w:style>
  <w:style w:type="character" w:customStyle="1" w:styleId="BodyTextChar">
    <w:name w:val="Body Text Char"/>
    <w:link w:val="BodyText"/>
    <w:rsid w:val="005E2007"/>
    <w:rPr>
      <w:sz w:val="22"/>
    </w:rPr>
  </w:style>
  <w:style w:type="character" w:customStyle="1" w:styleId="BodyTextIndentChar">
    <w:name w:val="Body Text Indent Char"/>
    <w:link w:val="BodyTextIndent"/>
    <w:rsid w:val="005E2007"/>
    <w:rPr>
      <w:sz w:val="22"/>
    </w:rPr>
  </w:style>
  <w:style w:type="paragraph" w:styleId="EndnoteText">
    <w:name w:val="endnote text"/>
    <w:basedOn w:val="Normal"/>
    <w:link w:val="EndnoteTextChar"/>
    <w:rsid w:val="00D27E6A"/>
    <w:rPr>
      <w:sz w:val="20"/>
    </w:rPr>
  </w:style>
  <w:style w:type="character" w:customStyle="1" w:styleId="EndnoteTextChar">
    <w:name w:val="Endnote Text Char"/>
    <w:link w:val="EndnoteText"/>
    <w:rsid w:val="005E2007"/>
    <w:rPr>
      <w:snapToGrid w:val="0"/>
      <w:kern w:val="28"/>
    </w:rPr>
  </w:style>
  <w:style w:type="character" w:styleId="EndnoteReference">
    <w:name w:val="endnote reference"/>
    <w:rsid w:val="00D27E6A"/>
    <w:rPr>
      <w:vertAlign w:val="superscript"/>
    </w:rPr>
  </w:style>
  <w:style w:type="paragraph" w:styleId="TOAHeading">
    <w:name w:val="toa heading"/>
    <w:basedOn w:val="Normal"/>
    <w:next w:val="Normal"/>
    <w:rsid w:val="00D27E6A"/>
    <w:pPr>
      <w:tabs>
        <w:tab w:val="right" w:pos="9360"/>
      </w:tabs>
      <w:suppressAutoHyphens/>
    </w:pPr>
  </w:style>
  <w:style w:type="character" w:customStyle="1" w:styleId="EquationCaption">
    <w:name w:val="_Equation Caption"/>
    <w:rsid w:val="00D27E6A"/>
  </w:style>
  <w:style w:type="paragraph" w:customStyle="1" w:styleId="Paratitle">
    <w:name w:val="Para title"/>
    <w:basedOn w:val="Normal"/>
    <w:rsid w:val="00D27E6A"/>
    <w:pPr>
      <w:tabs>
        <w:tab w:val="center" w:pos="9270"/>
      </w:tabs>
      <w:spacing w:after="240"/>
    </w:pPr>
    <w:rPr>
      <w:spacing w:val="-2"/>
    </w:rPr>
  </w:style>
  <w:style w:type="paragraph" w:customStyle="1" w:styleId="TOCTitle">
    <w:name w:val="TOC Title"/>
    <w:basedOn w:val="Normal"/>
    <w:rsid w:val="00D27E6A"/>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27E6A"/>
    <w:pPr>
      <w:jc w:val="center"/>
    </w:pPr>
    <w:rPr>
      <w:rFonts w:ascii="Times New Roman Bold" w:hAnsi="Times New Roman Bold"/>
      <w:b/>
      <w:bCs/>
      <w:caps/>
      <w:szCs w:val="22"/>
    </w:rPr>
  </w:style>
  <w:style w:type="paragraph" w:styleId="Revision">
    <w:name w:val="Revision"/>
    <w:hidden/>
    <w:uiPriority w:val="99"/>
    <w:semiHidden/>
    <w:rsid w:val="00AF0B27"/>
    <w:rPr>
      <w:snapToGrid w:val="0"/>
      <w:kern w:val="28"/>
      <w:sz w:val="22"/>
    </w:rPr>
  </w:style>
  <w:style w:type="character" w:customStyle="1" w:styleId="FooterChar">
    <w:name w:val="Footer Char"/>
    <w:link w:val="Footer"/>
    <w:rsid w:val="0009228C"/>
    <w:rPr>
      <w:snapToGrid w:val="0"/>
      <w:kern w:val="28"/>
      <w:sz w:val="22"/>
    </w:rPr>
  </w:style>
  <w:style w:type="paragraph" w:customStyle="1" w:styleId="StyleHeading1After144pt">
    <w:name w:val="Style Heading 1 + After:  14.4 pt"/>
    <w:basedOn w:val="Heading1"/>
    <w:autoRedefine/>
    <w:rsid w:val="004A0005"/>
    <w:rPr>
      <w:bCs/>
    </w:rPr>
  </w:style>
  <w:style w:type="character" w:customStyle="1" w:styleId="FootnoteTextChar1">
    <w:name w:val="Footnote Text Char1"/>
    <w:aliases w:val="Footnote Text Char1 Char1 Char Char,Footnote Text Char Char Char Char Char,Footnote Text Char1 Char Char Char Char Char,Footnote Text Char Char Char Char Char Char Char,fn Char Char Char,f Char"/>
    <w:semiHidden/>
    <w:locked/>
    <w:rsid w:val="00C46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232">
      <w:bodyDiv w:val="1"/>
      <w:marLeft w:val="0"/>
      <w:marRight w:val="0"/>
      <w:marTop w:val="0"/>
      <w:marBottom w:val="0"/>
      <w:divBdr>
        <w:top w:val="none" w:sz="0" w:space="0" w:color="auto"/>
        <w:left w:val="none" w:sz="0" w:space="0" w:color="auto"/>
        <w:bottom w:val="none" w:sz="0" w:space="0" w:color="auto"/>
        <w:right w:val="none" w:sz="0" w:space="0" w:color="auto"/>
      </w:divBdr>
      <w:divsChild>
        <w:div w:id="1577738343">
          <w:marLeft w:val="0"/>
          <w:marRight w:val="0"/>
          <w:marTop w:val="0"/>
          <w:marBottom w:val="0"/>
          <w:divBdr>
            <w:top w:val="none" w:sz="0" w:space="0" w:color="auto"/>
            <w:left w:val="none" w:sz="0" w:space="0" w:color="auto"/>
            <w:bottom w:val="none" w:sz="0" w:space="0" w:color="auto"/>
            <w:right w:val="none" w:sz="0" w:space="0" w:color="auto"/>
          </w:divBdr>
        </w:div>
      </w:divsChild>
    </w:div>
    <w:div w:id="61372817">
      <w:bodyDiv w:val="1"/>
      <w:marLeft w:val="0"/>
      <w:marRight w:val="0"/>
      <w:marTop w:val="0"/>
      <w:marBottom w:val="0"/>
      <w:divBdr>
        <w:top w:val="none" w:sz="0" w:space="0" w:color="auto"/>
        <w:left w:val="none" w:sz="0" w:space="0" w:color="auto"/>
        <w:bottom w:val="none" w:sz="0" w:space="0" w:color="auto"/>
        <w:right w:val="none" w:sz="0" w:space="0" w:color="auto"/>
      </w:divBdr>
    </w:div>
    <w:div w:id="112332329">
      <w:bodyDiv w:val="1"/>
      <w:marLeft w:val="0"/>
      <w:marRight w:val="0"/>
      <w:marTop w:val="0"/>
      <w:marBottom w:val="0"/>
      <w:divBdr>
        <w:top w:val="none" w:sz="0" w:space="0" w:color="auto"/>
        <w:left w:val="none" w:sz="0" w:space="0" w:color="auto"/>
        <w:bottom w:val="none" w:sz="0" w:space="0" w:color="auto"/>
        <w:right w:val="none" w:sz="0" w:space="0" w:color="auto"/>
      </w:divBdr>
    </w:div>
    <w:div w:id="164444883">
      <w:bodyDiv w:val="1"/>
      <w:marLeft w:val="0"/>
      <w:marRight w:val="0"/>
      <w:marTop w:val="0"/>
      <w:marBottom w:val="0"/>
      <w:divBdr>
        <w:top w:val="none" w:sz="0" w:space="0" w:color="auto"/>
        <w:left w:val="none" w:sz="0" w:space="0" w:color="auto"/>
        <w:bottom w:val="none" w:sz="0" w:space="0" w:color="auto"/>
        <w:right w:val="none" w:sz="0" w:space="0" w:color="auto"/>
      </w:divBdr>
    </w:div>
    <w:div w:id="352994452">
      <w:bodyDiv w:val="1"/>
      <w:marLeft w:val="0"/>
      <w:marRight w:val="0"/>
      <w:marTop w:val="0"/>
      <w:marBottom w:val="0"/>
      <w:divBdr>
        <w:top w:val="none" w:sz="0" w:space="0" w:color="auto"/>
        <w:left w:val="none" w:sz="0" w:space="0" w:color="auto"/>
        <w:bottom w:val="none" w:sz="0" w:space="0" w:color="auto"/>
        <w:right w:val="none" w:sz="0" w:space="0" w:color="auto"/>
      </w:divBdr>
    </w:div>
    <w:div w:id="414592081">
      <w:bodyDiv w:val="1"/>
      <w:marLeft w:val="0"/>
      <w:marRight w:val="0"/>
      <w:marTop w:val="0"/>
      <w:marBottom w:val="0"/>
      <w:divBdr>
        <w:top w:val="none" w:sz="0" w:space="0" w:color="auto"/>
        <w:left w:val="none" w:sz="0" w:space="0" w:color="auto"/>
        <w:bottom w:val="none" w:sz="0" w:space="0" w:color="auto"/>
        <w:right w:val="none" w:sz="0" w:space="0" w:color="auto"/>
      </w:divBdr>
      <w:divsChild>
        <w:div w:id="898133165">
          <w:marLeft w:val="0"/>
          <w:marRight w:val="0"/>
          <w:marTop w:val="0"/>
          <w:marBottom w:val="0"/>
          <w:divBdr>
            <w:top w:val="none" w:sz="0" w:space="0" w:color="auto"/>
            <w:left w:val="none" w:sz="0" w:space="0" w:color="auto"/>
            <w:bottom w:val="none" w:sz="0" w:space="0" w:color="auto"/>
            <w:right w:val="none" w:sz="0" w:space="0" w:color="auto"/>
          </w:divBdr>
        </w:div>
        <w:div w:id="1215506465">
          <w:marLeft w:val="0"/>
          <w:marRight w:val="0"/>
          <w:marTop w:val="0"/>
          <w:marBottom w:val="0"/>
          <w:divBdr>
            <w:top w:val="none" w:sz="0" w:space="0" w:color="auto"/>
            <w:left w:val="none" w:sz="0" w:space="0" w:color="auto"/>
            <w:bottom w:val="none" w:sz="0" w:space="0" w:color="auto"/>
            <w:right w:val="none" w:sz="0" w:space="0" w:color="auto"/>
          </w:divBdr>
        </w:div>
      </w:divsChild>
    </w:div>
    <w:div w:id="488863631">
      <w:bodyDiv w:val="1"/>
      <w:marLeft w:val="0"/>
      <w:marRight w:val="0"/>
      <w:marTop w:val="0"/>
      <w:marBottom w:val="0"/>
      <w:divBdr>
        <w:top w:val="none" w:sz="0" w:space="0" w:color="auto"/>
        <w:left w:val="none" w:sz="0" w:space="0" w:color="auto"/>
        <w:bottom w:val="none" w:sz="0" w:space="0" w:color="auto"/>
        <w:right w:val="none" w:sz="0" w:space="0" w:color="auto"/>
      </w:divBdr>
      <w:divsChild>
        <w:div w:id="331419408">
          <w:marLeft w:val="0"/>
          <w:marRight w:val="0"/>
          <w:marTop w:val="0"/>
          <w:marBottom w:val="0"/>
          <w:divBdr>
            <w:top w:val="none" w:sz="0" w:space="0" w:color="auto"/>
            <w:left w:val="none" w:sz="0" w:space="0" w:color="auto"/>
            <w:bottom w:val="none" w:sz="0" w:space="0" w:color="auto"/>
            <w:right w:val="none" w:sz="0" w:space="0" w:color="auto"/>
          </w:divBdr>
        </w:div>
        <w:div w:id="2009825101">
          <w:marLeft w:val="0"/>
          <w:marRight w:val="0"/>
          <w:marTop w:val="0"/>
          <w:marBottom w:val="0"/>
          <w:divBdr>
            <w:top w:val="none" w:sz="0" w:space="0" w:color="auto"/>
            <w:left w:val="none" w:sz="0" w:space="0" w:color="auto"/>
            <w:bottom w:val="none" w:sz="0" w:space="0" w:color="auto"/>
            <w:right w:val="none" w:sz="0" w:space="0" w:color="auto"/>
          </w:divBdr>
        </w:div>
        <w:div w:id="1606958333">
          <w:marLeft w:val="0"/>
          <w:marRight w:val="0"/>
          <w:marTop w:val="0"/>
          <w:marBottom w:val="0"/>
          <w:divBdr>
            <w:top w:val="none" w:sz="0" w:space="0" w:color="auto"/>
            <w:left w:val="none" w:sz="0" w:space="0" w:color="auto"/>
            <w:bottom w:val="none" w:sz="0" w:space="0" w:color="auto"/>
            <w:right w:val="none" w:sz="0" w:space="0" w:color="auto"/>
          </w:divBdr>
        </w:div>
        <w:div w:id="1446652817">
          <w:marLeft w:val="0"/>
          <w:marRight w:val="0"/>
          <w:marTop w:val="0"/>
          <w:marBottom w:val="0"/>
          <w:divBdr>
            <w:top w:val="none" w:sz="0" w:space="0" w:color="auto"/>
            <w:left w:val="none" w:sz="0" w:space="0" w:color="auto"/>
            <w:bottom w:val="none" w:sz="0" w:space="0" w:color="auto"/>
            <w:right w:val="none" w:sz="0" w:space="0" w:color="auto"/>
          </w:divBdr>
        </w:div>
        <w:div w:id="1534532891">
          <w:marLeft w:val="0"/>
          <w:marRight w:val="0"/>
          <w:marTop w:val="0"/>
          <w:marBottom w:val="0"/>
          <w:divBdr>
            <w:top w:val="none" w:sz="0" w:space="0" w:color="auto"/>
            <w:left w:val="none" w:sz="0" w:space="0" w:color="auto"/>
            <w:bottom w:val="none" w:sz="0" w:space="0" w:color="auto"/>
            <w:right w:val="none" w:sz="0" w:space="0" w:color="auto"/>
          </w:divBdr>
        </w:div>
        <w:div w:id="743601626">
          <w:marLeft w:val="0"/>
          <w:marRight w:val="0"/>
          <w:marTop w:val="0"/>
          <w:marBottom w:val="0"/>
          <w:divBdr>
            <w:top w:val="none" w:sz="0" w:space="0" w:color="auto"/>
            <w:left w:val="none" w:sz="0" w:space="0" w:color="auto"/>
            <w:bottom w:val="none" w:sz="0" w:space="0" w:color="auto"/>
            <w:right w:val="none" w:sz="0" w:space="0" w:color="auto"/>
          </w:divBdr>
        </w:div>
        <w:div w:id="1706371507">
          <w:marLeft w:val="0"/>
          <w:marRight w:val="0"/>
          <w:marTop w:val="0"/>
          <w:marBottom w:val="0"/>
          <w:divBdr>
            <w:top w:val="none" w:sz="0" w:space="0" w:color="auto"/>
            <w:left w:val="none" w:sz="0" w:space="0" w:color="auto"/>
            <w:bottom w:val="none" w:sz="0" w:space="0" w:color="auto"/>
            <w:right w:val="none" w:sz="0" w:space="0" w:color="auto"/>
          </w:divBdr>
        </w:div>
        <w:div w:id="1163203218">
          <w:marLeft w:val="0"/>
          <w:marRight w:val="0"/>
          <w:marTop w:val="0"/>
          <w:marBottom w:val="0"/>
          <w:divBdr>
            <w:top w:val="none" w:sz="0" w:space="0" w:color="auto"/>
            <w:left w:val="none" w:sz="0" w:space="0" w:color="auto"/>
            <w:bottom w:val="none" w:sz="0" w:space="0" w:color="auto"/>
            <w:right w:val="none" w:sz="0" w:space="0" w:color="auto"/>
          </w:divBdr>
        </w:div>
        <w:div w:id="1858274672">
          <w:marLeft w:val="0"/>
          <w:marRight w:val="0"/>
          <w:marTop w:val="0"/>
          <w:marBottom w:val="0"/>
          <w:divBdr>
            <w:top w:val="none" w:sz="0" w:space="0" w:color="auto"/>
            <w:left w:val="none" w:sz="0" w:space="0" w:color="auto"/>
            <w:bottom w:val="none" w:sz="0" w:space="0" w:color="auto"/>
            <w:right w:val="none" w:sz="0" w:space="0" w:color="auto"/>
          </w:divBdr>
        </w:div>
        <w:div w:id="371808129">
          <w:marLeft w:val="0"/>
          <w:marRight w:val="0"/>
          <w:marTop w:val="0"/>
          <w:marBottom w:val="0"/>
          <w:divBdr>
            <w:top w:val="none" w:sz="0" w:space="0" w:color="auto"/>
            <w:left w:val="none" w:sz="0" w:space="0" w:color="auto"/>
            <w:bottom w:val="none" w:sz="0" w:space="0" w:color="auto"/>
            <w:right w:val="none" w:sz="0" w:space="0" w:color="auto"/>
          </w:divBdr>
        </w:div>
        <w:div w:id="57172049">
          <w:marLeft w:val="0"/>
          <w:marRight w:val="0"/>
          <w:marTop w:val="0"/>
          <w:marBottom w:val="0"/>
          <w:divBdr>
            <w:top w:val="none" w:sz="0" w:space="0" w:color="auto"/>
            <w:left w:val="none" w:sz="0" w:space="0" w:color="auto"/>
            <w:bottom w:val="none" w:sz="0" w:space="0" w:color="auto"/>
            <w:right w:val="none" w:sz="0" w:space="0" w:color="auto"/>
          </w:divBdr>
        </w:div>
        <w:div w:id="430397917">
          <w:marLeft w:val="0"/>
          <w:marRight w:val="0"/>
          <w:marTop w:val="0"/>
          <w:marBottom w:val="0"/>
          <w:divBdr>
            <w:top w:val="none" w:sz="0" w:space="0" w:color="auto"/>
            <w:left w:val="none" w:sz="0" w:space="0" w:color="auto"/>
            <w:bottom w:val="none" w:sz="0" w:space="0" w:color="auto"/>
            <w:right w:val="none" w:sz="0" w:space="0" w:color="auto"/>
          </w:divBdr>
        </w:div>
      </w:divsChild>
    </w:div>
    <w:div w:id="494878141">
      <w:bodyDiv w:val="1"/>
      <w:marLeft w:val="0"/>
      <w:marRight w:val="0"/>
      <w:marTop w:val="0"/>
      <w:marBottom w:val="0"/>
      <w:divBdr>
        <w:top w:val="none" w:sz="0" w:space="0" w:color="auto"/>
        <w:left w:val="none" w:sz="0" w:space="0" w:color="auto"/>
        <w:bottom w:val="none" w:sz="0" w:space="0" w:color="auto"/>
        <w:right w:val="none" w:sz="0" w:space="0" w:color="auto"/>
      </w:divBdr>
    </w:div>
    <w:div w:id="985815922">
      <w:bodyDiv w:val="1"/>
      <w:marLeft w:val="0"/>
      <w:marRight w:val="0"/>
      <w:marTop w:val="0"/>
      <w:marBottom w:val="0"/>
      <w:divBdr>
        <w:top w:val="none" w:sz="0" w:space="0" w:color="auto"/>
        <w:left w:val="none" w:sz="0" w:space="0" w:color="auto"/>
        <w:bottom w:val="none" w:sz="0" w:space="0" w:color="auto"/>
        <w:right w:val="none" w:sz="0" w:space="0" w:color="auto"/>
      </w:divBdr>
    </w:div>
    <w:div w:id="1108548741">
      <w:bodyDiv w:val="1"/>
      <w:marLeft w:val="0"/>
      <w:marRight w:val="0"/>
      <w:marTop w:val="0"/>
      <w:marBottom w:val="0"/>
      <w:divBdr>
        <w:top w:val="none" w:sz="0" w:space="0" w:color="auto"/>
        <w:left w:val="none" w:sz="0" w:space="0" w:color="auto"/>
        <w:bottom w:val="none" w:sz="0" w:space="0" w:color="auto"/>
        <w:right w:val="none" w:sz="0" w:space="0" w:color="auto"/>
      </w:divBdr>
    </w:div>
    <w:div w:id="1253507546">
      <w:bodyDiv w:val="1"/>
      <w:marLeft w:val="0"/>
      <w:marRight w:val="0"/>
      <w:marTop w:val="0"/>
      <w:marBottom w:val="0"/>
      <w:divBdr>
        <w:top w:val="none" w:sz="0" w:space="0" w:color="auto"/>
        <w:left w:val="none" w:sz="0" w:space="0" w:color="auto"/>
        <w:bottom w:val="none" w:sz="0" w:space="0" w:color="auto"/>
        <w:right w:val="none" w:sz="0" w:space="0" w:color="auto"/>
      </w:divBdr>
    </w:div>
    <w:div w:id="1257790282">
      <w:bodyDiv w:val="1"/>
      <w:marLeft w:val="0"/>
      <w:marRight w:val="0"/>
      <w:marTop w:val="0"/>
      <w:marBottom w:val="0"/>
      <w:divBdr>
        <w:top w:val="none" w:sz="0" w:space="0" w:color="auto"/>
        <w:left w:val="none" w:sz="0" w:space="0" w:color="auto"/>
        <w:bottom w:val="none" w:sz="0" w:space="0" w:color="auto"/>
        <w:right w:val="none" w:sz="0" w:space="0" w:color="auto"/>
      </w:divBdr>
    </w:div>
    <w:div w:id="1595088075">
      <w:bodyDiv w:val="1"/>
      <w:marLeft w:val="0"/>
      <w:marRight w:val="0"/>
      <w:marTop w:val="0"/>
      <w:marBottom w:val="0"/>
      <w:divBdr>
        <w:top w:val="none" w:sz="0" w:space="0" w:color="auto"/>
        <w:left w:val="none" w:sz="0" w:space="0" w:color="auto"/>
        <w:bottom w:val="none" w:sz="0" w:space="0" w:color="auto"/>
        <w:right w:val="none" w:sz="0" w:space="0" w:color="auto"/>
      </w:divBdr>
      <w:divsChild>
        <w:div w:id="1020165266">
          <w:marLeft w:val="0"/>
          <w:marRight w:val="0"/>
          <w:marTop w:val="0"/>
          <w:marBottom w:val="0"/>
          <w:divBdr>
            <w:top w:val="none" w:sz="0" w:space="0" w:color="auto"/>
            <w:left w:val="none" w:sz="0" w:space="0" w:color="auto"/>
            <w:bottom w:val="none" w:sz="0" w:space="0" w:color="auto"/>
            <w:right w:val="none" w:sz="0" w:space="0" w:color="auto"/>
          </w:divBdr>
        </w:div>
        <w:div w:id="551698689">
          <w:marLeft w:val="0"/>
          <w:marRight w:val="0"/>
          <w:marTop w:val="0"/>
          <w:marBottom w:val="0"/>
          <w:divBdr>
            <w:top w:val="none" w:sz="0" w:space="0" w:color="auto"/>
            <w:left w:val="none" w:sz="0" w:space="0" w:color="auto"/>
            <w:bottom w:val="none" w:sz="0" w:space="0" w:color="auto"/>
            <w:right w:val="none" w:sz="0" w:space="0" w:color="auto"/>
          </w:divBdr>
        </w:div>
        <w:div w:id="1778713270">
          <w:marLeft w:val="0"/>
          <w:marRight w:val="0"/>
          <w:marTop w:val="0"/>
          <w:marBottom w:val="0"/>
          <w:divBdr>
            <w:top w:val="none" w:sz="0" w:space="0" w:color="auto"/>
            <w:left w:val="none" w:sz="0" w:space="0" w:color="auto"/>
            <w:bottom w:val="none" w:sz="0" w:space="0" w:color="auto"/>
            <w:right w:val="none" w:sz="0" w:space="0" w:color="auto"/>
          </w:divBdr>
        </w:div>
        <w:div w:id="2026125155">
          <w:marLeft w:val="0"/>
          <w:marRight w:val="0"/>
          <w:marTop w:val="0"/>
          <w:marBottom w:val="0"/>
          <w:divBdr>
            <w:top w:val="none" w:sz="0" w:space="0" w:color="auto"/>
            <w:left w:val="none" w:sz="0" w:space="0" w:color="auto"/>
            <w:bottom w:val="none" w:sz="0" w:space="0" w:color="auto"/>
            <w:right w:val="none" w:sz="0" w:space="0" w:color="auto"/>
          </w:divBdr>
        </w:div>
        <w:div w:id="1592080357">
          <w:marLeft w:val="0"/>
          <w:marRight w:val="0"/>
          <w:marTop w:val="0"/>
          <w:marBottom w:val="0"/>
          <w:divBdr>
            <w:top w:val="none" w:sz="0" w:space="0" w:color="auto"/>
            <w:left w:val="none" w:sz="0" w:space="0" w:color="auto"/>
            <w:bottom w:val="none" w:sz="0" w:space="0" w:color="auto"/>
            <w:right w:val="none" w:sz="0" w:space="0" w:color="auto"/>
          </w:divBdr>
        </w:div>
      </w:divsChild>
    </w:div>
    <w:div w:id="1803838664">
      <w:bodyDiv w:val="1"/>
      <w:marLeft w:val="0"/>
      <w:marRight w:val="0"/>
      <w:marTop w:val="0"/>
      <w:marBottom w:val="0"/>
      <w:divBdr>
        <w:top w:val="none" w:sz="0" w:space="0" w:color="auto"/>
        <w:left w:val="none" w:sz="0" w:space="0" w:color="auto"/>
        <w:bottom w:val="none" w:sz="0" w:space="0" w:color="auto"/>
        <w:right w:val="none" w:sz="0" w:space="0" w:color="auto"/>
      </w:divBdr>
      <w:divsChild>
        <w:div w:id="341513297">
          <w:marLeft w:val="0"/>
          <w:marRight w:val="0"/>
          <w:marTop w:val="0"/>
          <w:marBottom w:val="0"/>
          <w:divBdr>
            <w:top w:val="none" w:sz="0" w:space="0" w:color="auto"/>
            <w:left w:val="none" w:sz="0" w:space="0" w:color="auto"/>
            <w:bottom w:val="none" w:sz="0" w:space="0" w:color="auto"/>
            <w:right w:val="none" w:sz="0" w:space="0" w:color="auto"/>
          </w:divBdr>
        </w:div>
      </w:divsChild>
    </w:div>
    <w:div w:id="1910656443">
      <w:bodyDiv w:val="1"/>
      <w:marLeft w:val="0"/>
      <w:marRight w:val="0"/>
      <w:marTop w:val="0"/>
      <w:marBottom w:val="0"/>
      <w:divBdr>
        <w:top w:val="none" w:sz="0" w:space="0" w:color="auto"/>
        <w:left w:val="none" w:sz="0" w:space="0" w:color="auto"/>
        <w:bottom w:val="none" w:sz="0" w:space="0" w:color="auto"/>
        <w:right w:val="none" w:sz="0" w:space="0" w:color="auto"/>
      </w:divBdr>
    </w:div>
    <w:div w:id="2106729710">
      <w:bodyDiv w:val="1"/>
      <w:marLeft w:val="0"/>
      <w:marRight w:val="0"/>
      <w:marTop w:val="0"/>
      <w:marBottom w:val="0"/>
      <w:divBdr>
        <w:top w:val="none" w:sz="0" w:space="0" w:color="auto"/>
        <w:left w:val="none" w:sz="0" w:space="0" w:color="auto"/>
        <w:bottom w:val="none" w:sz="0" w:space="0" w:color="auto"/>
        <w:right w:val="none" w:sz="0" w:space="0" w:color="auto"/>
      </w:divBdr>
    </w:div>
    <w:div w:id="212665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obert.Aldrich\AppData\Roaming\Microsoft\Windows\Libraries\My%20Document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2790</Words>
  <Characters>15273</Characters>
  <Application>Microsoft Office Word</Application>
  <DocSecurity>0</DocSecurity>
  <Lines>238</Lines>
  <Paragraphs>59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18128</CharactersWithSpaces>
  <SharedDoc>false</SharedDoc>
  <HyperlinkBase> </HyperlinkBase>
  <HLinks>
    <vt:vector size="6" baseType="variant">
      <vt:variant>
        <vt:i4>3604576</vt:i4>
      </vt:variant>
      <vt:variant>
        <vt:i4>0</vt:i4>
      </vt:variant>
      <vt:variant>
        <vt:i4>0</vt:i4>
      </vt:variant>
      <vt:variant>
        <vt:i4>5</vt:i4>
      </vt:variant>
      <vt:variant>
        <vt:lpwstr>http://www.fcc.gov/cgb/dro/trs.html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2015-07-01T19:20:00Z</dcterms:created>
  <dcterms:modified xsi:type="dcterms:W3CDTF">2015-07-01T19:20:00Z</dcterms:modified>
  <cp:category> </cp:category>
  <cp:contentStatus> </cp:contentStatus>
</cp:coreProperties>
</file>