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C4B667" w14:textId="77777777" w:rsidR="00204CE3" w:rsidRDefault="00204CE3">
      <w:pPr>
        <w:rPr>
          <w:sz w:val="22"/>
          <w:szCs w:val="22"/>
        </w:rPr>
      </w:pPr>
      <w:bookmarkStart w:id="0" w:name="_GoBack"/>
      <w:bookmarkEnd w:id="0"/>
    </w:p>
    <w:p w14:paraId="78966FCC" w14:textId="5666A0FF" w:rsidR="00480454" w:rsidRDefault="00480454" w:rsidP="00480454">
      <w:pPr>
        <w:jc w:val="right"/>
        <w:rPr>
          <w:b/>
          <w:sz w:val="22"/>
          <w:szCs w:val="22"/>
        </w:rPr>
      </w:pPr>
      <w:r>
        <w:rPr>
          <w:b/>
          <w:sz w:val="22"/>
          <w:szCs w:val="22"/>
        </w:rPr>
        <w:t>DA 17-</w:t>
      </w:r>
      <w:r w:rsidR="00A94F5E">
        <w:rPr>
          <w:b/>
          <w:sz w:val="22"/>
          <w:szCs w:val="22"/>
        </w:rPr>
        <w:t>350</w:t>
      </w:r>
    </w:p>
    <w:p w14:paraId="3E4BD1E8" w14:textId="77777777" w:rsidR="00480454" w:rsidRDefault="00480454" w:rsidP="00480454">
      <w:pPr>
        <w:jc w:val="right"/>
        <w:rPr>
          <w:b/>
          <w:sz w:val="22"/>
          <w:szCs w:val="22"/>
        </w:rPr>
      </w:pPr>
    </w:p>
    <w:p w14:paraId="7DC0813A" w14:textId="77777777" w:rsidR="00480454" w:rsidRDefault="004D3F0F" w:rsidP="00480454">
      <w:pPr>
        <w:rPr>
          <w:sz w:val="22"/>
          <w:szCs w:val="22"/>
        </w:rPr>
      </w:pPr>
      <w:r>
        <w:rPr>
          <w:sz w:val="22"/>
          <w:szCs w:val="22"/>
        </w:rPr>
        <w:t>David A. O’Connor</w:t>
      </w:r>
    </w:p>
    <w:p w14:paraId="5D2A8701" w14:textId="77777777" w:rsidR="004D3F0F" w:rsidRDefault="004D3F0F" w:rsidP="00480454">
      <w:pPr>
        <w:rPr>
          <w:sz w:val="22"/>
          <w:szCs w:val="22"/>
        </w:rPr>
      </w:pPr>
      <w:r>
        <w:rPr>
          <w:sz w:val="22"/>
          <w:szCs w:val="22"/>
        </w:rPr>
        <w:t>1800 M Street, N.W.</w:t>
      </w:r>
    </w:p>
    <w:p w14:paraId="438A11CC" w14:textId="77777777" w:rsidR="004D3F0F" w:rsidRDefault="004D3F0F" w:rsidP="00480454">
      <w:pPr>
        <w:rPr>
          <w:sz w:val="22"/>
          <w:szCs w:val="22"/>
        </w:rPr>
      </w:pPr>
      <w:r>
        <w:rPr>
          <w:sz w:val="22"/>
          <w:szCs w:val="22"/>
        </w:rPr>
        <w:t>Suite 800N</w:t>
      </w:r>
    </w:p>
    <w:p w14:paraId="22D9902F" w14:textId="77777777" w:rsidR="004D3F0F" w:rsidRDefault="004D3F0F" w:rsidP="00480454">
      <w:pPr>
        <w:rPr>
          <w:sz w:val="22"/>
          <w:szCs w:val="22"/>
        </w:rPr>
      </w:pPr>
      <w:r>
        <w:rPr>
          <w:sz w:val="22"/>
          <w:szCs w:val="22"/>
        </w:rPr>
        <w:t>Washington, DC 20036</w:t>
      </w:r>
    </w:p>
    <w:p w14:paraId="0F7D2315" w14:textId="77777777" w:rsidR="00480454" w:rsidRDefault="00480454" w:rsidP="00480454">
      <w:pPr>
        <w:rPr>
          <w:sz w:val="22"/>
          <w:szCs w:val="22"/>
        </w:rPr>
      </w:pPr>
    </w:p>
    <w:p w14:paraId="4EB7A575" w14:textId="1344870C" w:rsidR="00480454" w:rsidRDefault="00480454" w:rsidP="00FC2660">
      <w:pPr>
        <w:ind w:left="1440" w:hanging="720"/>
        <w:rPr>
          <w:b/>
          <w:sz w:val="22"/>
          <w:szCs w:val="22"/>
        </w:rPr>
      </w:pPr>
      <w:r>
        <w:rPr>
          <w:b/>
          <w:sz w:val="22"/>
          <w:szCs w:val="22"/>
        </w:rPr>
        <w:t>Re:</w:t>
      </w:r>
      <w:r>
        <w:rPr>
          <w:b/>
          <w:sz w:val="22"/>
          <w:szCs w:val="22"/>
        </w:rPr>
        <w:tab/>
      </w:r>
      <w:r w:rsidRPr="00480454">
        <w:rPr>
          <w:b/>
          <w:sz w:val="22"/>
          <w:szCs w:val="22"/>
        </w:rPr>
        <w:t>Telecommunications Relay Services and Speech-to-Speech Services for Individuals with Hearing and Speech Disabilities</w:t>
      </w:r>
      <w:r w:rsidR="00652859">
        <w:rPr>
          <w:b/>
          <w:sz w:val="22"/>
          <w:szCs w:val="22"/>
        </w:rPr>
        <w:t xml:space="preserve">, </w:t>
      </w:r>
      <w:r w:rsidR="00652859" w:rsidRPr="001F1AD4">
        <w:rPr>
          <w:b/>
          <w:sz w:val="22"/>
          <w:szCs w:val="22"/>
        </w:rPr>
        <w:t>CG Docket No. 03-123</w:t>
      </w:r>
      <w:r w:rsidR="00963DF9">
        <w:rPr>
          <w:b/>
          <w:sz w:val="22"/>
          <w:szCs w:val="22"/>
        </w:rPr>
        <w:t>;</w:t>
      </w:r>
      <w:r w:rsidR="00652859">
        <w:rPr>
          <w:b/>
          <w:sz w:val="22"/>
          <w:szCs w:val="22"/>
        </w:rPr>
        <w:t xml:space="preserve"> Waiver of </w:t>
      </w:r>
      <w:r w:rsidR="00BE1F3E">
        <w:rPr>
          <w:b/>
          <w:sz w:val="22"/>
          <w:szCs w:val="22"/>
        </w:rPr>
        <w:t xml:space="preserve">Speed of </w:t>
      </w:r>
      <w:r w:rsidR="0084266C">
        <w:rPr>
          <w:b/>
          <w:sz w:val="22"/>
          <w:szCs w:val="22"/>
        </w:rPr>
        <w:t xml:space="preserve">Answer </w:t>
      </w:r>
      <w:r w:rsidR="00652859">
        <w:rPr>
          <w:b/>
          <w:sz w:val="22"/>
          <w:szCs w:val="22"/>
        </w:rPr>
        <w:t>R</w:t>
      </w:r>
      <w:r w:rsidR="0084266C">
        <w:rPr>
          <w:b/>
          <w:sz w:val="22"/>
          <w:szCs w:val="22"/>
        </w:rPr>
        <w:t>ule</w:t>
      </w:r>
      <w:r w:rsidR="00652859">
        <w:rPr>
          <w:b/>
          <w:sz w:val="22"/>
          <w:szCs w:val="22"/>
        </w:rPr>
        <w:t xml:space="preserve"> </w:t>
      </w:r>
    </w:p>
    <w:p w14:paraId="7653689F" w14:textId="77777777" w:rsidR="00652859" w:rsidRPr="00652859" w:rsidRDefault="00652859" w:rsidP="00652859">
      <w:pPr>
        <w:rPr>
          <w:b/>
          <w:sz w:val="22"/>
          <w:szCs w:val="22"/>
        </w:rPr>
      </w:pPr>
    </w:p>
    <w:p w14:paraId="78E183E9" w14:textId="77777777" w:rsidR="00480454" w:rsidRDefault="00095E7C" w:rsidP="00480454">
      <w:pPr>
        <w:rPr>
          <w:sz w:val="22"/>
          <w:szCs w:val="22"/>
        </w:rPr>
      </w:pPr>
      <w:r>
        <w:rPr>
          <w:sz w:val="22"/>
          <w:szCs w:val="22"/>
        </w:rPr>
        <w:t xml:space="preserve">Dear </w:t>
      </w:r>
      <w:r w:rsidR="00652859">
        <w:rPr>
          <w:sz w:val="22"/>
          <w:szCs w:val="22"/>
        </w:rPr>
        <w:t xml:space="preserve">Mr. </w:t>
      </w:r>
      <w:r w:rsidR="004D3F0F">
        <w:rPr>
          <w:sz w:val="22"/>
          <w:szCs w:val="22"/>
        </w:rPr>
        <w:t>O’Connor</w:t>
      </w:r>
      <w:r w:rsidR="00652859">
        <w:rPr>
          <w:sz w:val="22"/>
          <w:szCs w:val="22"/>
        </w:rPr>
        <w:t>:</w:t>
      </w:r>
    </w:p>
    <w:p w14:paraId="7E8E6E10" w14:textId="77777777" w:rsidR="00652859" w:rsidRDefault="00652859" w:rsidP="00480454">
      <w:pPr>
        <w:rPr>
          <w:sz w:val="22"/>
          <w:szCs w:val="22"/>
        </w:rPr>
      </w:pPr>
    </w:p>
    <w:p w14:paraId="392155B9" w14:textId="1EFA744B" w:rsidR="0084266C" w:rsidRDefault="00652859" w:rsidP="007D6AD4">
      <w:pPr>
        <w:spacing w:after="120"/>
        <w:ind w:firstLine="720"/>
        <w:rPr>
          <w:sz w:val="22"/>
          <w:szCs w:val="22"/>
        </w:rPr>
      </w:pPr>
      <w:r>
        <w:rPr>
          <w:sz w:val="22"/>
          <w:szCs w:val="22"/>
        </w:rPr>
        <w:t xml:space="preserve">This letter order </w:t>
      </w:r>
      <w:r w:rsidR="0084266C">
        <w:rPr>
          <w:sz w:val="22"/>
          <w:szCs w:val="22"/>
        </w:rPr>
        <w:t>grants a waiver of</w:t>
      </w:r>
      <w:r w:rsidR="00E61F61">
        <w:rPr>
          <w:sz w:val="22"/>
          <w:szCs w:val="22"/>
        </w:rPr>
        <w:t xml:space="preserve"> </w:t>
      </w:r>
      <w:r w:rsidR="00BD0C9D">
        <w:rPr>
          <w:sz w:val="22"/>
          <w:szCs w:val="22"/>
        </w:rPr>
        <w:t xml:space="preserve">the Commission’s </w:t>
      </w:r>
      <w:r w:rsidR="00E61F61">
        <w:rPr>
          <w:sz w:val="22"/>
          <w:szCs w:val="22"/>
        </w:rPr>
        <w:t>speed of answer (SOA) rule</w:t>
      </w:r>
      <w:r w:rsidR="0084266C">
        <w:rPr>
          <w:sz w:val="22"/>
          <w:szCs w:val="22"/>
        </w:rPr>
        <w:t xml:space="preserve"> to </w:t>
      </w:r>
      <w:r w:rsidR="004D3F0F">
        <w:rPr>
          <w:sz w:val="22"/>
          <w:szCs w:val="22"/>
        </w:rPr>
        <w:t>Hamilton Relay, Inc.</w:t>
      </w:r>
      <w:r w:rsidR="00E61F61">
        <w:rPr>
          <w:sz w:val="22"/>
          <w:szCs w:val="22"/>
        </w:rPr>
        <w:t xml:space="preserve"> (Hamilton),</w:t>
      </w:r>
      <w:r w:rsidR="0084266C">
        <w:rPr>
          <w:sz w:val="22"/>
          <w:szCs w:val="22"/>
        </w:rPr>
        <w:t xml:space="preserve"> for </w:t>
      </w:r>
      <w:r w:rsidR="0006587A">
        <w:rPr>
          <w:sz w:val="22"/>
          <w:szCs w:val="22"/>
        </w:rPr>
        <w:t xml:space="preserve">Internet Protocol Captioned Telephone Service (IP CTS) </w:t>
      </w:r>
      <w:r w:rsidR="00BD0C9D">
        <w:rPr>
          <w:sz w:val="22"/>
          <w:szCs w:val="22"/>
        </w:rPr>
        <w:t xml:space="preserve">calls handled on </w:t>
      </w:r>
      <w:r w:rsidR="004D3F0F">
        <w:rPr>
          <w:sz w:val="22"/>
          <w:szCs w:val="22"/>
        </w:rPr>
        <w:t>January 7, 2017</w:t>
      </w:r>
      <w:r w:rsidR="002077C6">
        <w:rPr>
          <w:sz w:val="22"/>
          <w:szCs w:val="22"/>
        </w:rPr>
        <w:t xml:space="preserve">, and directs the TRS Fund administrator to pay all compensation </w:t>
      </w:r>
      <w:r w:rsidR="00827F4A">
        <w:rPr>
          <w:sz w:val="22"/>
          <w:szCs w:val="22"/>
        </w:rPr>
        <w:t xml:space="preserve">for these calls </w:t>
      </w:r>
      <w:r w:rsidR="002077C6">
        <w:rPr>
          <w:sz w:val="22"/>
          <w:szCs w:val="22"/>
        </w:rPr>
        <w:t>otherwise due for th</w:t>
      </w:r>
      <w:r w:rsidR="0036502B">
        <w:rPr>
          <w:sz w:val="22"/>
          <w:szCs w:val="22"/>
        </w:rPr>
        <w:t>at</w:t>
      </w:r>
      <w:r w:rsidR="002077C6">
        <w:rPr>
          <w:sz w:val="22"/>
          <w:szCs w:val="22"/>
        </w:rPr>
        <w:t xml:space="preserve"> day</w:t>
      </w:r>
      <w:r w:rsidR="00250468">
        <w:rPr>
          <w:sz w:val="22"/>
          <w:szCs w:val="22"/>
        </w:rPr>
        <w:t>.</w:t>
      </w:r>
      <w:r w:rsidR="005B4E93">
        <w:rPr>
          <w:rStyle w:val="FootnoteReference"/>
          <w:sz w:val="22"/>
          <w:szCs w:val="22"/>
        </w:rPr>
        <w:footnoteReference w:id="1"/>
      </w:r>
      <w:r w:rsidR="00167060">
        <w:rPr>
          <w:sz w:val="22"/>
          <w:szCs w:val="22"/>
        </w:rPr>
        <w:t xml:space="preserve">  </w:t>
      </w:r>
      <w:r w:rsidR="002077C6">
        <w:rPr>
          <w:sz w:val="22"/>
          <w:szCs w:val="22"/>
        </w:rPr>
        <w:t xml:space="preserve">As explained below, we are persuaded that the confluence of two events, first the destruction of </w:t>
      </w:r>
      <w:r w:rsidR="004D3F0F">
        <w:rPr>
          <w:sz w:val="22"/>
          <w:szCs w:val="22"/>
        </w:rPr>
        <w:t>Hamilton</w:t>
      </w:r>
      <w:r w:rsidR="002077C6">
        <w:rPr>
          <w:sz w:val="22"/>
          <w:szCs w:val="22"/>
        </w:rPr>
        <w:t xml:space="preserve">’s </w:t>
      </w:r>
      <w:r w:rsidR="004D3F0F">
        <w:rPr>
          <w:sz w:val="22"/>
          <w:szCs w:val="22"/>
        </w:rPr>
        <w:t xml:space="preserve">Albany, Georgia call center on January 2, 2017, </w:t>
      </w:r>
      <w:r w:rsidR="002077C6">
        <w:rPr>
          <w:sz w:val="22"/>
          <w:szCs w:val="22"/>
        </w:rPr>
        <w:t>and second,</w:t>
      </w:r>
      <w:r w:rsidR="004D3F0F">
        <w:rPr>
          <w:sz w:val="22"/>
          <w:szCs w:val="22"/>
        </w:rPr>
        <w:t xml:space="preserve"> </w:t>
      </w:r>
      <w:r w:rsidR="00E61F61">
        <w:rPr>
          <w:sz w:val="22"/>
          <w:szCs w:val="22"/>
        </w:rPr>
        <w:t>a significant increase in call volume</w:t>
      </w:r>
      <w:r w:rsidR="004D3F0F">
        <w:rPr>
          <w:sz w:val="22"/>
          <w:szCs w:val="22"/>
        </w:rPr>
        <w:t xml:space="preserve"> due to a major ice storm on the east coast</w:t>
      </w:r>
      <w:r w:rsidR="002077C6">
        <w:rPr>
          <w:sz w:val="22"/>
          <w:szCs w:val="22"/>
        </w:rPr>
        <w:t xml:space="preserve"> on January 7, 2017,</w:t>
      </w:r>
      <w:r w:rsidR="00A01029">
        <w:rPr>
          <w:sz w:val="22"/>
          <w:szCs w:val="22"/>
        </w:rPr>
        <w:t xml:space="preserve"> </w:t>
      </w:r>
      <w:r w:rsidR="004D3F0F">
        <w:rPr>
          <w:sz w:val="22"/>
          <w:szCs w:val="22"/>
        </w:rPr>
        <w:t xml:space="preserve">significantly </w:t>
      </w:r>
      <w:r w:rsidR="00167060">
        <w:rPr>
          <w:sz w:val="22"/>
          <w:szCs w:val="22"/>
        </w:rPr>
        <w:t xml:space="preserve">interfered with </w:t>
      </w:r>
      <w:r w:rsidR="00A01029">
        <w:rPr>
          <w:sz w:val="22"/>
          <w:szCs w:val="22"/>
        </w:rPr>
        <w:t xml:space="preserve">Hamilton’s </w:t>
      </w:r>
      <w:r w:rsidR="00167060">
        <w:rPr>
          <w:sz w:val="22"/>
          <w:szCs w:val="22"/>
        </w:rPr>
        <w:t>ability to answer IP CTS</w:t>
      </w:r>
      <w:r w:rsidR="00D71042">
        <w:rPr>
          <w:rStyle w:val="FootnoteReference"/>
          <w:sz w:val="22"/>
          <w:szCs w:val="22"/>
        </w:rPr>
        <w:footnoteReference w:id="2"/>
      </w:r>
      <w:r w:rsidR="00167060">
        <w:rPr>
          <w:sz w:val="22"/>
          <w:szCs w:val="22"/>
        </w:rPr>
        <w:t xml:space="preserve"> </w:t>
      </w:r>
      <w:r w:rsidR="005B4E93">
        <w:rPr>
          <w:sz w:val="22"/>
          <w:szCs w:val="22"/>
        </w:rPr>
        <w:t xml:space="preserve">calls in the time </w:t>
      </w:r>
      <w:r w:rsidR="00167060">
        <w:rPr>
          <w:sz w:val="22"/>
          <w:szCs w:val="22"/>
        </w:rPr>
        <w:t xml:space="preserve">required by </w:t>
      </w:r>
      <w:r w:rsidR="004C3F1B">
        <w:rPr>
          <w:sz w:val="22"/>
          <w:szCs w:val="22"/>
        </w:rPr>
        <w:t xml:space="preserve">the Commission’s </w:t>
      </w:r>
      <w:r w:rsidR="00167060">
        <w:rPr>
          <w:sz w:val="22"/>
          <w:szCs w:val="22"/>
        </w:rPr>
        <w:t>rules</w:t>
      </w:r>
      <w:r w:rsidR="00A01029">
        <w:rPr>
          <w:sz w:val="22"/>
          <w:szCs w:val="22"/>
        </w:rPr>
        <w:t xml:space="preserve">, and provides good cause for this </w:t>
      </w:r>
      <w:r w:rsidR="00E61F61">
        <w:rPr>
          <w:sz w:val="22"/>
          <w:szCs w:val="22"/>
        </w:rPr>
        <w:t>waiver</w:t>
      </w:r>
      <w:r w:rsidR="00A01029">
        <w:rPr>
          <w:sz w:val="22"/>
          <w:szCs w:val="22"/>
        </w:rPr>
        <w:t>.</w:t>
      </w:r>
      <w:r w:rsidR="00E61F61">
        <w:rPr>
          <w:sz w:val="22"/>
          <w:szCs w:val="22"/>
        </w:rPr>
        <w:t xml:space="preserve"> </w:t>
      </w:r>
    </w:p>
    <w:p w14:paraId="4EE26210" w14:textId="4B1B42BA" w:rsidR="00C67A0F" w:rsidRDefault="0084266C" w:rsidP="00045021">
      <w:pPr>
        <w:spacing w:after="120"/>
        <w:ind w:firstLine="720"/>
        <w:rPr>
          <w:sz w:val="22"/>
          <w:szCs w:val="22"/>
        </w:rPr>
      </w:pPr>
      <w:r>
        <w:rPr>
          <w:sz w:val="22"/>
          <w:szCs w:val="22"/>
        </w:rPr>
        <w:t xml:space="preserve">The Commission’s rules require that </w:t>
      </w:r>
      <w:r w:rsidR="007A533D" w:rsidRPr="00183262">
        <w:rPr>
          <w:sz w:val="22"/>
          <w:szCs w:val="22"/>
        </w:rPr>
        <w:t>IP CTS</w:t>
      </w:r>
      <w:r w:rsidR="007A533D">
        <w:rPr>
          <w:sz w:val="22"/>
          <w:szCs w:val="22"/>
        </w:rPr>
        <w:t xml:space="preserve"> </w:t>
      </w:r>
      <w:r>
        <w:rPr>
          <w:sz w:val="22"/>
          <w:szCs w:val="22"/>
        </w:rPr>
        <w:t xml:space="preserve">providers answer 85 percent of all calls within </w:t>
      </w:r>
      <w:r w:rsidR="007A533D" w:rsidRPr="00183262">
        <w:rPr>
          <w:sz w:val="22"/>
          <w:szCs w:val="22"/>
        </w:rPr>
        <w:t>1</w:t>
      </w:r>
      <w:r>
        <w:rPr>
          <w:sz w:val="22"/>
          <w:szCs w:val="22"/>
        </w:rPr>
        <w:t>0 seconds, measured daily</w:t>
      </w:r>
      <w:r w:rsidR="009C5EF0">
        <w:rPr>
          <w:sz w:val="22"/>
          <w:szCs w:val="22"/>
        </w:rPr>
        <w:t xml:space="preserve"> (SOA rule)</w:t>
      </w:r>
      <w:r>
        <w:rPr>
          <w:sz w:val="22"/>
          <w:szCs w:val="22"/>
        </w:rPr>
        <w:t>.</w:t>
      </w:r>
      <w:r>
        <w:rPr>
          <w:rStyle w:val="FootnoteReference"/>
          <w:sz w:val="22"/>
          <w:szCs w:val="22"/>
        </w:rPr>
        <w:footnoteReference w:id="3"/>
      </w:r>
      <w:r w:rsidR="00826FA6">
        <w:rPr>
          <w:sz w:val="22"/>
          <w:szCs w:val="22"/>
        </w:rPr>
        <w:t xml:space="preserve">  </w:t>
      </w:r>
      <w:r w:rsidR="00A01029">
        <w:rPr>
          <w:sz w:val="22"/>
          <w:szCs w:val="22"/>
        </w:rPr>
        <w:t xml:space="preserve">Our rules </w:t>
      </w:r>
      <w:r w:rsidR="00A01029" w:rsidRPr="004870BD">
        <w:rPr>
          <w:sz w:val="22"/>
          <w:szCs w:val="22"/>
        </w:rPr>
        <w:t xml:space="preserve">further require that TRS providers </w:t>
      </w:r>
      <w:r w:rsidR="00A01029">
        <w:rPr>
          <w:sz w:val="22"/>
          <w:szCs w:val="22"/>
        </w:rPr>
        <w:t>“</w:t>
      </w:r>
      <w:r w:rsidR="00A01029" w:rsidRPr="004870BD">
        <w:rPr>
          <w:sz w:val="22"/>
          <w:szCs w:val="22"/>
        </w:rPr>
        <w:t>ensure adequate TRS facility staffing to provide callers with efficient access under projected calling volumes, so that the probability of a busy response due to CA unavailability shall be functionally equivalent to what a voice caller would experience in attempting to reach a party through the voice telephone network.”</w:t>
      </w:r>
      <w:r w:rsidR="00906246">
        <w:rPr>
          <w:rStyle w:val="FootnoteReference"/>
          <w:sz w:val="22"/>
          <w:szCs w:val="22"/>
        </w:rPr>
        <w:footnoteReference w:id="4"/>
      </w:r>
      <w:r w:rsidR="00A01029">
        <w:rPr>
          <w:sz w:val="22"/>
          <w:szCs w:val="22"/>
        </w:rPr>
        <w:t xml:space="preserve">  </w:t>
      </w:r>
      <w:r w:rsidR="004D3F0F">
        <w:rPr>
          <w:sz w:val="22"/>
          <w:szCs w:val="22"/>
        </w:rPr>
        <w:t xml:space="preserve">Hamilton </w:t>
      </w:r>
      <w:r w:rsidR="00963DF9">
        <w:rPr>
          <w:sz w:val="22"/>
          <w:szCs w:val="22"/>
        </w:rPr>
        <w:t xml:space="preserve">does not contest </w:t>
      </w:r>
      <w:r w:rsidR="004D3F0F">
        <w:rPr>
          <w:sz w:val="22"/>
          <w:szCs w:val="22"/>
        </w:rPr>
        <w:t>that it failed to meet the SOA metric on January 7, 2017</w:t>
      </w:r>
      <w:r w:rsidR="009C5EF0">
        <w:rPr>
          <w:sz w:val="22"/>
          <w:szCs w:val="22"/>
        </w:rPr>
        <w:t>.  Instead,</w:t>
      </w:r>
      <w:r w:rsidR="004D3F0F">
        <w:rPr>
          <w:sz w:val="22"/>
          <w:szCs w:val="22"/>
        </w:rPr>
        <w:t xml:space="preserve"> Hamilton</w:t>
      </w:r>
      <w:r w:rsidR="009C5EF0">
        <w:rPr>
          <w:sz w:val="22"/>
          <w:szCs w:val="22"/>
        </w:rPr>
        <w:t xml:space="preserve"> requests that the Commission waive the SOA rule</w:t>
      </w:r>
      <w:r w:rsidR="00E40519">
        <w:rPr>
          <w:sz w:val="22"/>
          <w:szCs w:val="22"/>
        </w:rPr>
        <w:t xml:space="preserve"> for that day</w:t>
      </w:r>
      <w:r w:rsidR="004D3F0F">
        <w:rPr>
          <w:sz w:val="22"/>
          <w:szCs w:val="22"/>
        </w:rPr>
        <w:t>.</w:t>
      </w:r>
      <w:r w:rsidR="00E61F61">
        <w:rPr>
          <w:rStyle w:val="FootnoteReference"/>
          <w:sz w:val="22"/>
          <w:szCs w:val="22"/>
        </w:rPr>
        <w:footnoteReference w:id="5"/>
      </w:r>
    </w:p>
    <w:p w14:paraId="7CF06E9D" w14:textId="75AE916E" w:rsidR="00A01029" w:rsidRDefault="00A01029" w:rsidP="00045021">
      <w:pPr>
        <w:spacing w:after="120"/>
        <w:ind w:firstLine="720"/>
        <w:rPr>
          <w:sz w:val="22"/>
          <w:szCs w:val="22"/>
        </w:rPr>
      </w:pPr>
      <w:r w:rsidRPr="00292A64">
        <w:rPr>
          <w:sz w:val="22"/>
          <w:szCs w:val="22"/>
        </w:rPr>
        <w:t>A Commission rule may be waived for “good cause shown.”</w:t>
      </w:r>
      <w:r w:rsidRPr="00E76ECA">
        <w:rPr>
          <w:sz w:val="22"/>
          <w:szCs w:val="22"/>
          <w:vertAlign w:val="superscript"/>
        </w:rPr>
        <w:footnoteReference w:id="6"/>
      </w:r>
      <w:r w:rsidRPr="00E76ECA">
        <w:rPr>
          <w:sz w:val="22"/>
          <w:szCs w:val="22"/>
        </w:rPr>
        <w:t xml:space="preserve">  In particular, a waiver is appropriate where the particular facts make strict compliance inconsistent with the public interest.</w:t>
      </w:r>
      <w:r w:rsidRPr="00E76ECA">
        <w:rPr>
          <w:sz w:val="22"/>
          <w:szCs w:val="22"/>
          <w:vertAlign w:val="superscript"/>
        </w:rPr>
        <w:footnoteReference w:id="7"/>
      </w:r>
      <w:r>
        <w:rPr>
          <w:sz w:val="22"/>
          <w:szCs w:val="22"/>
          <w:vertAlign w:val="superscript"/>
        </w:rPr>
        <w:t xml:space="preserve"> </w:t>
      </w:r>
      <w:r>
        <w:rPr>
          <w:sz w:val="22"/>
          <w:szCs w:val="22"/>
        </w:rPr>
        <w:t xml:space="preserve"> </w:t>
      </w:r>
      <w:r w:rsidRPr="00E76ECA">
        <w:rPr>
          <w:sz w:val="22"/>
          <w:szCs w:val="22"/>
        </w:rPr>
        <w:t xml:space="preserve">In </w:t>
      </w:r>
      <w:r w:rsidRPr="00E76ECA">
        <w:rPr>
          <w:sz w:val="22"/>
          <w:szCs w:val="22"/>
        </w:rPr>
        <w:lastRenderedPageBreak/>
        <w:t>addition, the Commission may take into account considerations of hardship, equity, or more effective implementation of overall policy on an individual basis.</w:t>
      </w:r>
      <w:r w:rsidRPr="00E76ECA">
        <w:rPr>
          <w:sz w:val="22"/>
          <w:szCs w:val="22"/>
          <w:vertAlign w:val="superscript"/>
        </w:rPr>
        <w:footnoteReference w:id="8"/>
      </w:r>
      <w:r w:rsidRPr="00E76ECA">
        <w:rPr>
          <w:sz w:val="22"/>
          <w:szCs w:val="22"/>
          <w:vertAlign w:val="superscript"/>
        </w:rPr>
        <w:t xml:space="preserve"> </w:t>
      </w:r>
      <w:r w:rsidRPr="00E76ECA">
        <w:rPr>
          <w:sz w:val="22"/>
          <w:szCs w:val="22"/>
        </w:rPr>
        <w:t xml:space="preserve"> Waiver of a Commission rule is therefore appropriate if special circumstances warrant a deviation from the general rule and such deviation will serve the public interest.</w:t>
      </w:r>
      <w:r w:rsidRPr="00E76ECA">
        <w:rPr>
          <w:sz w:val="22"/>
          <w:szCs w:val="22"/>
          <w:vertAlign w:val="superscript"/>
        </w:rPr>
        <w:footnoteReference w:id="9"/>
      </w:r>
      <w:r>
        <w:rPr>
          <w:sz w:val="22"/>
          <w:szCs w:val="22"/>
        </w:rPr>
        <w:t xml:space="preserve">  Applying the waiver standard, under</w:t>
      </w:r>
      <w:r w:rsidRPr="00E76ECA">
        <w:rPr>
          <w:sz w:val="22"/>
          <w:szCs w:val="22"/>
        </w:rPr>
        <w:t xml:space="preserve"> </w:t>
      </w:r>
      <w:r>
        <w:rPr>
          <w:sz w:val="22"/>
          <w:szCs w:val="22"/>
        </w:rPr>
        <w:t xml:space="preserve">the </w:t>
      </w:r>
      <w:r w:rsidRPr="00E76ECA">
        <w:rPr>
          <w:sz w:val="22"/>
          <w:szCs w:val="22"/>
        </w:rPr>
        <w:t xml:space="preserve">particular circumstances </w:t>
      </w:r>
      <w:r>
        <w:rPr>
          <w:sz w:val="22"/>
          <w:szCs w:val="22"/>
        </w:rPr>
        <w:t>here</w:t>
      </w:r>
      <w:r w:rsidRPr="00E76ECA">
        <w:rPr>
          <w:sz w:val="22"/>
          <w:szCs w:val="22"/>
        </w:rPr>
        <w:t>, we find</w:t>
      </w:r>
      <w:r>
        <w:rPr>
          <w:sz w:val="22"/>
          <w:szCs w:val="22"/>
        </w:rPr>
        <w:t xml:space="preserve"> that Hamilton has shown good cause for a waiver of the SOA rule for January 7, 2017.  </w:t>
      </w:r>
    </w:p>
    <w:p w14:paraId="643F4089" w14:textId="1D2F0C35" w:rsidR="00C67A0F" w:rsidRDefault="007A533D" w:rsidP="00045021">
      <w:pPr>
        <w:spacing w:after="120"/>
        <w:ind w:firstLine="720"/>
        <w:rPr>
          <w:sz w:val="22"/>
          <w:szCs w:val="22"/>
        </w:rPr>
      </w:pPr>
      <w:r>
        <w:rPr>
          <w:sz w:val="22"/>
          <w:szCs w:val="22"/>
        </w:rPr>
        <w:t>According to Hamilton’s petition, o</w:t>
      </w:r>
      <w:r w:rsidRPr="007A533D">
        <w:rPr>
          <w:sz w:val="22"/>
          <w:szCs w:val="22"/>
        </w:rPr>
        <w:t xml:space="preserve">n January 2, 2017, a severe storm destroyed </w:t>
      </w:r>
      <w:r w:rsidR="00A01029">
        <w:rPr>
          <w:sz w:val="22"/>
          <w:szCs w:val="22"/>
        </w:rPr>
        <w:t xml:space="preserve">Hamilton’s largest </w:t>
      </w:r>
      <w:r w:rsidR="00C67A0F">
        <w:rPr>
          <w:sz w:val="22"/>
          <w:szCs w:val="22"/>
        </w:rPr>
        <w:t xml:space="preserve">IP-CTS </w:t>
      </w:r>
      <w:r w:rsidR="00A01029">
        <w:rPr>
          <w:sz w:val="22"/>
          <w:szCs w:val="22"/>
        </w:rPr>
        <w:t xml:space="preserve">call </w:t>
      </w:r>
      <w:r w:rsidR="00C67A0F">
        <w:rPr>
          <w:sz w:val="22"/>
          <w:szCs w:val="22"/>
        </w:rPr>
        <w:t>center in Albany, Georgia</w:t>
      </w:r>
      <w:r>
        <w:rPr>
          <w:sz w:val="22"/>
          <w:szCs w:val="22"/>
        </w:rPr>
        <w:t xml:space="preserve">, </w:t>
      </w:r>
      <w:r w:rsidR="00A01029">
        <w:rPr>
          <w:sz w:val="22"/>
          <w:szCs w:val="22"/>
        </w:rPr>
        <w:t xml:space="preserve">a center that had been </w:t>
      </w:r>
      <w:r w:rsidR="00C67A0F">
        <w:rPr>
          <w:sz w:val="22"/>
          <w:szCs w:val="22"/>
        </w:rPr>
        <w:t>staff</w:t>
      </w:r>
      <w:r w:rsidR="00A01029">
        <w:rPr>
          <w:sz w:val="22"/>
          <w:szCs w:val="22"/>
        </w:rPr>
        <w:t>ed by</w:t>
      </w:r>
      <w:r w:rsidR="00C67A0F">
        <w:rPr>
          <w:sz w:val="22"/>
          <w:szCs w:val="22"/>
        </w:rPr>
        <w:t xml:space="preserve"> 225</w:t>
      </w:r>
      <w:r w:rsidR="00A01029">
        <w:rPr>
          <w:sz w:val="22"/>
          <w:szCs w:val="22"/>
        </w:rPr>
        <w:t xml:space="preserve"> communications assistants</w:t>
      </w:r>
      <w:r w:rsidR="009C20C6">
        <w:rPr>
          <w:sz w:val="22"/>
          <w:szCs w:val="22"/>
        </w:rPr>
        <w:t>.</w:t>
      </w:r>
      <w:r w:rsidR="00C67A0F">
        <w:rPr>
          <w:rStyle w:val="FootnoteReference"/>
          <w:sz w:val="22"/>
          <w:szCs w:val="22"/>
        </w:rPr>
        <w:footnoteReference w:id="10"/>
      </w:r>
      <w:r w:rsidR="00C67A0F">
        <w:rPr>
          <w:sz w:val="22"/>
          <w:szCs w:val="22"/>
        </w:rPr>
        <w:t xml:space="preserve">  Hamilton </w:t>
      </w:r>
      <w:r w:rsidR="00A01029">
        <w:rPr>
          <w:sz w:val="22"/>
          <w:szCs w:val="22"/>
        </w:rPr>
        <w:t xml:space="preserve">reports that it </w:t>
      </w:r>
      <w:r w:rsidR="00C67A0F">
        <w:rPr>
          <w:sz w:val="22"/>
          <w:szCs w:val="22"/>
        </w:rPr>
        <w:t>immediately began increasing staff at other call centers in order to process incoming IP CTS calls.  To that end, Hamilton offered its Georgia employees incentives to work at call centers in two other states, on a temporary basis.</w:t>
      </w:r>
      <w:r w:rsidR="00C67A0F">
        <w:rPr>
          <w:rStyle w:val="FootnoteReference"/>
          <w:sz w:val="22"/>
          <w:szCs w:val="22"/>
        </w:rPr>
        <w:footnoteReference w:id="11"/>
      </w:r>
      <w:r w:rsidR="00C67A0F">
        <w:rPr>
          <w:sz w:val="22"/>
          <w:szCs w:val="22"/>
        </w:rPr>
        <w:t xml:space="preserve">  Hamilton states that these steps enabled it to meet the SOA requirement </w:t>
      </w:r>
      <w:r w:rsidR="00102C73">
        <w:rPr>
          <w:sz w:val="22"/>
          <w:szCs w:val="22"/>
        </w:rPr>
        <w:t xml:space="preserve">from </w:t>
      </w:r>
      <w:r w:rsidR="00C67A0F">
        <w:rPr>
          <w:sz w:val="22"/>
          <w:szCs w:val="22"/>
        </w:rPr>
        <w:t>January 2 through January 6</w:t>
      </w:r>
      <w:r w:rsidR="00102C73">
        <w:rPr>
          <w:sz w:val="22"/>
          <w:szCs w:val="22"/>
        </w:rPr>
        <w:t xml:space="preserve"> despite the sudden decrease in available staff.</w:t>
      </w:r>
      <w:r w:rsidR="00C67A0F">
        <w:rPr>
          <w:rStyle w:val="FootnoteReference"/>
          <w:sz w:val="22"/>
          <w:szCs w:val="22"/>
        </w:rPr>
        <w:footnoteReference w:id="12"/>
      </w:r>
      <w:r w:rsidR="00E61F61">
        <w:rPr>
          <w:sz w:val="22"/>
          <w:szCs w:val="22"/>
        </w:rPr>
        <w:t xml:space="preserve">  </w:t>
      </w:r>
      <w:r w:rsidR="00102C73">
        <w:rPr>
          <w:sz w:val="22"/>
          <w:szCs w:val="22"/>
        </w:rPr>
        <w:t>On January 7, h</w:t>
      </w:r>
      <w:r w:rsidR="00E61F61">
        <w:rPr>
          <w:sz w:val="22"/>
          <w:szCs w:val="22"/>
        </w:rPr>
        <w:t xml:space="preserve">owever, </w:t>
      </w:r>
      <w:r w:rsidR="00AC332A">
        <w:rPr>
          <w:sz w:val="22"/>
          <w:szCs w:val="22"/>
        </w:rPr>
        <w:t>Hamilton missed the SOA metric</w:t>
      </w:r>
      <w:r w:rsidR="009C20C6">
        <w:rPr>
          <w:sz w:val="22"/>
          <w:szCs w:val="22"/>
        </w:rPr>
        <w:t xml:space="preserve">, </w:t>
      </w:r>
      <w:r w:rsidR="005C2C9D">
        <w:rPr>
          <w:sz w:val="22"/>
          <w:szCs w:val="22"/>
        </w:rPr>
        <w:t xml:space="preserve">as a result of </w:t>
      </w:r>
      <w:r w:rsidR="009C20C6">
        <w:rPr>
          <w:sz w:val="22"/>
          <w:szCs w:val="22"/>
        </w:rPr>
        <w:t>a significantly increased volume of calls</w:t>
      </w:r>
      <w:r w:rsidR="005C2C9D">
        <w:rPr>
          <w:sz w:val="22"/>
          <w:szCs w:val="22"/>
        </w:rPr>
        <w:t xml:space="preserve"> that appeared to be caused by a major ice storm on the east coast</w:t>
      </w:r>
      <w:r w:rsidR="00AC332A">
        <w:rPr>
          <w:sz w:val="22"/>
          <w:szCs w:val="22"/>
        </w:rPr>
        <w:t>.</w:t>
      </w:r>
      <w:r w:rsidR="00E61F61">
        <w:rPr>
          <w:rStyle w:val="FootnoteReference"/>
          <w:sz w:val="22"/>
          <w:szCs w:val="22"/>
        </w:rPr>
        <w:footnoteReference w:id="13"/>
      </w:r>
    </w:p>
    <w:p w14:paraId="5501F859" w14:textId="27CDE6BD" w:rsidR="00AD524E" w:rsidRDefault="00B03F9F" w:rsidP="007D6AD4">
      <w:pPr>
        <w:spacing w:after="120"/>
        <w:ind w:firstLine="720"/>
        <w:rPr>
          <w:sz w:val="22"/>
          <w:szCs w:val="22"/>
        </w:rPr>
      </w:pPr>
      <w:r w:rsidRPr="00B03F9F">
        <w:rPr>
          <w:sz w:val="22"/>
          <w:szCs w:val="22"/>
        </w:rPr>
        <w:t>As the Commission</w:t>
      </w:r>
      <w:r>
        <w:rPr>
          <w:sz w:val="22"/>
          <w:szCs w:val="22"/>
        </w:rPr>
        <w:t xml:space="preserve"> </w:t>
      </w:r>
      <w:r w:rsidRPr="00B03F9F">
        <w:rPr>
          <w:sz w:val="22"/>
          <w:szCs w:val="22"/>
        </w:rPr>
        <w:t xml:space="preserve">has previously explained, TRS providers </w:t>
      </w:r>
      <w:r w:rsidR="00A01029">
        <w:rPr>
          <w:sz w:val="22"/>
          <w:szCs w:val="22"/>
        </w:rPr>
        <w:t>are required to ensure adequate staffing to achieve service that is functionally equivalent to that experienced by voice telephone users,</w:t>
      </w:r>
      <w:r w:rsidR="00A01029" w:rsidRPr="004870BD">
        <w:rPr>
          <w:rStyle w:val="FootnoteReference"/>
          <w:sz w:val="22"/>
          <w:szCs w:val="22"/>
        </w:rPr>
        <w:footnoteReference w:id="14"/>
      </w:r>
      <w:r w:rsidR="00A01029">
        <w:rPr>
          <w:sz w:val="22"/>
          <w:szCs w:val="22"/>
        </w:rPr>
        <w:t xml:space="preserve"> and to engage </w:t>
      </w:r>
      <w:r w:rsidRPr="00B03F9F">
        <w:rPr>
          <w:sz w:val="22"/>
          <w:szCs w:val="22"/>
        </w:rPr>
        <w:t>in intelligent planning for network design and CA</w:t>
      </w:r>
      <w:r>
        <w:rPr>
          <w:sz w:val="22"/>
          <w:szCs w:val="22"/>
        </w:rPr>
        <w:t xml:space="preserve"> </w:t>
      </w:r>
      <w:r w:rsidRPr="00B03F9F">
        <w:rPr>
          <w:sz w:val="22"/>
          <w:szCs w:val="22"/>
        </w:rPr>
        <w:t xml:space="preserve">staffing, consistent with the Commission’s blocked-call standard, </w:t>
      </w:r>
      <w:r w:rsidR="00A01029">
        <w:rPr>
          <w:sz w:val="22"/>
          <w:szCs w:val="22"/>
        </w:rPr>
        <w:t xml:space="preserve">so that they do </w:t>
      </w:r>
      <w:r w:rsidRPr="00B03F9F">
        <w:rPr>
          <w:sz w:val="22"/>
          <w:szCs w:val="22"/>
        </w:rPr>
        <w:t>not have difficulty meeting the</w:t>
      </w:r>
      <w:r>
        <w:rPr>
          <w:sz w:val="22"/>
          <w:szCs w:val="22"/>
        </w:rPr>
        <w:t xml:space="preserve"> </w:t>
      </w:r>
      <w:r w:rsidRPr="00B03F9F">
        <w:rPr>
          <w:sz w:val="22"/>
          <w:szCs w:val="22"/>
        </w:rPr>
        <w:t>minimum SOA standard, absent extraordinary circumstances.</w:t>
      </w:r>
      <w:r>
        <w:rPr>
          <w:rStyle w:val="FootnoteReference"/>
          <w:sz w:val="22"/>
          <w:szCs w:val="22"/>
        </w:rPr>
        <w:footnoteReference w:id="15"/>
      </w:r>
      <w:r>
        <w:rPr>
          <w:sz w:val="22"/>
          <w:szCs w:val="22"/>
        </w:rPr>
        <w:t xml:space="preserve">  </w:t>
      </w:r>
      <w:r w:rsidR="0003597F">
        <w:rPr>
          <w:sz w:val="22"/>
          <w:szCs w:val="22"/>
        </w:rPr>
        <w:t xml:space="preserve">Nevertheless, </w:t>
      </w:r>
      <w:r w:rsidR="00D71042">
        <w:rPr>
          <w:sz w:val="22"/>
          <w:szCs w:val="22"/>
        </w:rPr>
        <w:t xml:space="preserve">we find that </w:t>
      </w:r>
      <w:r w:rsidR="0022640A">
        <w:rPr>
          <w:sz w:val="22"/>
          <w:szCs w:val="22"/>
        </w:rPr>
        <w:t xml:space="preserve">extraordinary circumstances are present in this case.  </w:t>
      </w:r>
      <w:r w:rsidR="00AC332A">
        <w:rPr>
          <w:sz w:val="22"/>
          <w:szCs w:val="22"/>
        </w:rPr>
        <w:t xml:space="preserve">Hamilton could not </w:t>
      </w:r>
      <w:r w:rsidR="0022640A">
        <w:rPr>
          <w:sz w:val="22"/>
          <w:szCs w:val="22"/>
        </w:rPr>
        <w:t>have foreseen</w:t>
      </w:r>
      <w:r w:rsidR="00AC332A">
        <w:rPr>
          <w:sz w:val="22"/>
          <w:szCs w:val="22"/>
        </w:rPr>
        <w:t xml:space="preserve"> the </w:t>
      </w:r>
      <w:r w:rsidR="00AE3127">
        <w:rPr>
          <w:sz w:val="22"/>
          <w:szCs w:val="22"/>
        </w:rPr>
        <w:t xml:space="preserve">sudden </w:t>
      </w:r>
      <w:r w:rsidR="00AC332A">
        <w:rPr>
          <w:sz w:val="22"/>
          <w:szCs w:val="22"/>
        </w:rPr>
        <w:t xml:space="preserve">destruction of </w:t>
      </w:r>
      <w:r w:rsidR="0022640A">
        <w:rPr>
          <w:sz w:val="22"/>
          <w:szCs w:val="22"/>
        </w:rPr>
        <w:t xml:space="preserve">its largest </w:t>
      </w:r>
      <w:r w:rsidR="00AC332A">
        <w:rPr>
          <w:sz w:val="22"/>
          <w:szCs w:val="22"/>
        </w:rPr>
        <w:t xml:space="preserve">call center, which left it without 225 employees </w:t>
      </w:r>
      <w:r w:rsidR="00A01029">
        <w:rPr>
          <w:sz w:val="22"/>
          <w:szCs w:val="22"/>
        </w:rPr>
        <w:t xml:space="preserve">as of </w:t>
      </w:r>
      <w:r w:rsidR="00AC332A">
        <w:rPr>
          <w:sz w:val="22"/>
          <w:szCs w:val="22"/>
        </w:rPr>
        <w:t>January 2</w:t>
      </w:r>
      <w:r w:rsidR="0006587A">
        <w:rPr>
          <w:sz w:val="22"/>
          <w:szCs w:val="22"/>
        </w:rPr>
        <w:t>,</w:t>
      </w:r>
      <w:r w:rsidR="00590B3B">
        <w:rPr>
          <w:sz w:val="22"/>
          <w:szCs w:val="22"/>
        </w:rPr>
        <w:t xml:space="preserve"> </w:t>
      </w:r>
      <w:r w:rsidR="0006587A">
        <w:rPr>
          <w:sz w:val="22"/>
          <w:szCs w:val="22"/>
        </w:rPr>
        <w:t>n</w:t>
      </w:r>
      <w:r w:rsidR="00590B3B">
        <w:rPr>
          <w:sz w:val="22"/>
          <w:szCs w:val="22"/>
        </w:rPr>
        <w:t>or the unanticipated spike in call volume resulting from the east coast ice storm</w:t>
      </w:r>
      <w:r w:rsidR="0006587A">
        <w:rPr>
          <w:sz w:val="22"/>
          <w:szCs w:val="22"/>
        </w:rPr>
        <w:t>, which</w:t>
      </w:r>
      <w:r w:rsidR="00590B3B">
        <w:rPr>
          <w:sz w:val="22"/>
          <w:szCs w:val="22"/>
        </w:rPr>
        <w:t xml:space="preserve"> occurred only </w:t>
      </w:r>
      <w:r w:rsidR="00AC332A">
        <w:rPr>
          <w:sz w:val="22"/>
          <w:szCs w:val="22"/>
        </w:rPr>
        <w:t xml:space="preserve">five days </w:t>
      </w:r>
      <w:r w:rsidR="00EB0C79">
        <w:rPr>
          <w:sz w:val="22"/>
          <w:szCs w:val="22"/>
        </w:rPr>
        <w:t xml:space="preserve">later </w:t>
      </w:r>
      <w:r w:rsidR="00590B3B">
        <w:rPr>
          <w:sz w:val="22"/>
          <w:szCs w:val="22"/>
        </w:rPr>
        <w:t>while this center was still down.</w:t>
      </w:r>
      <w:r w:rsidR="00E61F61">
        <w:rPr>
          <w:rStyle w:val="FootnoteReference"/>
          <w:sz w:val="22"/>
          <w:szCs w:val="22"/>
        </w:rPr>
        <w:footnoteReference w:id="16"/>
      </w:r>
      <w:r w:rsidR="00AC332A">
        <w:rPr>
          <w:sz w:val="22"/>
          <w:szCs w:val="22"/>
        </w:rPr>
        <w:t xml:space="preserve">  </w:t>
      </w:r>
      <w:r w:rsidR="0022640A">
        <w:rPr>
          <w:sz w:val="22"/>
          <w:szCs w:val="22"/>
        </w:rPr>
        <w:t xml:space="preserve">It is also relevant that </w:t>
      </w:r>
      <w:r w:rsidR="00AC332A">
        <w:rPr>
          <w:sz w:val="22"/>
          <w:szCs w:val="22"/>
        </w:rPr>
        <w:t>Hamilton</w:t>
      </w:r>
      <w:r w:rsidR="0003597F">
        <w:rPr>
          <w:sz w:val="22"/>
          <w:szCs w:val="22"/>
        </w:rPr>
        <w:t xml:space="preserve"> took </w:t>
      </w:r>
      <w:r w:rsidR="0022640A">
        <w:rPr>
          <w:sz w:val="22"/>
          <w:szCs w:val="22"/>
        </w:rPr>
        <w:t xml:space="preserve">immediate </w:t>
      </w:r>
      <w:r w:rsidR="00A824D6">
        <w:rPr>
          <w:sz w:val="22"/>
          <w:szCs w:val="22"/>
        </w:rPr>
        <w:t>action to</w:t>
      </w:r>
      <w:r w:rsidR="0003597F">
        <w:rPr>
          <w:sz w:val="22"/>
          <w:szCs w:val="22"/>
        </w:rPr>
        <w:t xml:space="preserve"> mitiga</w:t>
      </w:r>
      <w:r w:rsidR="00AC332A">
        <w:rPr>
          <w:sz w:val="22"/>
          <w:szCs w:val="22"/>
        </w:rPr>
        <w:t xml:space="preserve">te </w:t>
      </w:r>
      <w:r w:rsidR="0006587A">
        <w:rPr>
          <w:sz w:val="22"/>
          <w:szCs w:val="22"/>
        </w:rPr>
        <w:t>its reduction in staff</w:t>
      </w:r>
      <w:r w:rsidR="00EF7D60">
        <w:rPr>
          <w:sz w:val="22"/>
          <w:szCs w:val="22"/>
        </w:rPr>
        <w:t>,</w:t>
      </w:r>
      <w:r w:rsidR="00AC332A">
        <w:rPr>
          <w:rStyle w:val="FootnoteReference"/>
          <w:sz w:val="22"/>
          <w:szCs w:val="22"/>
        </w:rPr>
        <w:footnoteReference w:id="17"/>
      </w:r>
      <w:r w:rsidR="0022640A">
        <w:rPr>
          <w:sz w:val="22"/>
          <w:szCs w:val="22"/>
        </w:rPr>
        <w:t xml:space="preserve"> and </w:t>
      </w:r>
      <w:r w:rsidR="00F949A5">
        <w:rPr>
          <w:sz w:val="22"/>
          <w:szCs w:val="22"/>
        </w:rPr>
        <w:t xml:space="preserve">actually met the SOA standard in the wake of the destruction of its call center.  It only </w:t>
      </w:r>
      <w:r w:rsidR="0022640A">
        <w:rPr>
          <w:sz w:val="22"/>
          <w:szCs w:val="22"/>
        </w:rPr>
        <w:t>failed to meet the SOA standard on January 7,</w:t>
      </w:r>
      <w:r w:rsidR="00F949A5">
        <w:rPr>
          <w:sz w:val="22"/>
          <w:szCs w:val="22"/>
        </w:rPr>
        <w:t xml:space="preserve"> when suddenly hit with a second weather event that</w:t>
      </w:r>
      <w:r w:rsidR="006312EE">
        <w:rPr>
          <w:sz w:val="22"/>
          <w:szCs w:val="22"/>
        </w:rPr>
        <w:t xml:space="preserve"> Hamilton</w:t>
      </w:r>
      <w:r w:rsidR="00F949A5">
        <w:rPr>
          <w:sz w:val="22"/>
          <w:szCs w:val="22"/>
        </w:rPr>
        <w:t xml:space="preserve"> could not reasonably </w:t>
      </w:r>
      <w:r w:rsidR="00CE05E5">
        <w:rPr>
          <w:sz w:val="22"/>
          <w:szCs w:val="22"/>
        </w:rPr>
        <w:t xml:space="preserve">have </w:t>
      </w:r>
      <w:r w:rsidR="00F949A5">
        <w:rPr>
          <w:sz w:val="22"/>
          <w:szCs w:val="22"/>
        </w:rPr>
        <w:t>foreseen.  Further, despite being dealt this “second whammy,” Hamilton quickly took steps to ensure compliance with the SOA rule by the very next day</w:t>
      </w:r>
      <w:r w:rsidR="006312EE">
        <w:rPr>
          <w:sz w:val="22"/>
          <w:szCs w:val="22"/>
        </w:rPr>
        <w:t xml:space="preserve">. </w:t>
      </w:r>
      <w:r w:rsidR="0003597F">
        <w:rPr>
          <w:sz w:val="22"/>
          <w:szCs w:val="22"/>
        </w:rPr>
        <w:t xml:space="preserve"> </w:t>
      </w:r>
      <w:r w:rsidR="0022640A">
        <w:rPr>
          <w:sz w:val="22"/>
          <w:szCs w:val="22"/>
        </w:rPr>
        <w:t xml:space="preserve">In these unusual circumstances, we find that demanding </w:t>
      </w:r>
      <w:r w:rsidR="0022640A" w:rsidRPr="0022640A">
        <w:rPr>
          <w:sz w:val="22"/>
          <w:szCs w:val="22"/>
        </w:rPr>
        <w:t xml:space="preserve">strict compliance </w:t>
      </w:r>
      <w:r w:rsidR="0022640A">
        <w:rPr>
          <w:sz w:val="22"/>
          <w:szCs w:val="22"/>
        </w:rPr>
        <w:t xml:space="preserve">with the SOA rule </w:t>
      </w:r>
      <w:r w:rsidR="0022640A" w:rsidRPr="0022640A">
        <w:rPr>
          <w:sz w:val="22"/>
          <w:szCs w:val="22"/>
        </w:rPr>
        <w:t>would be inconsistent with the public interest and that a waiver is appropriate.</w:t>
      </w:r>
      <w:r w:rsidR="00D71042">
        <w:rPr>
          <w:sz w:val="22"/>
          <w:szCs w:val="22"/>
        </w:rPr>
        <w:t xml:space="preserve">  </w:t>
      </w:r>
    </w:p>
    <w:p w14:paraId="2E22A21A" w14:textId="7B98093E" w:rsidR="005D7B33" w:rsidRPr="00E76ECA" w:rsidRDefault="00A824D6" w:rsidP="007D6AD4">
      <w:pPr>
        <w:spacing w:after="120"/>
        <w:rPr>
          <w:sz w:val="22"/>
          <w:szCs w:val="22"/>
        </w:rPr>
      </w:pPr>
      <w:r w:rsidRPr="00E76ECA">
        <w:rPr>
          <w:sz w:val="22"/>
          <w:szCs w:val="22"/>
        </w:rPr>
        <w:lastRenderedPageBreak/>
        <w:tab/>
      </w:r>
      <w:r w:rsidR="005D7B33" w:rsidRPr="00E76ECA">
        <w:rPr>
          <w:sz w:val="22"/>
          <w:szCs w:val="22"/>
        </w:rPr>
        <w:t xml:space="preserve">Accordingly, IT IS ORDERED that, pursuant to </w:t>
      </w:r>
      <w:r w:rsidR="005D7B33">
        <w:rPr>
          <w:sz w:val="22"/>
          <w:szCs w:val="22"/>
        </w:rPr>
        <w:t>s</w:t>
      </w:r>
      <w:r w:rsidR="005D7B33" w:rsidRPr="00E76ECA">
        <w:rPr>
          <w:sz w:val="22"/>
          <w:szCs w:val="22"/>
        </w:rPr>
        <w:t>ections 0.141, 0.361, and 1.3 of the Commission</w:t>
      </w:r>
      <w:r w:rsidR="005D7B33">
        <w:rPr>
          <w:sz w:val="22"/>
          <w:szCs w:val="22"/>
        </w:rPr>
        <w:t>’s rules, 47 CFR</w:t>
      </w:r>
      <w:r w:rsidR="005D7B33" w:rsidRPr="00E76ECA">
        <w:rPr>
          <w:sz w:val="22"/>
          <w:szCs w:val="22"/>
        </w:rPr>
        <w:t xml:space="preserve"> §§ 0.141, 0.361, 1.3, a waiver is GRANTED to </w:t>
      </w:r>
      <w:r w:rsidR="005D7B33">
        <w:rPr>
          <w:sz w:val="22"/>
          <w:szCs w:val="22"/>
        </w:rPr>
        <w:t>Hamilton</w:t>
      </w:r>
      <w:r w:rsidR="005D7B33" w:rsidRPr="00E76ECA">
        <w:rPr>
          <w:sz w:val="22"/>
          <w:szCs w:val="22"/>
        </w:rPr>
        <w:t xml:space="preserve"> to the extent indicated herein.  </w:t>
      </w:r>
      <w:r w:rsidR="00562C64">
        <w:rPr>
          <w:sz w:val="22"/>
          <w:szCs w:val="22"/>
        </w:rPr>
        <w:t xml:space="preserve">Hamilton </w:t>
      </w:r>
      <w:r w:rsidR="005D7B33">
        <w:rPr>
          <w:sz w:val="22"/>
          <w:szCs w:val="22"/>
        </w:rPr>
        <w:t xml:space="preserve">shall be paid the compensation otherwise due for IP CTS minutes provided on </w:t>
      </w:r>
      <w:r w:rsidR="00971A0D">
        <w:rPr>
          <w:sz w:val="22"/>
          <w:szCs w:val="22"/>
        </w:rPr>
        <w:t>January 7, 2017</w:t>
      </w:r>
      <w:r w:rsidR="005D7B33">
        <w:rPr>
          <w:sz w:val="22"/>
          <w:szCs w:val="22"/>
        </w:rPr>
        <w:t xml:space="preserve">.  </w:t>
      </w:r>
      <w:r w:rsidR="005D7B33" w:rsidRPr="00E76ECA">
        <w:rPr>
          <w:sz w:val="22"/>
          <w:szCs w:val="22"/>
        </w:rPr>
        <w:t xml:space="preserve">This </w:t>
      </w:r>
      <w:r w:rsidR="005D7B33">
        <w:rPr>
          <w:sz w:val="22"/>
          <w:szCs w:val="22"/>
        </w:rPr>
        <w:t>o</w:t>
      </w:r>
      <w:r w:rsidR="005D7B33" w:rsidRPr="00E76ECA">
        <w:rPr>
          <w:sz w:val="22"/>
          <w:szCs w:val="22"/>
        </w:rPr>
        <w:t>rder shall be effective</w:t>
      </w:r>
      <w:r w:rsidR="005D7B33">
        <w:rPr>
          <w:sz w:val="22"/>
          <w:szCs w:val="22"/>
        </w:rPr>
        <w:t xml:space="preserve"> as</w:t>
      </w:r>
      <w:r w:rsidR="005D7B33" w:rsidRPr="00E76ECA">
        <w:rPr>
          <w:sz w:val="22"/>
          <w:szCs w:val="22"/>
        </w:rPr>
        <w:t xml:space="preserve"> </w:t>
      </w:r>
      <w:r w:rsidR="005D7B33">
        <w:rPr>
          <w:sz w:val="22"/>
          <w:szCs w:val="22"/>
        </w:rPr>
        <w:t>of the date of issuance</w:t>
      </w:r>
      <w:r w:rsidR="005D7B33" w:rsidRPr="00E76ECA">
        <w:rPr>
          <w:sz w:val="22"/>
          <w:szCs w:val="22"/>
        </w:rPr>
        <w:t>.</w:t>
      </w:r>
    </w:p>
    <w:p w14:paraId="47A148D8" w14:textId="737D6F45" w:rsidR="00A824D6" w:rsidRPr="00E76ECA" w:rsidRDefault="00A824D6" w:rsidP="00A824D6">
      <w:pPr>
        <w:spacing w:after="120"/>
        <w:rPr>
          <w:sz w:val="22"/>
          <w:szCs w:val="22"/>
        </w:rPr>
      </w:pPr>
    </w:p>
    <w:p w14:paraId="1174707F" w14:textId="77777777" w:rsidR="00A824D6" w:rsidRPr="00E76ECA" w:rsidRDefault="00A824D6" w:rsidP="00A824D6">
      <w:pPr>
        <w:rPr>
          <w:sz w:val="22"/>
          <w:szCs w:val="22"/>
        </w:rPr>
      </w:pPr>
    </w:p>
    <w:p w14:paraId="3B0C6C70" w14:textId="77777777" w:rsidR="00A824D6" w:rsidRPr="00E76ECA" w:rsidRDefault="00A824D6" w:rsidP="00A824D6">
      <w:pPr>
        <w:rPr>
          <w:sz w:val="22"/>
          <w:szCs w:val="22"/>
        </w:rPr>
      </w:pPr>
    </w:p>
    <w:p w14:paraId="66A8D648" w14:textId="77777777" w:rsidR="00A824D6" w:rsidRPr="00E76ECA" w:rsidRDefault="00A824D6" w:rsidP="00A824D6">
      <w:pPr>
        <w:rPr>
          <w:sz w:val="22"/>
          <w:szCs w:val="22"/>
        </w:rPr>
      </w:pPr>
      <w:r w:rsidRPr="00E76ECA">
        <w:rPr>
          <w:sz w:val="22"/>
          <w:szCs w:val="22"/>
        </w:rPr>
        <w:tab/>
      </w:r>
      <w:r w:rsidRPr="00E76ECA">
        <w:rPr>
          <w:sz w:val="22"/>
          <w:szCs w:val="22"/>
        </w:rPr>
        <w:tab/>
      </w:r>
      <w:r w:rsidRPr="00E76ECA">
        <w:rPr>
          <w:sz w:val="22"/>
          <w:szCs w:val="22"/>
        </w:rPr>
        <w:tab/>
      </w:r>
      <w:r w:rsidRPr="00E76ECA">
        <w:rPr>
          <w:sz w:val="22"/>
          <w:szCs w:val="22"/>
        </w:rPr>
        <w:tab/>
      </w:r>
      <w:r w:rsidRPr="00E76ECA">
        <w:rPr>
          <w:sz w:val="22"/>
          <w:szCs w:val="22"/>
        </w:rPr>
        <w:tab/>
      </w:r>
      <w:r w:rsidRPr="00E76ECA">
        <w:rPr>
          <w:sz w:val="22"/>
          <w:szCs w:val="22"/>
        </w:rPr>
        <w:tab/>
        <w:t>Sincerely,</w:t>
      </w:r>
    </w:p>
    <w:p w14:paraId="763180F0" w14:textId="77777777" w:rsidR="00A824D6" w:rsidRPr="00E76ECA" w:rsidRDefault="00A824D6" w:rsidP="00A824D6">
      <w:pPr>
        <w:rPr>
          <w:sz w:val="22"/>
          <w:szCs w:val="22"/>
        </w:rPr>
      </w:pPr>
    </w:p>
    <w:p w14:paraId="642C6FE5" w14:textId="77777777" w:rsidR="00A824D6" w:rsidRPr="00E76ECA" w:rsidRDefault="00A824D6" w:rsidP="00A824D6">
      <w:pPr>
        <w:rPr>
          <w:sz w:val="22"/>
          <w:szCs w:val="22"/>
        </w:rPr>
      </w:pPr>
    </w:p>
    <w:p w14:paraId="17CD9603" w14:textId="77777777" w:rsidR="00A824D6" w:rsidRPr="00E76ECA" w:rsidRDefault="00A824D6" w:rsidP="00A824D6">
      <w:pPr>
        <w:rPr>
          <w:sz w:val="22"/>
          <w:szCs w:val="22"/>
        </w:rPr>
      </w:pPr>
    </w:p>
    <w:p w14:paraId="4500A132" w14:textId="77777777" w:rsidR="00A824D6" w:rsidRPr="00E76ECA" w:rsidRDefault="00A824D6" w:rsidP="00A824D6">
      <w:pPr>
        <w:rPr>
          <w:sz w:val="22"/>
          <w:szCs w:val="22"/>
        </w:rPr>
      </w:pPr>
      <w:r w:rsidRPr="00E76ECA">
        <w:rPr>
          <w:sz w:val="22"/>
          <w:szCs w:val="22"/>
        </w:rPr>
        <w:tab/>
      </w:r>
      <w:r w:rsidRPr="00E76ECA">
        <w:rPr>
          <w:sz w:val="22"/>
          <w:szCs w:val="22"/>
        </w:rPr>
        <w:tab/>
      </w:r>
      <w:r w:rsidRPr="00E76ECA">
        <w:rPr>
          <w:sz w:val="22"/>
          <w:szCs w:val="22"/>
        </w:rPr>
        <w:tab/>
      </w:r>
      <w:r w:rsidRPr="00E76ECA">
        <w:rPr>
          <w:sz w:val="22"/>
          <w:szCs w:val="22"/>
        </w:rPr>
        <w:tab/>
      </w:r>
      <w:r w:rsidRPr="00E76ECA">
        <w:rPr>
          <w:sz w:val="22"/>
          <w:szCs w:val="22"/>
        </w:rPr>
        <w:tab/>
      </w:r>
      <w:r w:rsidRPr="00E76ECA">
        <w:rPr>
          <w:sz w:val="22"/>
          <w:szCs w:val="22"/>
        </w:rPr>
        <w:tab/>
      </w:r>
      <w:r>
        <w:rPr>
          <w:sz w:val="22"/>
          <w:szCs w:val="22"/>
        </w:rPr>
        <w:t>Karen Peltz Strauss</w:t>
      </w:r>
    </w:p>
    <w:p w14:paraId="4434C62B" w14:textId="77777777" w:rsidR="00A824D6" w:rsidRPr="00E76ECA" w:rsidRDefault="00A824D6" w:rsidP="00A824D6">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Deputy </w:t>
      </w:r>
      <w:r w:rsidRPr="00E76ECA">
        <w:rPr>
          <w:sz w:val="22"/>
          <w:szCs w:val="22"/>
        </w:rPr>
        <w:t>Chief</w:t>
      </w:r>
    </w:p>
    <w:p w14:paraId="37A332A4" w14:textId="77777777" w:rsidR="00AD524E" w:rsidRPr="00480454" w:rsidRDefault="00A824D6" w:rsidP="0004781F">
      <w:pPr>
        <w:rPr>
          <w:sz w:val="22"/>
          <w:szCs w:val="22"/>
        </w:rPr>
      </w:pPr>
      <w:r w:rsidRPr="00E76ECA">
        <w:rPr>
          <w:sz w:val="22"/>
          <w:szCs w:val="22"/>
        </w:rPr>
        <w:tab/>
      </w:r>
      <w:r w:rsidRPr="00E76ECA">
        <w:rPr>
          <w:sz w:val="22"/>
          <w:szCs w:val="22"/>
        </w:rPr>
        <w:tab/>
      </w:r>
      <w:r w:rsidRPr="00E76ECA">
        <w:rPr>
          <w:sz w:val="22"/>
          <w:szCs w:val="22"/>
        </w:rPr>
        <w:tab/>
      </w:r>
      <w:r w:rsidRPr="00E76ECA">
        <w:rPr>
          <w:sz w:val="22"/>
          <w:szCs w:val="22"/>
        </w:rPr>
        <w:tab/>
      </w:r>
      <w:r w:rsidRPr="00E76ECA">
        <w:rPr>
          <w:sz w:val="22"/>
          <w:szCs w:val="22"/>
        </w:rPr>
        <w:tab/>
      </w:r>
      <w:r w:rsidRPr="00E76ECA">
        <w:rPr>
          <w:sz w:val="22"/>
          <w:szCs w:val="22"/>
        </w:rPr>
        <w:tab/>
        <w:t xml:space="preserve">Consumer </w:t>
      </w:r>
      <w:r w:rsidR="00E61F61" w:rsidRPr="00E76ECA">
        <w:rPr>
          <w:sz w:val="22"/>
          <w:szCs w:val="22"/>
        </w:rPr>
        <w:t>and</w:t>
      </w:r>
      <w:r w:rsidR="00E61F61">
        <w:rPr>
          <w:sz w:val="22"/>
          <w:szCs w:val="22"/>
        </w:rPr>
        <w:t xml:space="preserve"> </w:t>
      </w:r>
      <w:r w:rsidR="00E61F61" w:rsidRPr="00E76ECA">
        <w:rPr>
          <w:sz w:val="22"/>
          <w:szCs w:val="22"/>
        </w:rPr>
        <w:t>Governmental</w:t>
      </w:r>
      <w:r w:rsidRPr="00E76ECA">
        <w:rPr>
          <w:sz w:val="22"/>
          <w:szCs w:val="22"/>
        </w:rPr>
        <w:t xml:space="preserve"> Affairs Bureau</w:t>
      </w:r>
    </w:p>
    <w:sectPr w:rsidR="00AD524E" w:rsidRPr="00480454">
      <w:headerReference w:type="even" r:id="rId7"/>
      <w:headerReference w:type="default" r:id="rId8"/>
      <w:footerReference w:type="even" r:id="rId9"/>
      <w:footerReference w:type="default" r:id="rId10"/>
      <w:headerReference w:type="first" r:id="rId11"/>
      <w:footerReference w:type="first" r:id="rId12"/>
      <w:pgSz w:w="12240" w:h="15840" w:code="1"/>
      <w:pgMar w:top="1987"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9F877A" w14:textId="77777777" w:rsidR="004C1DE4" w:rsidRDefault="004C1DE4">
      <w:r>
        <w:separator/>
      </w:r>
    </w:p>
  </w:endnote>
  <w:endnote w:type="continuationSeparator" w:id="0">
    <w:p w14:paraId="2CC1F66C" w14:textId="77777777" w:rsidR="004C1DE4" w:rsidRDefault="004C1D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Light">
    <w:charset w:val="00"/>
    <w:family w:val="swiss"/>
    <w:pitch w:val="variable"/>
    <w:sig w:usb0="A00002EF" w:usb1="4000207B" w:usb2="00000000" w:usb3="00000000" w:csb0="0000019F" w:csb1="00000000"/>
  </w:font>
  <w:font w:name="Segoe UI">
    <w:altName w:val="Calibri"/>
    <w:panose1 w:val="020B0502040204020203"/>
    <w:charset w:val="00"/>
    <w:family w:val="swiss"/>
    <w:pitch w:val="variable"/>
    <w:sig w:usb0="E00022FF" w:usb1="C000205B" w:usb2="00000009" w:usb3="00000000" w:csb0="000001D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489553" w14:textId="77777777" w:rsidR="003B3F7B" w:rsidRDefault="003B3F7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757597" w14:textId="77777777" w:rsidR="003B3F7B" w:rsidRDefault="003B3F7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1F8911" w14:textId="77777777" w:rsidR="003B3F7B" w:rsidRDefault="003B3F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CABF16" w14:textId="77777777" w:rsidR="004C1DE4" w:rsidRDefault="004C1DE4">
      <w:r>
        <w:separator/>
      </w:r>
    </w:p>
  </w:footnote>
  <w:footnote w:type="continuationSeparator" w:id="0">
    <w:p w14:paraId="1644C7E7" w14:textId="77777777" w:rsidR="004C1DE4" w:rsidRDefault="004C1DE4">
      <w:r>
        <w:continuationSeparator/>
      </w:r>
    </w:p>
  </w:footnote>
  <w:footnote w:id="1">
    <w:p w14:paraId="18BDC1F8" w14:textId="4FBBE8E9" w:rsidR="005B4E93" w:rsidRPr="0004781F" w:rsidRDefault="005B4E93" w:rsidP="00FA016F">
      <w:pPr>
        <w:pStyle w:val="FootnoteText"/>
        <w:spacing w:after="120"/>
      </w:pPr>
      <w:r w:rsidRPr="0004781F">
        <w:rPr>
          <w:rStyle w:val="FootnoteReference"/>
        </w:rPr>
        <w:footnoteRef/>
      </w:r>
      <w:r w:rsidRPr="0004781F">
        <w:t xml:space="preserve"> </w:t>
      </w:r>
      <w:r w:rsidRPr="0004781F">
        <w:rPr>
          <w:i/>
        </w:rPr>
        <w:t>See</w:t>
      </w:r>
      <w:r w:rsidR="004D3F0F">
        <w:t xml:space="preserve"> Hamilton </w:t>
      </w:r>
      <w:r w:rsidRPr="0004781F">
        <w:t>Petition for Waiver</w:t>
      </w:r>
      <w:r w:rsidR="004C3F1B">
        <w:t>, CG Docket No. 03-123</w:t>
      </w:r>
      <w:r w:rsidRPr="0004781F">
        <w:t xml:space="preserve"> (filed </w:t>
      </w:r>
      <w:r w:rsidR="004D3F0F">
        <w:t>Jan. 19, 2007</w:t>
      </w:r>
      <w:r w:rsidRPr="0004781F">
        <w:t>) (Petition</w:t>
      </w:r>
      <w:r w:rsidR="00095E7C" w:rsidRPr="0004781F">
        <w:t>)</w:t>
      </w:r>
      <w:r w:rsidR="00095E7C">
        <w:t>;</w:t>
      </w:r>
      <w:r w:rsidR="00095E7C" w:rsidRPr="00095E7C">
        <w:t xml:space="preserve"> </w:t>
      </w:r>
      <w:r w:rsidR="00095E7C">
        <w:t>47 CFR § 64.604(b)(2)</w:t>
      </w:r>
      <w:r w:rsidR="00095E7C" w:rsidRPr="0004781F">
        <w:t>.</w:t>
      </w:r>
    </w:p>
  </w:footnote>
  <w:footnote w:id="2">
    <w:p w14:paraId="42C70EF3" w14:textId="4240BF69" w:rsidR="009F1F60" w:rsidRPr="0004781F" w:rsidRDefault="00D71042" w:rsidP="00FA016F">
      <w:pPr>
        <w:pStyle w:val="FootnoteText"/>
        <w:spacing w:after="120"/>
      </w:pPr>
      <w:r w:rsidRPr="0004781F">
        <w:rPr>
          <w:rStyle w:val="FootnoteReference"/>
        </w:rPr>
        <w:footnoteRef/>
      </w:r>
      <w:r w:rsidRPr="0004781F">
        <w:t xml:space="preserve"> </w:t>
      </w:r>
      <w:r w:rsidR="009F1F60" w:rsidRPr="0004781F">
        <w:t xml:space="preserve">IP CTS is a telecommunications relay service designed to allow people with hearing loss to speak directly to another party on a telephone call and to simultaneously listen to the other party and read captions of what that party is saying over an </w:t>
      </w:r>
      <w:r w:rsidR="00BD0C9D">
        <w:t>IP-</w:t>
      </w:r>
      <w:r w:rsidR="009F1F60" w:rsidRPr="0004781F">
        <w:t xml:space="preserve">enabled device.  47 </w:t>
      </w:r>
      <w:r w:rsidR="00492F36">
        <w:t>CFR</w:t>
      </w:r>
      <w:r w:rsidR="009F1F60" w:rsidRPr="0004781F">
        <w:t xml:space="preserve"> § 64.601(a)(16).  The </w:t>
      </w:r>
      <w:r w:rsidR="00BD0C9D">
        <w:t>Interstate T</w:t>
      </w:r>
      <w:r w:rsidR="009F1F60" w:rsidRPr="0004781F">
        <w:t xml:space="preserve">elecommunications </w:t>
      </w:r>
      <w:r w:rsidR="00BD0C9D">
        <w:t>R</w:t>
      </w:r>
      <w:r w:rsidR="009F1F60" w:rsidRPr="0004781F">
        <w:t xml:space="preserve">elay </w:t>
      </w:r>
      <w:r w:rsidR="00BD0C9D">
        <w:t>S</w:t>
      </w:r>
      <w:r w:rsidR="009F1F60" w:rsidRPr="0004781F">
        <w:t xml:space="preserve">ervices (TRS) </w:t>
      </w:r>
      <w:r w:rsidR="00BD0C9D">
        <w:t>F</w:t>
      </w:r>
      <w:r w:rsidR="009F1F60" w:rsidRPr="0004781F">
        <w:t xml:space="preserve">und compensates eligible providers of IP CTS and other forms of Internet-based and interstate TRS for their reasonable costs of providing these services.  </w:t>
      </w:r>
      <w:r w:rsidR="00AE3127" w:rsidRPr="00AE3127">
        <w:rPr>
          <w:i/>
        </w:rPr>
        <w:t>Id</w:t>
      </w:r>
      <w:r w:rsidR="00AE3127">
        <w:t>.</w:t>
      </w:r>
      <w:r w:rsidR="009F1F60" w:rsidRPr="0004781F">
        <w:t xml:space="preserve"> § 64.604(c)(5)(iii).</w:t>
      </w:r>
      <w:r w:rsidR="004D3F0F">
        <w:t xml:space="preserve">  </w:t>
      </w:r>
    </w:p>
  </w:footnote>
  <w:footnote w:id="3">
    <w:p w14:paraId="69956188" w14:textId="76E30164" w:rsidR="0084266C" w:rsidRPr="0004781F" w:rsidRDefault="0084266C" w:rsidP="00FA016F">
      <w:pPr>
        <w:pStyle w:val="FootnoteText"/>
        <w:spacing w:after="120"/>
      </w:pPr>
      <w:r w:rsidRPr="0004781F">
        <w:rPr>
          <w:rStyle w:val="FootnoteReference"/>
        </w:rPr>
        <w:footnoteRef/>
      </w:r>
      <w:r w:rsidR="00492F36">
        <w:t xml:space="preserve"> 47 CFR</w:t>
      </w:r>
      <w:r w:rsidR="0004781F">
        <w:t xml:space="preserve"> § 64.604(b)(2)(ii) (“</w:t>
      </w:r>
      <w:r w:rsidR="0004781F" w:rsidRPr="0004781F">
        <w:t>TRS facilities shall, except during network failure, answer 85% of all calls within 10 seconds by any method which results in the caller</w:t>
      </w:r>
      <w:r w:rsidR="009A6A3B">
        <w:t>’</w:t>
      </w:r>
      <w:r w:rsidR="0004781F" w:rsidRPr="0004781F">
        <w:t>s call immediately being placed, not put in a queue or on hold. The ten seconds begins at the time the call is delivered to the TRS facility's network.</w:t>
      </w:r>
      <w:r w:rsidR="0004781F">
        <w:t>”)</w:t>
      </w:r>
      <w:r w:rsidR="005B4E93">
        <w:t>.</w:t>
      </w:r>
    </w:p>
  </w:footnote>
  <w:footnote w:id="4">
    <w:p w14:paraId="6FDBACD0" w14:textId="52F6F28C" w:rsidR="00906246" w:rsidRDefault="00906246">
      <w:pPr>
        <w:pStyle w:val="FootnoteText"/>
      </w:pPr>
      <w:r>
        <w:rPr>
          <w:rStyle w:val="FootnoteReference"/>
        </w:rPr>
        <w:footnoteRef/>
      </w:r>
      <w:r>
        <w:t xml:space="preserve"> </w:t>
      </w:r>
      <w:r w:rsidRPr="00906246">
        <w:rPr>
          <w:i/>
        </w:rPr>
        <w:t>Id</w:t>
      </w:r>
      <w:r>
        <w:t>.</w:t>
      </w:r>
    </w:p>
  </w:footnote>
  <w:footnote w:id="5">
    <w:p w14:paraId="22CB95C5" w14:textId="77777777" w:rsidR="00E61F61" w:rsidRDefault="00E61F61" w:rsidP="00FA016F">
      <w:pPr>
        <w:pStyle w:val="FootnoteText"/>
        <w:spacing w:after="120"/>
      </w:pPr>
      <w:r>
        <w:rPr>
          <w:rStyle w:val="FootnoteReference"/>
        </w:rPr>
        <w:footnoteRef/>
      </w:r>
      <w:r>
        <w:t xml:space="preserve"> Petition at 1.</w:t>
      </w:r>
    </w:p>
  </w:footnote>
  <w:footnote w:id="6">
    <w:p w14:paraId="211094A1" w14:textId="77777777" w:rsidR="00A01029" w:rsidRPr="0004781F" w:rsidRDefault="00A01029" w:rsidP="00A01029">
      <w:pPr>
        <w:pStyle w:val="FootnoteText"/>
        <w:spacing w:after="120"/>
      </w:pPr>
      <w:r w:rsidRPr="0004781F">
        <w:rPr>
          <w:rStyle w:val="FootnoteReference"/>
        </w:rPr>
        <w:footnoteRef/>
      </w:r>
      <w:r w:rsidRPr="0004781F">
        <w:t xml:space="preserve"> 47 C</w:t>
      </w:r>
      <w:r>
        <w:t>FR</w:t>
      </w:r>
      <w:r w:rsidRPr="0004781F">
        <w:t xml:space="preserve"> § 1.3.</w:t>
      </w:r>
    </w:p>
  </w:footnote>
  <w:footnote w:id="7">
    <w:p w14:paraId="1422981E" w14:textId="77777777" w:rsidR="00A01029" w:rsidRPr="0004781F" w:rsidRDefault="00A01029" w:rsidP="00A01029">
      <w:pPr>
        <w:pStyle w:val="FootnoteText"/>
        <w:spacing w:after="120"/>
      </w:pPr>
      <w:r w:rsidRPr="0004781F">
        <w:rPr>
          <w:rStyle w:val="FootnoteReference"/>
        </w:rPr>
        <w:footnoteRef/>
      </w:r>
      <w:r w:rsidRPr="0004781F">
        <w:t xml:space="preserve"> </w:t>
      </w:r>
      <w:r w:rsidRPr="0004781F">
        <w:rPr>
          <w:i/>
        </w:rPr>
        <w:t>See Northeast Cellular Tel. Co. v. FCC</w:t>
      </w:r>
      <w:r w:rsidRPr="0004781F">
        <w:t>, 897 F.2d 1164, 1166 (D.C. Cir. 1990).</w:t>
      </w:r>
    </w:p>
  </w:footnote>
  <w:footnote w:id="8">
    <w:p w14:paraId="0E327026" w14:textId="77777777" w:rsidR="00A01029" w:rsidRPr="0004781F" w:rsidRDefault="00A01029" w:rsidP="00A01029">
      <w:pPr>
        <w:pStyle w:val="FootnoteText"/>
        <w:spacing w:after="120"/>
      </w:pPr>
      <w:r w:rsidRPr="0004781F">
        <w:rPr>
          <w:rStyle w:val="FootnoteReference"/>
        </w:rPr>
        <w:footnoteRef/>
      </w:r>
      <w:r w:rsidRPr="0004781F">
        <w:t xml:space="preserve"> </w:t>
      </w:r>
      <w:r w:rsidRPr="0004781F">
        <w:rPr>
          <w:i/>
        </w:rPr>
        <w:t>See WAIT Radio v. FCC</w:t>
      </w:r>
      <w:r w:rsidRPr="0004781F">
        <w:t xml:space="preserve">, 418 F.2d 1153, 1159 (D.C. Cir. 1969), </w:t>
      </w:r>
      <w:r w:rsidRPr="0004781F">
        <w:rPr>
          <w:i/>
        </w:rPr>
        <w:t>cert. denied</w:t>
      </w:r>
      <w:r w:rsidRPr="0004781F">
        <w:t xml:space="preserve">, 409 U.S. 1027 (1972); </w:t>
      </w:r>
      <w:r w:rsidRPr="0004781F">
        <w:rPr>
          <w:i/>
        </w:rPr>
        <w:t>Northeast Cellular</w:t>
      </w:r>
      <w:r w:rsidRPr="0004781F">
        <w:t>, 897 F.2d at 1166.</w:t>
      </w:r>
    </w:p>
  </w:footnote>
  <w:footnote w:id="9">
    <w:p w14:paraId="40050C97" w14:textId="77777777" w:rsidR="00A01029" w:rsidRPr="0004781F" w:rsidRDefault="00A01029" w:rsidP="00A01029">
      <w:pPr>
        <w:pStyle w:val="FootnoteText"/>
        <w:spacing w:after="120"/>
      </w:pPr>
      <w:r w:rsidRPr="0004781F">
        <w:rPr>
          <w:rStyle w:val="FootnoteReference"/>
        </w:rPr>
        <w:footnoteRef/>
      </w:r>
      <w:r w:rsidRPr="0004781F">
        <w:t xml:space="preserve"> </w:t>
      </w:r>
      <w:r w:rsidRPr="0004781F">
        <w:rPr>
          <w:i/>
        </w:rPr>
        <w:t>See Northeast Cellular</w:t>
      </w:r>
      <w:r w:rsidRPr="0004781F">
        <w:t>, 897 F.2d at 1166.</w:t>
      </w:r>
    </w:p>
  </w:footnote>
  <w:footnote w:id="10">
    <w:p w14:paraId="09BC7243" w14:textId="31C3738E" w:rsidR="00C67A0F" w:rsidRPr="005C2C9D" w:rsidRDefault="00C67A0F" w:rsidP="00FA016F">
      <w:pPr>
        <w:pStyle w:val="FootnoteText"/>
        <w:spacing w:after="120"/>
      </w:pPr>
      <w:r>
        <w:rPr>
          <w:rStyle w:val="FootnoteReference"/>
        </w:rPr>
        <w:footnoteRef/>
      </w:r>
      <w:r>
        <w:t xml:space="preserve"> </w:t>
      </w:r>
      <w:r w:rsidR="00AE3127" w:rsidRPr="00AE3127">
        <w:rPr>
          <w:i/>
        </w:rPr>
        <w:t>Id</w:t>
      </w:r>
      <w:r w:rsidR="00AE3127">
        <w:t>.</w:t>
      </w:r>
      <w:r w:rsidR="007A533D">
        <w:t xml:space="preserve">; </w:t>
      </w:r>
      <w:r w:rsidR="007A533D">
        <w:rPr>
          <w:i/>
        </w:rPr>
        <w:t>s</w:t>
      </w:r>
      <w:r>
        <w:rPr>
          <w:i/>
        </w:rPr>
        <w:t xml:space="preserve">ee </w:t>
      </w:r>
      <w:r w:rsidR="007A533D">
        <w:rPr>
          <w:i/>
        </w:rPr>
        <w:t xml:space="preserve">also </w:t>
      </w:r>
      <w:r w:rsidR="00BD0C9D" w:rsidRPr="00BD0C9D">
        <w:t xml:space="preserve">WALB News 10, </w:t>
      </w:r>
      <w:r w:rsidR="00BD0C9D" w:rsidRPr="00BD0C9D">
        <w:rPr>
          <w:bCs/>
        </w:rPr>
        <w:t>Call center staff survives office roof collapse</w:t>
      </w:r>
      <w:r w:rsidR="00BD0C9D">
        <w:rPr>
          <w:bCs/>
        </w:rPr>
        <w:t xml:space="preserve">, </w:t>
      </w:r>
      <w:hyperlink r:id="rId1" w:history="1">
        <w:r w:rsidRPr="00DC298E">
          <w:rPr>
            <w:rStyle w:val="Hyperlink"/>
          </w:rPr>
          <w:t>www.walb.com/story/34172471/call-center-staff-office-roof-collapse</w:t>
        </w:r>
      </w:hyperlink>
      <w:r w:rsidR="00BD0C9D">
        <w:rPr>
          <w:rStyle w:val="Hyperlink"/>
        </w:rPr>
        <w:t xml:space="preserve"> (Jan. 3, 2017)</w:t>
      </w:r>
      <w:r>
        <w:t xml:space="preserve">.  </w:t>
      </w:r>
      <w:r w:rsidR="005C2C9D" w:rsidRPr="005C2C9D">
        <w:t>In the days that followed, Hamilton explains, the county and the state of Georgia declared a state of emergency.  Petition at 2 nn.3-4</w:t>
      </w:r>
    </w:p>
  </w:footnote>
  <w:footnote w:id="11">
    <w:p w14:paraId="28C12A63" w14:textId="2DCB40A7" w:rsidR="00C67A0F" w:rsidRDefault="00C67A0F" w:rsidP="00FA016F">
      <w:pPr>
        <w:pStyle w:val="FootnoteText"/>
        <w:spacing w:after="120"/>
      </w:pPr>
      <w:r>
        <w:rPr>
          <w:rStyle w:val="FootnoteReference"/>
        </w:rPr>
        <w:footnoteRef/>
      </w:r>
      <w:r>
        <w:t xml:space="preserve"> </w:t>
      </w:r>
      <w:r w:rsidR="00AE3127" w:rsidRPr="00AE3127">
        <w:rPr>
          <w:i/>
        </w:rPr>
        <w:t>Id</w:t>
      </w:r>
      <w:r w:rsidR="00AE3127">
        <w:t xml:space="preserve">. </w:t>
      </w:r>
      <w:r>
        <w:t xml:space="preserve">at 2.  </w:t>
      </w:r>
    </w:p>
  </w:footnote>
  <w:footnote w:id="12">
    <w:p w14:paraId="1583EE5C" w14:textId="697C1557" w:rsidR="00C67A0F" w:rsidRDefault="00C67A0F" w:rsidP="00FA016F">
      <w:pPr>
        <w:pStyle w:val="FootnoteText"/>
        <w:spacing w:after="120"/>
      </w:pPr>
      <w:r>
        <w:rPr>
          <w:rStyle w:val="FootnoteReference"/>
        </w:rPr>
        <w:footnoteRef/>
      </w:r>
      <w:r>
        <w:t xml:space="preserve"> </w:t>
      </w:r>
      <w:r w:rsidR="00AE3127" w:rsidRPr="00AE3127">
        <w:rPr>
          <w:i/>
        </w:rPr>
        <w:t>Id</w:t>
      </w:r>
      <w:r w:rsidR="00FA016F">
        <w:t>.</w:t>
      </w:r>
    </w:p>
  </w:footnote>
  <w:footnote w:id="13">
    <w:p w14:paraId="41FD76A5" w14:textId="684C6B3C" w:rsidR="00E61F61" w:rsidRDefault="00E61F61" w:rsidP="00FA016F">
      <w:pPr>
        <w:pStyle w:val="FootnoteText"/>
        <w:spacing w:after="120"/>
      </w:pPr>
      <w:r>
        <w:rPr>
          <w:rStyle w:val="FootnoteReference"/>
        </w:rPr>
        <w:footnoteRef/>
      </w:r>
      <w:r>
        <w:t xml:space="preserve"> </w:t>
      </w:r>
      <w:r w:rsidR="00AE3127" w:rsidRPr="00AE3127">
        <w:rPr>
          <w:i/>
        </w:rPr>
        <w:t>Id</w:t>
      </w:r>
      <w:r w:rsidR="00AE3127">
        <w:t xml:space="preserve">. </w:t>
      </w:r>
      <w:r>
        <w:t>at 3.</w:t>
      </w:r>
    </w:p>
  </w:footnote>
  <w:footnote w:id="14">
    <w:p w14:paraId="783EDFED" w14:textId="6AE81039" w:rsidR="00A01029" w:rsidRDefault="00A01029" w:rsidP="006C4D81">
      <w:pPr>
        <w:pStyle w:val="FootnoteText"/>
        <w:spacing w:after="120"/>
      </w:pPr>
      <w:r>
        <w:rPr>
          <w:rStyle w:val="FootnoteReference"/>
        </w:rPr>
        <w:footnoteRef/>
      </w:r>
      <w:r>
        <w:t xml:space="preserve"> </w:t>
      </w:r>
      <w:r>
        <w:rPr>
          <w:i/>
        </w:rPr>
        <w:t xml:space="preserve">See </w:t>
      </w:r>
      <w:r w:rsidRPr="0004781F">
        <w:t xml:space="preserve">47 CFR </w:t>
      </w:r>
      <w:r>
        <w:t xml:space="preserve">§ </w:t>
      </w:r>
      <w:r w:rsidRPr="0004781F">
        <w:t>64.604(b)(2)</w:t>
      </w:r>
      <w:r>
        <w:t>(i).</w:t>
      </w:r>
    </w:p>
  </w:footnote>
  <w:footnote w:id="15">
    <w:p w14:paraId="5A06FCF8" w14:textId="4A1FAE91" w:rsidR="00B03F9F" w:rsidRDefault="00B03F9F" w:rsidP="00CC08F2">
      <w:pPr>
        <w:pStyle w:val="FootnoteText"/>
        <w:spacing w:after="120"/>
      </w:pPr>
      <w:r>
        <w:rPr>
          <w:rStyle w:val="FootnoteReference"/>
        </w:rPr>
        <w:footnoteRef/>
      </w:r>
      <w:r>
        <w:t xml:space="preserve"> </w:t>
      </w:r>
      <w:r w:rsidRPr="00B03F9F">
        <w:rPr>
          <w:i/>
          <w:iCs/>
          <w:color w:val="010101"/>
        </w:rPr>
        <w:t>2000 TRS Report and Order</w:t>
      </w:r>
      <w:r w:rsidRPr="00B03F9F">
        <w:rPr>
          <w:color w:val="010101"/>
        </w:rPr>
        <w:t xml:space="preserve">, 15 FCC Rcd at 5167-68, </w:t>
      </w:r>
      <w:r w:rsidR="00BD0C9D">
        <w:rPr>
          <w:color w:val="010101"/>
        </w:rPr>
        <w:t>para.</w:t>
      </w:r>
      <w:r w:rsidRPr="00B03F9F">
        <w:rPr>
          <w:color w:val="010101"/>
        </w:rPr>
        <w:t xml:space="preserve"> 65</w:t>
      </w:r>
      <w:r>
        <w:rPr>
          <w:color w:val="010101"/>
        </w:rPr>
        <w:t xml:space="preserve">; </w:t>
      </w:r>
      <w:r w:rsidRPr="00DB4ACA">
        <w:rPr>
          <w:i/>
          <w:color w:val="010101"/>
        </w:rPr>
        <w:t>see also</w:t>
      </w:r>
      <w:r>
        <w:rPr>
          <w:color w:val="010101"/>
        </w:rPr>
        <w:t xml:space="preserve"> </w:t>
      </w:r>
      <w:r w:rsidR="00DB4ACA" w:rsidRPr="00BD0C9D">
        <w:rPr>
          <w:i/>
          <w:color w:val="010101"/>
        </w:rPr>
        <w:t>Purple Communications, Inc.</w:t>
      </w:r>
      <w:r w:rsidR="00FD1458">
        <w:rPr>
          <w:color w:val="010101"/>
        </w:rPr>
        <w:t>,</w:t>
      </w:r>
      <w:r w:rsidR="00DB4ACA">
        <w:rPr>
          <w:color w:val="010101"/>
        </w:rPr>
        <w:t xml:space="preserve"> </w:t>
      </w:r>
      <w:r w:rsidR="00BD0C9D">
        <w:rPr>
          <w:color w:val="010101"/>
        </w:rPr>
        <w:t xml:space="preserve">Order, </w:t>
      </w:r>
      <w:r w:rsidR="00DB4ACA">
        <w:rPr>
          <w:color w:val="010101"/>
        </w:rPr>
        <w:t xml:space="preserve">27 FCC Rcd </w:t>
      </w:r>
      <w:r w:rsidR="00BD0C9D">
        <w:rPr>
          <w:color w:val="010101"/>
        </w:rPr>
        <w:t xml:space="preserve">8014, </w:t>
      </w:r>
      <w:r w:rsidR="00DB4ACA">
        <w:rPr>
          <w:color w:val="010101"/>
        </w:rPr>
        <w:t>8022, para. 22 (2012).</w:t>
      </w:r>
    </w:p>
  </w:footnote>
  <w:footnote w:id="16">
    <w:p w14:paraId="621913BC" w14:textId="77777777" w:rsidR="00E61F61" w:rsidRDefault="00E61F61" w:rsidP="00FA016F">
      <w:pPr>
        <w:pStyle w:val="FootnoteText"/>
        <w:spacing w:after="120"/>
      </w:pPr>
      <w:r>
        <w:rPr>
          <w:rStyle w:val="FootnoteReference"/>
        </w:rPr>
        <w:footnoteRef/>
      </w:r>
      <w:r>
        <w:t xml:space="preserve"> Petition at 1-3.</w:t>
      </w:r>
    </w:p>
  </w:footnote>
  <w:footnote w:id="17">
    <w:p w14:paraId="7716F513" w14:textId="320B4C64" w:rsidR="00AC332A" w:rsidRDefault="00AC332A" w:rsidP="00FA016F">
      <w:pPr>
        <w:pStyle w:val="FootnoteText"/>
        <w:spacing w:after="120"/>
      </w:pPr>
      <w:r>
        <w:rPr>
          <w:rStyle w:val="FootnoteReference"/>
        </w:rPr>
        <w:footnoteRef/>
      </w:r>
      <w:r>
        <w:t xml:space="preserve"> </w:t>
      </w:r>
      <w:r w:rsidR="00AE3127" w:rsidRPr="00AE3127">
        <w:rPr>
          <w:i/>
        </w:rPr>
        <w:t>Id</w:t>
      </w:r>
      <w:r w:rsidR="00AE3127">
        <w:t xml:space="preserve">. </w:t>
      </w:r>
      <w:r>
        <w:t>at 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FEA00F" w14:textId="77777777" w:rsidR="003B3F7B" w:rsidRDefault="003B3F7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7510A0" w14:textId="77777777" w:rsidR="003B3F7B" w:rsidRDefault="003B3F7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11EAC2" w14:textId="77777777" w:rsidR="002B54DB" w:rsidRDefault="00BF3723">
    <w:pPr>
      <w:pStyle w:val="Header"/>
      <w:tabs>
        <w:tab w:val="clear" w:pos="4320"/>
        <w:tab w:val="clear" w:pos="8640"/>
      </w:tabs>
      <w:spacing w:before="360" w:line="228" w:lineRule="auto"/>
      <w:jc w:val="center"/>
    </w:pPr>
    <w:r>
      <w:rPr>
        <w:rFonts w:ascii="CG Times (W1)" w:hAnsi="CG Times (W1)"/>
        <w:sz w:val="28"/>
      </w:rPr>
      <w:pict w14:anchorId="5FC725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31.8pt;margin-top:0;width:64.8pt;height:64.8pt;z-index:251657728;visibility:visible;mso-wrap-edited:f" o:allowincell="f" filled="t" fillcolor="#3cc">
          <v:imagedata r:id="rId1" o:title="" gain="69719f"/>
          <w10:wrap type="topAndBottom"/>
        </v:shape>
        <o:OLEObject Type="Embed" ProgID="Word.Picture.8" ShapeID="_x0000_s2049" DrawAspect="Content" ObjectID="_1553519729" r:id="rId2"/>
      </w:pict>
    </w:r>
    <w:r w:rsidR="002B54DB">
      <w:rPr>
        <w:rFonts w:ascii="CG Times (W1)" w:hAnsi="CG Times (W1)"/>
        <w:sz w:val="28"/>
      </w:rPr>
      <w:t>Federal Communications Commission</w:t>
    </w:r>
  </w:p>
  <w:p w14:paraId="0D67D2AC" w14:textId="77777777" w:rsidR="002B54DB" w:rsidRDefault="002B54DB">
    <w:pPr>
      <w:jc w:val="center"/>
    </w:pPr>
    <w:r>
      <w:rPr>
        <w:rFonts w:ascii="CG Times (W1)" w:hAnsi="CG Times (W1)"/>
        <w:sz w:val="28"/>
      </w:rPr>
      <w:t>Washington, D.C. 20554</w:t>
    </w:r>
  </w:p>
  <w:p w14:paraId="6309BAD1" w14:textId="77777777" w:rsidR="002B54DB" w:rsidRDefault="002B54DB">
    <w:pPr>
      <w:pStyle w:val="Header"/>
      <w:tabs>
        <w:tab w:val="clear" w:pos="4320"/>
      </w:tabs>
      <w:jc w:val="center"/>
      <w:rPr>
        <w:sz w:val="22"/>
      </w:rPr>
    </w:pPr>
  </w:p>
  <w:p w14:paraId="0750D5D2" w14:textId="77777777" w:rsidR="002B54DB" w:rsidRDefault="002B54DB">
    <w:pPr>
      <w:pStyle w:val="Header"/>
      <w:tabs>
        <w:tab w:val="clear" w:pos="4320"/>
      </w:tabs>
      <w:jc w:val="center"/>
      <w:rPr>
        <w:sz w:val="22"/>
      </w:rPr>
    </w:pPr>
  </w:p>
  <w:p w14:paraId="4327905D" w14:textId="2140B888" w:rsidR="002B54DB" w:rsidRPr="00743482" w:rsidRDefault="00743482">
    <w:pPr>
      <w:pStyle w:val="Header"/>
      <w:tabs>
        <w:tab w:val="clear" w:pos="4320"/>
      </w:tabs>
      <w:jc w:val="center"/>
      <w:rPr>
        <w:sz w:val="24"/>
      </w:rPr>
    </w:pPr>
    <w:r w:rsidRPr="00743482">
      <w:rPr>
        <w:sz w:val="24"/>
      </w:rPr>
      <w:t>April 12, 2017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linkStyles/>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6B90"/>
    <w:rsid w:val="00024490"/>
    <w:rsid w:val="0003597F"/>
    <w:rsid w:val="00045021"/>
    <w:rsid w:val="0004781F"/>
    <w:rsid w:val="00051955"/>
    <w:rsid w:val="00060198"/>
    <w:rsid w:val="0006587A"/>
    <w:rsid w:val="00095E7C"/>
    <w:rsid w:val="000A570F"/>
    <w:rsid w:val="000E63E7"/>
    <w:rsid w:val="00102C73"/>
    <w:rsid w:val="001361D0"/>
    <w:rsid w:val="00156A64"/>
    <w:rsid w:val="00167060"/>
    <w:rsid w:val="00183262"/>
    <w:rsid w:val="00185D03"/>
    <w:rsid w:val="00196B90"/>
    <w:rsid w:val="001B2A39"/>
    <w:rsid w:val="001B6F80"/>
    <w:rsid w:val="001D0977"/>
    <w:rsid w:val="001E3F8F"/>
    <w:rsid w:val="0020421B"/>
    <w:rsid w:val="00204CE3"/>
    <w:rsid w:val="002077C6"/>
    <w:rsid w:val="0022640A"/>
    <w:rsid w:val="00250468"/>
    <w:rsid w:val="002701B3"/>
    <w:rsid w:val="002B54DB"/>
    <w:rsid w:val="0036502B"/>
    <w:rsid w:val="003778E4"/>
    <w:rsid w:val="003B3F7B"/>
    <w:rsid w:val="003C00D2"/>
    <w:rsid w:val="003C738A"/>
    <w:rsid w:val="00403EA2"/>
    <w:rsid w:val="0043526E"/>
    <w:rsid w:val="00480454"/>
    <w:rsid w:val="00483D36"/>
    <w:rsid w:val="00492F36"/>
    <w:rsid w:val="004B0F6D"/>
    <w:rsid w:val="004C1DE4"/>
    <w:rsid w:val="004C3F1B"/>
    <w:rsid w:val="004D3B53"/>
    <w:rsid w:val="004D3F0F"/>
    <w:rsid w:val="00505CA5"/>
    <w:rsid w:val="00562C64"/>
    <w:rsid w:val="00590B3B"/>
    <w:rsid w:val="005B4E93"/>
    <w:rsid w:val="005C2C9D"/>
    <w:rsid w:val="005C5C4D"/>
    <w:rsid w:val="005C7C96"/>
    <w:rsid w:val="005D7B33"/>
    <w:rsid w:val="005F15BD"/>
    <w:rsid w:val="006312EE"/>
    <w:rsid w:val="006407ED"/>
    <w:rsid w:val="00652859"/>
    <w:rsid w:val="006629CE"/>
    <w:rsid w:val="00676770"/>
    <w:rsid w:val="006840D0"/>
    <w:rsid w:val="00697AFF"/>
    <w:rsid w:val="006C4D81"/>
    <w:rsid w:val="006E32C9"/>
    <w:rsid w:val="00743482"/>
    <w:rsid w:val="007442EF"/>
    <w:rsid w:val="007655C3"/>
    <w:rsid w:val="007A533D"/>
    <w:rsid w:val="007D6AD4"/>
    <w:rsid w:val="00817A9E"/>
    <w:rsid w:val="00826FA6"/>
    <w:rsid w:val="00827F4A"/>
    <w:rsid w:val="00836C46"/>
    <w:rsid w:val="00841256"/>
    <w:rsid w:val="0084266C"/>
    <w:rsid w:val="008E43BC"/>
    <w:rsid w:val="008F44A2"/>
    <w:rsid w:val="00906246"/>
    <w:rsid w:val="009306D8"/>
    <w:rsid w:val="00937A4C"/>
    <w:rsid w:val="00963DF9"/>
    <w:rsid w:val="00971A0D"/>
    <w:rsid w:val="009A6A3B"/>
    <w:rsid w:val="009A6BBC"/>
    <w:rsid w:val="009C20C6"/>
    <w:rsid w:val="009C5EF0"/>
    <w:rsid w:val="009F1F60"/>
    <w:rsid w:val="00A01029"/>
    <w:rsid w:val="00A824D6"/>
    <w:rsid w:val="00A94F5E"/>
    <w:rsid w:val="00AC332A"/>
    <w:rsid w:val="00AD524E"/>
    <w:rsid w:val="00AE3127"/>
    <w:rsid w:val="00B03F9F"/>
    <w:rsid w:val="00BD0C9D"/>
    <w:rsid w:val="00BE1F3E"/>
    <w:rsid w:val="00BE74B9"/>
    <w:rsid w:val="00BF3723"/>
    <w:rsid w:val="00C4390B"/>
    <w:rsid w:val="00C67A0F"/>
    <w:rsid w:val="00C846E2"/>
    <w:rsid w:val="00C9379B"/>
    <w:rsid w:val="00CC08F2"/>
    <w:rsid w:val="00CE05E5"/>
    <w:rsid w:val="00D71042"/>
    <w:rsid w:val="00DB4ACA"/>
    <w:rsid w:val="00E3087C"/>
    <w:rsid w:val="00E40519"/>
    <w:rsid w:val="00E503A1"/>
    <w:rsid w:val="00E564D2"/>
    <w:rsid w:val="00E61F61"/>
    <w:rsid w:val="00EB0C79"/>
    <w:rsid w:val="00EC0537"/>
    <w:rsid w:val="00EE0BDA"/>
    <w:rsid w:val="00EE2B23"/>
    <w:rsid w:val="00EF0A55"/>
    <w:rsid w:val="00EF7D60"/>
    <w:rsid w:val="00F949A5"/>
    <w:rsid w:val="00F95EA8"/>
    <w:rsid w:val="00FA016F"/>
    <w:rsid w:val="00FC2660"/>
    <w:rsid w:val="00FD1458"/>
    <w:rsid w:val="00FF0C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3E83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3723"/>
  </w:style>
  <w:style w:type="paragraph" w:styleId="Heading3">
    <w:name w:val="heading 3"/>
    <w:basedOn w:val="Normal"/>
    <w:next w:val="Normal"/>
    <w:link w:val="Heading3Char"/>
    <w:uiPriority w:val="9"/>
    <w:semiHidden/>
    <w:unhideWhenUsed/>
    <w:qFormat/>
    <w:rsid w:val="00BD0C9D"/>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semiHidden/>
    <w:rsid w:val="00BF372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F3723"/>
  </w:style>
  <w:style w:type="paragraph" w:styleId="Header">
    <w:name w:val="header"/>
    <w:basedOn w:val="Normal"/>
    <w:semiHidden/>
    <w:rsid w:val="00BF3723"/>
    <w:pPr>
      <w:tabs>
        <w:tab w:val="center" w:pos="4320"/>
        <w:tab w:val="right" w:pos="8640"/>
      </w:tabs>
    </w:pPr>
  </w:style>
  <w:style w:type="paragraph" w:styleId="Footer">
    <w:name w:val="footer"/>
    <w:basedOn w:val="Normal"/>
    <w:semiHidden/>
    <w:rsid w:val="00BF3723"/>
    <w:pPr>
      <w:tabs>
        <w:tab w:val="center" w:pos="4320"/>
        <w:tab w:val="right" w:pos="8640"/>
      </w:tabs>
    </w:pPr>
  </w:style>
  <w:style w:type="paragraph" w:styleId="FootnoteText">
    <w:name w:val="footnote text"/>
    <w:aliases w:val="Footnote Text Char3 Char,Footnote Text Char2 Char1 Char,Footnote Text Char Char Char Char1,Footnote Text Char1 Char Char1 Char Char,Footnote Text Char Char1 Char Char Char Char,Footnote Text Char1,Footnote Text Char5,fn"/>
    <w:basedOn w:val="Normal"/>
    <w:link w:val="FootnoteTextChar"/>
    <w:semiHidden/>
    <w:unhideWhenUsed/>
    <w:rsid w:val="0084266C"/>
  </w:style>
  <w:style w:type="character" w:customStyle="1" w:styleId="FootnoteTextChar">
    <w:name w:val="Footnote Text Char"/>
    <w:aliases w:val="Footnote Text Char3 Char Char,Footnote Text Char2 Char1 Char Char,Footnote Text Char Char Char Char1 Char,Footnote Text Char1 Char Char1 Char Char Char,Footnote Text Char Char1 Char Char Char Char Char,Footnote Text Char1 Char,fn Char"/>
    <w:basedOn w:val="DefaultParagraphFont"/>
    <w:link w:val="FootnoteText"/>
    <w:semiHidden/>
    <w:rsid w:val="0084266C"/>
  </w:style>
  <w:style w:type="character" w:styleId="FootnoteReference">
    <w:name w:val="footnote reference"/>
    <w:aliases w:val="Appel note de bas de p,Style 12,(NECG) Footnote Reference,Style 124"/>
    <w:semiHidden/>
    <w:unhideWhenUsed/>
    <w:rsid w:val="0084266C"/>
    <w:rPr>
      <w:vertAlign w:val="superscript"/>
    </w:rPr>
  </w:style>
  <w:style w:type="character" w:styleId="Hyperlink">
    <w:name w:val="Hyperlink"/>
    <w:basedOn w:val="DefaultParagraphFont"/>
    <w:uiPriority w:val="99"/>
    <w:unhideWhenUsed/>
    <w:rsid w:val="003778E4"/>
    <w:rPr>
      <w:color w:val="0563C1" w:themeColor="hyperlink"/>
      <w:u w:val="single"/>
    </w:rPr>
  </w:style>
  <w:style w:type="paragraph" w:styleId="BalloonText">
    <w:name w:val="Balloon Text"/>
    <w:basedOn w:val="Normal"/>
    <w:link w:val="BalloonTextChar"/>
    <w:uiPriority w:val="99"/>
    <w:semiHidden/>
    <w:unhideWhenUsed/>
    <w:rsid w:val="005B4E9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4E93"/>
    <w:rPr>
      <w:rFonts w:ascii="Segoe UI" w:hAnsi="Segoe UI" w:cs="Segoe UI"/>
      <w:sz w:val="18"/>
      <w:szCs w:val="18"/>
    </w:rPr>
  </w:style>
  <w:style w:type="character" w:styleId="CommentReference">
    <w:name w:val="annotation reference"/>
    <w:basedOn w:val="DefaultParagraphFont"/>
    <w:uiPriority w:val="99"/>
    <w:semiHidden/>
    <w:unhideWhenUsed/>
    <w:rsid w:val="001D0977"/>
    <w:rPr>
      <w:sz w:val="16"/>
      <w:szCs w:val="16"/>
    </w:rPr>
  </w:style>
  <w:style w:type="paragraph" w:styleId="CommentText">
    <w:name w:val="annotation text"/>
    <w:basedOn w:val="Normal"/>
    <w:link w:val="CommentTextChar"/>
    <w:uiPriority w:val="99"/>
    <w:semiHidden/>
    <w:unhideWhenUsed/>
    <w:rsid w:val="001D0977"/>
  </w:style>
  <w:style w:type="character" w:customStyle="1" w:styleId="CommentTextChar">
    <w:name w:val="Comment Text Char"/>
    <w:basedOn w:val="DefaultParagraphFont"/>
    <w:link w:val="CommentText"/>
    <w:uiPriority w:val="99"/>
    <w:semiHidden/>
    <w:rsid w:val="001D0977"/>
  </w:style>
  <w:style w:type="paragraph" w:styleId="CommentSubject">
    <w:name w:val="annotation subject"/>
    <w:basedOn w:val="CommentText"/>
    <w:next w:val="CommentText"/>
    <w:link w:val="CommentSubjectChar"/>
    <w:uiPriority w:val="99"/>
    <w:semiHidden/>
    <w:unhideWhenUsed/>
    <w:rsid w:val="001D0977"/>
    <w:rPr>
      <w:b/>
      <w:bCs/>
    </w:rPr>
  </w:style>
  <w:style w:type="character" w:customStyle="1" w:styleId="CommentSubjectChar">
    <w:name w:val="Comment Subject Char"/>
    <w:basedOn w:val="CommentTextChar"/>
    <w:link w:val="CommentSubject"/>
    <w:uiPriority w:val="99"/>
    <w:semiHidden/>
    <w:rsid w:val="001D0977"/>
    <w:rPr>
      <w:b/>
      <w:bCs/>
    </w:rPr>
  </w:style>
  <w:style w:type="character" w:styleId="FollowedHyperlink">
    <w:name w:val="FollowedHyperlink"/>
    <w:basedOn w:val="DefaultParagraphFont"/>
    <w:uiPriority w:val="99"/>
    <w:semiHidden/>
    <w:unhideWhenUsed/>
    <w:rsid w:val="00BD0C9D"/>
    <w:rPr>
      <w:color w:val="954F72" w:themeColor="followedHyperlink"/>
      <w:u w:val="single"/>
    </w:rPr>
  </w:style>
  <w:style w:type="character" w:customStyle="1" w:styleId="Heading3Char">
    <w:name w:val="Heading 3 Char"/>
    <w:basedOn w:val="DefaultParagraphFont"/>
    <w:link w:val="Heading3"/>
    <w:uiPriority w:val="9"/>
    <w:semiHidden/>
    <w:rsid w:val="00BD0C9D"/>
    <w:rPr>
      <w:rFonts w:asciiTheme="majorHAnsi" w:eastAsiaTheme="majorEastAsia" w:hAnsiTheme="majorHAnsi" w:cstheme="majorBidi"/>
      <w:color w:val="1F4D78" w:themeColor="accent1" w:themeShade="7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3723"/>
  </w:style>
  <w:style w:type="paragraph" w:styleId="Heading3">
    <w:name w:val="heading 3"/>
    <w:basedOn w:val="Normal"/>
    <w:next w:val="Normal"/>
    <w:link w:val="Heading3Char"/>
    <w:uiPriority w:val="9"/>
    <w:semiHidden/>
    <w:unhideWhenUsed/>
    <w:qFormat/>
    <w:rsid w:val="00BD0C9D"/>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semiHidden/>
    <w:rsid w:val="00BF372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F3723"/>
  </w:style>
  <w:style w:type="paragraph" w:styleId="Header">
    <w:name w:val="header"/>
    <w:basedOn w:val="Normal"/>
    <w:semiHidden/>
    <w:rsid w:val="00BF3723"/>
    <w:pPr>
      <w:tabs>
        <w:tab w:val="center" w:pos="4320"/>
        <w:tab w:val="right" w:pos="8640"/>
      </w:tabs>
    </w:pPr>
  </w:style>
  <w:style w:type="paragraph" w:styleId="Footer">
    <w:name w:val="footer"/>
    <w:basedOn w:val="Normal"/>
    <w:semiHidden/>
    <w:rsid w:val="00BF3723"/>
    <w:pPr>
      <w:tabs>
        <w:tab w:val="center" w:pos="4320"/>
        <w:tab w:val="right" w:pos="8640"/>
      </w:tabs>
    </w:pPr>
  </w:style>
  <w:style w:type="paragraph" w:styleId="FootnoteText">
    <w:name w:val="footnote text"/>
    <w:aliases w:val="Footnote Text Char3 Char,Footnote Text Char2 Char1 Char,Footnote Text Char Char Char Char1,Footnote Text Char1 Char Char1 Char Char,Footnote Text Char Char1 Char Char Char Char,Footnote Text Char1,Footnote Text Char5,fn"/>
    <w:basedOn w:val="Normal"/>
    <w:link w:val="FootnoteTextChar"/>
    <w:semiHidden/>
    <w:unhideWhenUsed/>
    <w:rsid w:val="0084266C"/>
  </w:style>
  <w:style w:type="character" w:customStyle="1" w:styleId="FootnoteTextChar">
    <w:name w:val="Footnote Text Char"/>
    <w:aliases w:val="Footnote Text Char3 Char Char,Footnote Text Char2 Char1 Char Char,Footnote Text Char Char Char Char1 Char,Footnote Text Char1 Char Char1 Char Char Char,Footnote Text Char Char1 Char Char Char Char Char,Footnote Text Char1 Char,fn Char"/>
    <w:basedOn w:val="DefaultParagraphFont"/>
    <w:link w:val="FootnoteText"/>
    <w:semiHidden/>
    <w:rsid w:val="0084266C"/>
  </w:style>
  <w:style w:type="character" w:styleId="FootnoteReference">
    <w:name w:val="footnote reference"/>
    <w:aliases w:val="Appel note de bas de p,Style 12,(NECG) Footnote Reference,Style 124"/>
    <w:semiHidden/>
    <w:unhideWhenUsed/>
    <w:rsid w:val="0084266C"/>
    <w:rPr>
      <w:vertAlign w:val="superscript"/>
    </w:rPr>
  </w:style>
  <w:style w:type="character" w:styleId="Hyperlink">
    <w:name w:val="Hyperlink"/>
    <w:basedOn w:val="DefaultParagraphFont"/>
    <w:uiPriority w:val="99"/>
    <w:unhideWhenUsed/>
    <w:rsid w:val="003778E4"/>
    <w:rPr>
      <w:color w:val="0563C1" w:themeColor="hyperlink"/>
      <w:u w:val="single"/>
    </w:rPr>
  </w:style>
  <w:style w:type="paragraph" w:styleId="BalloonText">
    <w:name w:val="Balloon Text"/>
    <w:basedOn w:val="Normal"/>
    <w:link w:val="BalloonTextChar"/>
    <w:uiPriority w:val="99"/>
    <w:semiHidden/>
    <w:unhideWhenUsed/>
    <w:rsid w:val="005B4E9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4E93"/>
    <w:rPr>
      <w:rFonts w:ascii="Segoe UI" w:hAnsi="Segoe UI" w:cs="Segoe UI"/>
      <w:sz w:val="18"/>
      <w:szCs w:val="18"/>
    </w:rPr>
  </w:style>
  <w:style w:type="character" w:styleId="CommentReference">
    <w:name w:val="annotation reference"/>
    <w:basedOn w:val="DefaultParagraphFont"/>
    <w:uiPriority w:val="99"/>
    <w:semiHidden/>
    <w:unhideWhenUsed/>
    <w:rsid w:val="001D0977"/>
    <w:rPr>
      <w:sz w:val="16"/>
      <w:szCs w:val="16"/>
    </w:rPr>
  </w:style>
  <w:style w:type="paragraph" w:styleId="CommentText">
    <w:name w:val="annotation text"/>
    <w:basedOn w:val="Normal"/>
    <w:link w:val="CommentTextChar"/>
    <w:uiPriority w:val="99"/>
    <w:semiHidden/>
    <w:unhideWhenUsed/>
    <w:rsid w:val="001D0977"/>
  </w:style>
  <w:style w:type="character" w:customStyle="1" w:styleId="CommentTextChar">
    <w:name w:val="Comment Text Char"/>
    <w:basedOn w:val="DefaultParagraphFont"/>
    <w:link w:val="CommentText"/>
    <w:uiPriority w:val="99"/>
    <w:semiHidden/>
    <w:rsid w:val="001D0977"/>
  </w:style>
  <w:style w:type="paragraph" w:styleId="CommentSubject">
    <w:name w:val="annotation subject"/>
    <w:basedOn w:val="CommentText"/>
    <w:next w:val="CommentText"/>
    <w:link w:val="CommentSubjectChar"/>
    <w:uiPriority w:val="99"/>
    <w:semiHidden/>
    <w:unhideWhenUsed/>
    <w:rsid w:val="001D0977"/>
    <w:rPr>
      <w:b/>
      <w:bCs/>
    </w:rPr>
  </w:style>
  <w:style w:type="character" w:customStyle="1" w:styleId="CommentSubjectChar">
    <w:name w:val="Comment Subject Char"/>
    <w:basedOn w:val="CommentTextChar"/>
    <w:link w:val="CommentSubject"/>
    <w:uiPriority w:val="99"/>
    <w:semiHidden/>
    <w:rsid w:val="001D0977"/>
    <w:rPr>
      <w:b/>
      <w:bCs/>
    </w:rPr>
  </w:style>
  <w:style w:type="character" w:styleId="FollowedHyperlink">
    <w:name w:val="FollowedHyperlink"/>
    <w:basedOn w:val="DefaultParagraphFont"/>
    <w:uiPriority w:val="99"/>
    <w:semiHidden/>
    <w:unhideWhenUsed/>
    <w:rsid w:val="00BD0C9D"/>
    <w:rPr>
      <w:color w:val="954F72" w:themeColor="followedHyperlink"/>
      <w:u w:val="single"/>
    </w:rPr>
  </w:style>
  <w:style w:type="character" w:customStyle="1" w:styleId="Heading3Char">
    <w:name w:val="Heading 3 Char"/>
    <w:basedOn w:val="DefaultParagraphFont"/>
    <w:link w:val="Heading3"/>
    <w:uiPriority w:val="9"/>
    <w:semiHidden/>
    <w:rsid w:val="00BD0C9D"/>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3844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walb.com/story/34172471/call-center-staff-office-roof-collapse" TargetMode="External"/></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M:\forms\OS%20Process\Let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Letter</Template>
  <TotalTime>0</TotalTime>
  <Pages>3</Pages>
  <Words>805</Words>
  <Characters>4248</Characters>
  <Application>Microsoft Office Word</Application>
  <DocSecurity>0</DocSecurity>
  <Lines>73</Lines>
  <Paragraphs>17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5087</CharactersWithSpaces>
  <SharedDoc>false</SharedDoc>
  <HyperlinkBase>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subject>
  <dc:creator/>
  <cp:keywords> </cp:keywords>
  <dc:description> </dc:description>
  <cp:lastModifiedBy/>
  <cp:revision>1</cp:revision>
  <cp:lastPrinted>2017-03-13T18:19:00Z</cp:lastPrinted>
  <dcterms:created xsi:type="dcterms:W3CDTF">2017-04-12T20:29:00Z</dcterms:created>
  <dcterms:modified xsi:type="dcterms:W3CDTF">2017-04-12T20:29:00Z</dcterms:modified>
  <cp:category> </cp:category>
  <cp:contentStatus> </cp:contentStatus>
</cp:coreProperties>
</file>