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4C2EE3" w14:paraId="7EF368C7"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5B0784B1" w14:textId="77777777">
      <w:pPr>
        <w:pStyle w:val="StyleBoldCentered"/>
      </w:pPr>
      <w:r>
        <w:t>F</w:t>
      </w:r>
      <w:r>
        <w:rPr>
          <w:caps w:val="0"/>
        </w:rPr>
        <w:t>ederal Communications Commission</w:t>
      </w:r>
    </w:p>
    <w:p w:rsidR="004C2EE3" w:rsidP="00096D8C" w14:paraId="4A7A5171" w14:textId="77777777">
      <w:pPr>
        <w:pStyle w:val="StyleBoldCentered"/>
      </w:pPr>
      <w:r>
        <w:rPr>
          <w:caps w:val="0"/>
        </w:rPr>
        <w:t>Washington, D.C. 20554</w:t>
      </w:r>
    </w:p>
    <w:p w:rsidR="004C2EE3" w:rsidP="0070224F" w14:paraId="51933F68" w14:textId="77777777"/>
    <w:p w:rsidR="004C2EE3" w:rsidP="0070224F" w14:paraId="18F44D14" w14:textId="77777777"/>
    <w:tbl>
      <w:tblPr>
        <w:tblW w:w="0" w:type="auto"/>
        <w:tblLayout w:type="fixed"/>
        <w:tblLook w:val="0000"/>
      </w:tblPr>
      <w:tblGrid>
        <w:gridCol w:w="4698"/>
        <w:gridCol w:w="630"/>
        <w:gridCol w:w="4248"/>
      </w:tblGrid>
      <w:tr w14:paraId="71085AED" w14:textId="77777777">
        <w:tblPrEx>
          <w:tblW w:w="0" w:type="auto"/>
          <w:tblLayout w:type="fixed"/>
          <w:tblLook w:val="0000"/>
        </w:tblPrEx>
        <w:tc>
          <w:tcPr>
            <w:tcW w:w="4698" w:type="dxa"/>
          </w:tcPr>
          <w:p w:rsidR="004C2EE3" w14:paraId="6F3DB900" w14:textId="77777777">
            <w:pPr>
              <w:tabs>
                <w:tab w:val="center" w:pos="4680"/>
              </w:tabs>
              <w:suppressAutoHyphens/>
              <w:rPr>
                <w:spacing w:val="-2"/>
              </w:rPr>
            </w:pPr>
            <w:r>
              <w:rPr>
                <w:spacing w:val="-2"/>
              </w:rPr>
              <w:t>In the Matter of</w:t>
            </w:r>
          </w:p>
          <w:p w:rsidR="004C2EE3" w14:paraId="2DEF32CE" w14:textId="77777777">
            <w:pPr>
              <w:tabs>
                <w:tab w:val="center" w:pos="4680"/>
              </w:tabs>
              <w:suppressAutoHyphens/>
              <w:rPr>
                <w:spacing w:val="-2"/>
              </w:rPr>
            </w:pPr>
          </w:p>
          <w:p w:rsidR="00BB56EB" w:rsidRPr="00BB56EB" w:rsidP="00BB56EB" w14:paraId="76706250" w14:textId="77777777">
            <w:pPr>
              <w:tabs>
                <w:tab w:val="center" w:pos="4680"/>
              </w:tabs>
              <w:suppressAutoHyphens/>
              <w:rPr>
                <w:spacing w:val="-2"/>
              </w:rPr>
            </w:pPr>
            <w:r w:rsidRPr="00BB56EB">
              <w:rPr>
                <w:spacing w:val="-2"/>
              </w:rPr>
              <w:t>Telecommunications Relay Services and Speech-to-Speech Services for Individuals with Hearing and Speech Disabilities</w:t>
            </w:r>
          </w:p>
          <w:p w:rsidR="00BB56EB" w:rsidP="007115F7" w14:paraId="47141206" w14:textId="77777777">
            <w:pPr>
              <w:tabs>
                <w:tab w:val="center" w:pos="4680"/>
              </w:tabs>
              <w:suppressAutoHyphens/>
              <w:rPr>
                <w:spacing w:val="-2"/>
              </w:rPr>
            </w:pPr>
          </w:p>
          <w:p w:rsidR="004C2EE3" w:rsidRPr="007115F7" w:rsidP="007115F7" w14:paraId="4C7CE1C6" w14:textId="68044CB7">
            <w:pPr>
              <w:tabs>
                <w:tab w:val="center" w:pos="4680"/>
              </w:tabs>
              <w:suppressAutoHyphens/>
              <w:rPr>
                <w:spacing w:val="-2"/>
              </w:rPr>
            </w:pPr>
            <w:r w:rsidRPr="00BB56EB">
              <w:rPr>
                <w:spacing w:val="-2"/>
              </w:rPr>
              <w:t>Structure and Practices of the Video Relay Service Program</w:t>
            </w:r>
            <w:r>
              <w:rPr>
                <w:spacing w:val="-2"/>
              </w:rPr>
              <w:t xml:space="preserve"> </w:t>
            </w:r>
          </w:p>
        </w:tc>
        <w:tc>
          <w:tcPr>
            <w:tcW w:w="630" w:type="dxa"/>
          </w:tcPr>
          <w:p w:rsidR="004C2EE3" w14:paraId="6DEE5A12" w14:textId="77777777">
            <w:pPr>
              <w:tabs>
                <w:tab w:val="center" w:pos="4680"/>
              </w:tabs>
              <w:suppressAutoHyphens/>
              <w:rPr>
                <w:b/>
                <w:spacing w:val="-2"/>
              </w:rPr>
            </w:pPr>
            <w:r>
              <w:rPr>
                <w:b/>
                <w:spacing w:val="-2"/>
              </w:rPr>
              <w:t>)</w:t>
            </w:r>
          </w:p>
          <w:p w:rsidR="004C2EE3" w14:paraId="6C024904" w14:textId="77777777">
            <w:pPr>
              <w:tabs>
                <w:tab w:val="center" w:pos="4680"/>
              </w:tabs>
              <w:suppressAutoHyphens/>
              <w:rPr>
                <w:b/>
                <w:spacing w:val="-2"/>
              </w:rPr>
            </w:pPr>
            <w:r>
              <w:rPr>
                <w:b/>
                <w:spacing w:val="-2"/>
              </w:rPr>
              <w:t>)</w:t>
            </w:r>
          </w:p>
          <w:p w:rsidR="004C2EE3" w14:paraId="2EB80E9F" w14:textId="77777777">
            <w:pPr>
              <w:tabs>
                <w:tab w:val="center" w:pos="4680"/>
              </w:tabs>
              <w:suppressAutoHyphens/>
              <w:rPr>
                <w:b/>
                <w:spacing w:val="-2"/>
              </w:rPr>
            </w:pPr>
            <w:r>
              <w:rPr>
                <w:b/>
                <w:spacing w:val="-2"/>
              </w:rPr>
              <w:t>)</w:t>
            </w:r>
          </w:p>
          <w:p w:rsidR="004C2EE3" w14:paraId="6615C074" w14:textId="77777777">
            <w:pPr>
              <w:tabs>
                <w:tab w:val="center" w:pos="4680"/>
              </w:tabs>
              <w:suppressAutoHyphens/>
              <w:rPr>
                <w:b/>
                <w:spacing w:val="-2"/>
              </w:rPr>
            </w:pPr>
            <w:r>
              <w:rPr>
                <w:b/>
                <w:spacing w:val="-2"/>
              </w:rPr>
              <w:t>)</w:t>
            </w:r>
          </w:p>
          <w:p w:rsidR="004C2EE3" w14:paraId="6B85020C" w14:textId="77777777">
            <w:pPr>
              <w:tabs>
                <w:tab w:val="center" w:pos="4680"/>
              </w:tabs>
              <w:suppressAutoHyphens/>
              <w:rPr>
                <w:b/>
                <w:spacing w:val="-2"/>
              </w:rPr>
            </w:pPr>
            <w:r>
              <w:rPr>
                <w:b/>
                <w:spacing w:val="-2"/>
              </w:rPr>
              <w:t>)</w:t>
            </w:r>
          </w:p>
          <w:p w:rsidR="004C2EE3" w14:paraId="68AC7361" w14:textId="77777777">
            <w:pPr>
              <w:tabs>
                <w:tab w:val="center" w:pos="4680"/>
              </w:tabs>
              <w:suppressAutoHyphens/>
              <w:rPr>
                <w:b/>
                <w:spacing w:val="-2"/>
              </w:rPr>
            </w:pPr>
            <w:r>
              <w:rPr>
                <w:b/>
                <w:spacing w:val="-2"/>
              </w:rPr>
              <w:t>)</w:t>
            </w:r>
          </w:p>
          <w:p w:rsidR="004C2EE3" w14:paraId="3AD3352B" w14:textId="77777777">
            <w:pPr>
              <w:tabs>
                <w:tab w:val="center" w:pos="4680"/>
              </w:tabs>
              <w:suppressAutoHyphens/>
              <w:rPr>
                <w:b/>
                <w:spacing w:val="-2"/>
              </w:rPr>
            </w:pPr>
            <w:r>
              <w:rPr>
                <w:b/>
                <w:spacing w:val="-2"/>
              </w:rPr>
              <w:t>)</w:t>
            </w:r>
          </w:p>
          <w:p w:rsidR="004C2EE3" w14:paraId="53AB7FCC" w14:textId="77777777">
            <w:pPr>
              <w:tabs>
                <w:tab w:val="center" w:pos="4680"/>
              </w:tabs>
              <w:suppressAutoHyphens/>
              <w:rPr>
                <w:b/>
                <w:spacing w:val="-2"/>
              </w:rPr>
            </w:pPr>
            <w:r>
              <w:rPr>
                <w:b/>
                <w:spacing w:val="-2"/>
              </w:rPr>
              <w:t>)</w:t>
            </w:r>
          </w:p>
          <w:p w:rsidR="004C2EE3" w14:paraId="75529264" w14:textId="77777777">
            <w:pPr>
              <w:tabs>
                <w:tab w:val="center" w:pos="4680"/>
              </w:tabs>
              <w:suppressAutoHyphens/>
              <w:rPr>
                <w:spacing w:val="-2"/>
              </w:rPr>
            </w:pPr>
            <w:r>
              <w:rPr>
                <w:b/>
                <w:spacing w:val="-2"/>
              </w:rPr>
              <w:t>)</w:t>
            </w:r>
          </w:p>
        </w:tc>
        <w:tc>
          <w:tcPr>
            <w:tcW w:w="4248" w:type="dxa"/>
          </w:tcPr>
          <w:p w:rsidR="004C2EE3" w14:paraId="7BC70BFF" w14:textId="77777777">
            <w:pPr>
              <w:tabs>
                <w:tab w:val="center" w:pos="4680"/>
              </w:tabs>
              <w:suppressAutoHyphens/>
              <w:rPr>
                <w:spacing w:val="-2"/>
              </w:rPr>
            </w:pPr>
          </w:p>
          <w:p w:rsidR="004C2EE3" w14:paraId="1E2437A4" w14:textId="77777777">
            <w:pPr>
              <w:pStyle w:val="TOAHeading"/>
              <w:tabs>
                <w:tab w:val="center" w:pos="4680"/>
                <w:tab w:val="clear" w:pos="9360"/>
              </w:tabs>
              <w:rPr>
                <w:spacing w:val="-2"/>
              </w:rPr>
            </w:pPr>
          </w:p>
          <w:p w:rsidR="00BB56EB" w:rsidRPr="00BB56EB" w:rsidP="00BB56EB" w14:paraId="6CF0DCFF" w14:textId="77777777">
            <w:pPr>
              <w:tabs>
                <w:tab w:val="center" w:pos="4680"/>
              </w:tabs>
              <w:suppressAutoHyphens/>
              <w:rPr>
                <w:spacing w:val="-2"/>
              </w:rPr>
            </w:pPr>
            <w:r w:rsidRPr="00BB56EB">
              <w:rPr>
                <w:spacing w:val="-2"/>
              </w:rPr>
              <w:t>CG Docket No. 03-123</w:t>
            </w:r>
          </w:p>
          <w:p w:rsidR="004C2EE3" w14:paraId="11A3E454" w14:textId="77777777">
            <w:pPr>
              <w:tabs>
                <w:tab w:val="center" w:pos="4680"/>
              </w:tabs>
              <w:suppressAutoHyphens/>
              <w:rPr>
                <w:spacing w:val="-2"/>
              </w:rPr>
            </w:pPr>
          </w:p>
          <w:p w:rsidR="00BB56EB" w14:paraId="2879D39D" w14:textId="77777777">
            <w:pPr>
              <w:tabs>
                <w:tab w:val="center" w:pos="4680"/>
              </w:tabs>
              <w:suppressAutoHyphens/>
              <w:rPr>
                <w:spacing w:val="-2"/>
              </w:rPr>
            </w:pPr>
          </w:p>
          <w:p w:rsidR="00BB56EB" w14:paraId="7E6443F9" w14:textId="77777777">
            <w:pPr>
              <w:tabs>
                <w:tab w:val="center" w:pos="4680"/>
              </w:tabs>
              <w:suppressAutoHyphens/>
              <w:rPr>
                <w:spacing w:val="-2"/>
              </w:rPr>
            </w:pPr>
          </w:p>
          <w:p w:rsidR="00BB56EB" w14:paraId="6E7747BF" w14:textId="67909F57">
            <w:pPr>
              <w:tabs>
                <w:tab w:val="center" w:pos="4680"/>
              </w:tabs>
              <w:suppressAutoHyphens/>
              <w:rPr>
                <w:spacing w:val="-2"/>
              </w:rPr>
            </w:pPr>
            <w:r w:rsidRPr="00BB56EB">
              <w:rPr>
                <w:spacing w:val="-2"/>
              </w:rPr>
              <w:t>CG Docket No. 10-51</w:t>
            </w:r>
          </w:p>
        </w:tc>
      </w:tr>
    </w:tbl>
    <w:p w:rsidR="004C2EE3" w:rsidP="0070224F" w14:paraId="68952FB4" w14:textId="77777777"/>
    <w:p w:rsidR="00BB56EB" w:rsidRPr="00BB56EB" w:rsidP="00BB56EB" w14:paraId="293504BA" w14:textId="77777777"/>
    <w:p w:rsidR="00BB56EB" w:rsidRPr="00BB56EB" w:rsidP="00BB56EB" w14:paraId="72031F18" w14:textId="77777777">
      <w:pPr>
        <w:jc w:val="center"/>
        <w:rPr>
          <w:rFonts w:ascii="Times New Roman Bold" w:hAnsi="Times New Roman Bold"/>
          <w:b/>
          <w:bCs/>
          <w:caps/>
          <w:szCs w:val="22"/>
        </w:rPr>
      </w:pPr>
      <w:r w:rsidRPr="00BB56EB">
        <w:rPr>
          <w:rFonts w:ascii="Times New Roman Bold" w:hAnsi="Times New Roman Bold"/>
          <w:b/>
          <w:bCs/>
          <w:caps/>
          <w:szCs w:val="22"/>
        </w:rPr>
        <w:t>ORDER</w:t>
      </w:r>
    </w:p>
    <w:p w:rsidR="00BB56EB" w:rsidRPr="00BB56EB" w:rsidP="00BB56EB" w14:paraId="7CCCDF84" w14:textId="77777777">
      <w:pPr>
        <w:tabs>
          <w:tab w:val="left" w:pos="-720"/>
        </w:tabs>
        <w:suppressAutoHyphens/>
        <w:spacing w:line="227" w:lineRule="auto"/>
        <w:rPr>
          <w:spacing w:val="-2"/>
        </w:rPr>
      </w:pPr>
    </w:p>
    <w:p w:rsidR="00BB56EB" w:rsidRPr="00BB56EB" w:rsidP="00BB56EB" w14:paraId="5AA7B846" w14:textId="458A3749">
      <w:pPr>
        <w:tabs>
          <w:tab w:val="left" w:pos="720"/>
          <w:tab w:val="right" w:pos="9360"/>
        </w:tabs>
        <w:suppressAutoHyphens/>
        <w:spacing w:line="227" w:lineRule="auto"/>
        <w:rPr>
          <w:spacing w:val="-2"/>
        </w:rPr>
      </w:pPr>
      <w:r w:rsidRPr="00BB56EB">
        <w:rPr>
          <w:b/>
          <w:spacing w:val="-2"/>
        </w:rPr>
        <w:t xml:space="preserve">Adopted:  </w:t>
      </w:r>
      <w:r w:rsidRPr="00953279" w:rsidR="007223DA">
        <w:rPr>
          <w:b/>
          <w:spacing w:val="-2"/>
        </w:rPr>
        <w:t xml:space="preserve">June </w:t>
      </w:r>
      <w:r w:rsidR="00953279">
        <w:rPr>
          <w:b/>
          <w:spacing w:val="-2"/>
        </w:rPr>
        <w:t>30</w:t>
      </w:r>
      <w:r w:rsidRPr="00953279">
        <w:rPr>
          <w:b/>
          <w:spacing w:val="-2"/>
        </w:rPr>
        <w:t>, 202</w:t>
      </w:r>
      <w:r w:rsidRPr="00953279" w:rsidR="007223DA">
        <w:rPr>
          <w:b/>
          <w:spacing w:val="-2"/>
        </w:rPr>
        <w:t>2</w:t>
      </w:r>
      <w:r w:rsidRPr="00BB56EB">
        <w:rPr>
          <w:b/>
          <w:spacing w:val="-2"/>
        </w:rPr>
        <w:tab/>
        <w:t xml:space="preserve">Released:  </w:t>
      </w:r>
      <w:r w:rsidRPr="00953279" w:rsidR="007223DA">
        <w:rPr>
          <w:b/>
          <w:spacing w:val="-2"/>
        </w:rPr>
        <w:t xml:space="preserve">June </w:t>
      </w:r>
      <w:r w:rsidR="00953279">
        <w:rPr>
          <w:b/>
          <w:spacing w:val="-2"/>
        </w:rPr>
        <w:t>30</w:t>
      </w:r>
      <w:r w:rsidRPr="00953279" w:rsidR="007223DA">
        <w:rPr>
          <w:b/>
          <w:spacing w:val="-2"/>
        </w:rPr>
        <w:t>, 2022</w:t>
      </w:r>
    </w:p>
    <w:p w:rsidR="00BB56EB" w:rsidRPr="00BB56EB" w:rsidP="00BB56EB" w14:paraId="6F552FDE" w14:textId="77777777"/>
    <w:p w:rsidR="00BB56EB" w:rsidRPr="00BB56EB" w:rsidP="00BB56EB" w14:paraId="321A3AB4" w14:textId="77777777">
      <w:pPr>
        <w:rPr>
          <w:spacing w:val="-2"/>
        </w:rPr>
      </w:pPr>
      <w:r w:rsidRPr="00BB56EB">
        <w:t xml:space="preserve">By the </w:t>
      </w:r>
      <w:r w:rsidRPr="00BB56EB">
        <w:rPr>
          <w:spacing w:val="-2"/>
        </w:rPr>
        <w:t>Chief, Consumer and Governmental Affairs Bureau:</w:t>
      </w:r>
    </w:p>
    <w:p w:rsidR="00BB56EB" w:rsidRPr="00BB56EB" w:rsidP="00BB56EB" w14:paraId="334AEA53" w14:textId="77777777">
      <w:pPr>
        <w:rPr>
          <w:spacing w:val="-2"/>
        </w:rPr>
      </w:pPr>
    </w:p>
    <w:p w:rsidR="0032098B" w:rsidP="0032098B" w14:paraId="73524E21" w14:textId="6E4984DF">
      <w:pPr>
        <w:pStyle w:val="ParaNum"/>
      </w:pPr>
      <w:r w:rsidRPr="000D18F9">
        <w:rPr>
          <w:rFonts w:eastAsia="Calibri"/>
          <w:snapToGrid/>
          <w:szCs w:val="22"/>
        </w:rPr>
        <w:t>In response to the impact of the COVID-19 pandemic in the United States,</w:t>
      </w:r>
      <w:r>
        <w:rPr>
          <w:rStyle w:val="FootnoteReference"/>
          <w:sz w:val="22"/>
          <w:szCs w:val="22"/>
        </w:rPr>
        <w:footnoteReference w:id="3"/>
      </w:r>
      <w:r w:rsidRPr="000D18F9" w:rsidR="009E6756">
        <w:rPr>
          <w:szCs w:val="22"/>
        </w:rPr>
        <w:t xml:space="preserve"> </w:t>
      </w:r>
      <w:r w:rsidRPr="000D18F9">
        <w:rPr>
          <w:rFonts w:eastAsia="Calibri"/>
          <w:snapToGrid/>
          <w:szCs w:val="22"/>
        </w:rPr>
        <w:t xml:space="preserve"> the </w:t>
      </w:r>
      <w:r w:rsidRPr="000D18F9" w:rsidR="008301BD">
        <w:rPr>
          <w:rFonts w:eastAsia="Calibri"/>
          <w:snapToGrid/>
          <w:szCs w:val="22"/>
        </w:rPr>
        <w:t>Consumer and Governmental Affairs</w:t>
      </w:r>
      <w:r w:rsidRPr="000D18F9">
        <w:rPr>
          <w:rFonts w:eastAsia="Calibri"/>
          <w:snapToGrid/>
          <w:szCs w:val="22"/>
        </w:rPr>
        <w:t xml:space="preserve"> Bureau has waived certain rules governing the telecommunications relay services (TRS) program to ensure the uninterrupted provision of TRS.</w:t>
      </w:r>
      <w:r>
        <w:rPr>
          <w:rStyle w:val="FootnoteReference"/>
          <w:rFonts w:eastAsia="Calibri"/>
          <w:snapToGrid/>
          <w:kern w:val="0"/>
          <w:sz w:val="22"/>
          <w:szCs w:val="22"/>
        </w:rPr>
        <w:footnoteReference w:id="4"/>
      </w:r>
      <w:r w:rsidRPr="000D18F9">
        <w:rPr>
          <w:rFonts w:eastAsia="Calibri"/>
          <w:snapToGrid/>
          <w:szCs w:val="22"/>
        </w:rPr>
        <w:t xml:space="preserve">  In the </w:t>
      </w:r>
      <w:r w:rsidRPr="000D18F9">
        <w:rPr>
          <w:rFonts w:eastAsia="Calibri"/>
          <w:i/>
          <w:iCs/>
          <w:snapToGrid/>
          <w:szCs w:val="22"/>
        </w:rPr>
        <w:t>March 2022 Order</w:t>
      </w:r>
      <w:r w:rsidRPr="000D18F9">
        <w:rPr>
          <w:rFonts w:eastAsia="Calibri"/>
          <w:snapToGrid/>
          <w:szCs w:val="22"/>
        </w:rPr>
        <w:t xml:space="preserve">, the Bureau noted that, “[w]e will continue to monitor the situation to determine whether </w:t>
      </w:r>
      <w:r w:rsidRPr="00BA6C08">
        <w:rPr>
          <w:snapToGrid/>
          <w:szCs w:val="22"/>
        </w:rPr>
        <w:t xml:space="preserve">an additional extension of any waiver is appropriate, but we anticipate that this will likely be the Bureau’s final </w:t>
      </w:r>
      <w:r w:rsidRPr="00BA6C08">
        <w:rPr>
          <w:snapToGrid/>
          <w:szCs w:val="22"/>
        </w:rPr>
        <w:t>extension of these waivers.</w:t>
      </w:r>
      <w:r w:rsidRPr="000D18F9">
        <w:rPr>
          <w:rFonts w:eastAsia="Calibri"/>
          <w:snapToGrid/>
          <w:szCs w:val="22"/>
        </w:rPr>
        <w:t>”</w:t>
      </w:r>
      <w:r>
        <w:rPr>
          <w:rFonts w:eastAsia="Calibri"/>
          <w:snapToGrid/>
          <w:szCs w:val="22"/>
          <w:vertAlign w:val="superscript"/>
        </w:rPr>
        <w:footnoteReference w:id="5"/>
      </w:r>
      <w:r w:rsidRPr="000D18F9">
        <w:rPr>
          <w:rFonts w:eastAsia="Calibri"/>
          <w:snapToGrid/>
          <w:szCs w:val="22"/>
        </w:rPr>
        <w:t xml:space="preserve">  </w:t>
      </w:r>
      <w:r w:rsidRPr="000D18F9" w:rsidR="008301BD">
        <w:rPr>
          <w:rFonts w:eastAsia="Calibri"/>
          <w:snapToGrid/>
          <w:szCs w:val="22"/>
        </w:rPr>
        <w:t>As discussed</w:t>
      </w:r>
      <w:r w:rsidR="008301BD">
        <w:rPr>
          <w:rFonts w:eastAsia="Calibri"/>
          <w:snapToGrid/>
        </w:rPr>
        <w:t xml:space="preserve"> below, t</w:t>
      </w:r>
      <w:r w:rsidRPr="002044EC">
        <w:rPr>
          <w:rFonts w:eastAsia="Calibri"/>
          <w:snapToGrid/>
        </w:rPr>
        <w:t xml:space="preserve">he Bureau </w:t>
      </w:r>
      <w:r w:rsidR="00391520">
        <w:rPr>
          <w:rFonts w:eastAsia="Calibri"/>
          <w:snapToGrid/>
        </w:rPr>
        <w:t>finds</w:t>
      </w:r>
      <w:r w:rsidRPr="002044EC">
        <w:rPr>
          <w:rFonts w:eastAsia="Calibri"/>
          <w:snapToGrid/>
        </w:rPr>
        <w:t xml:space="preserve"> good cause exists to </w:t>
      </w:r>
      <w:r w:rsidR="000E5C14">
        <w:t>extend</w:t>
      </w:r>
      <w:r w:rsidR="00011E09">
        <w:t xml:space="preserve"> for an additional 60 days,</w:t>
      </w:r>
      <w:r w:rsidR="000E5C14">
        <w:t xml:space="preserve"> </w:t>
      </w:r>
      <w:r w:rsidR="007128A7">
        <w:t xml:space="preserve">through </w:t>
      </w:r>
      <w:r w:rsidR="002B4A48">
        <w:t xml:space="preserve">August </w:t>
      </w:r>
      <w:r w:rsidR="007128A7">
        <w:t xml:space="preserve">30, 2022, </w:t>
      </w:r>
      <w:r w:rsidR="009D2250">
        <w:t xml:space="preserve">the limited, partial waiver </w:t>
      </w:r>
      <w:r w:rsidR="000E5C14">
        <w:t>for web and wireless Internet Protocol Captioned Telephone Service (IP CTS)</w:t>
      </w:r>
      <w:r w:rsidR="0005039F">
        <w:t xml:space="preserve"> </w:t>
      </w:r>
      <w:r w:rsidR="00253EE5">
        <w:t>provided</w:t>
      </w:r>
      <w:r w:rsidR="0005039F">
        <w:t xml:space="preserve"> by</w:t>
      </w:r>
      <w:r w:rsidR="000E5C14">
        <w:t xml:space="preserve"> Hamilton Relay, LLC, </w:t>
      </w:r>
      <w:r w:rsidR="007128A7">
        <w:t>of</w:t>
      </w:r>
      <w:r w:rsidR="000E5C14">
        <w:t xml:space="preserve"> </w:t>
      </w:r>
      <w:bookmarkStart w:id="0" w:name="_Hlk107400254"/>
      <w:r w:rsidR="000E5C14">
        <w:t>47 CFR § 64.604(a)(3)(i)</w:t>
      </w:r>
      <w:bookmarkEnd w:id="0"/>
      <w:r w:rsidR="007128A7">
        <w:t xml:space="preserve">, which prohibits </w:t>
      </w:r>
      <w:r w:rsidR="00E53914">
        <w:t>communication</w:t>
      </w:r>
      <w:r w:rsidR="009D2250">
        <w:t>s</w:t>
      </w:r>
      <w:r w:rsidR="007128A7">
        <w:t xml:space="preserve"> assistants (CAs) from </w:t>
      </w:r>
      <w:r w:rsidRPr="007128A7" w:rsidR="007128A7">
        <w:t>refusing single or sequential calls or limiting the length of relay calls.</w:t>
      </w:r>
      <w:r w:rsidRPr="009D2250" w:rsidR="009D2250">
        <w:t xml:space="preserve"> </w:t>
      </w:r>
      <w:r w:rsidR="009D2250">
        <w:t xml:space="preserve"> However, the Bureau will allow all other COVID-19 </w:t>
      </w:r>
      <w:r w:rsidR="009F2079">
        <w:t xml:space="preserve">TRS </w:t>
      </w:r>
      <w:r w:rsidR="009D2250">
        <w:t xml:space="preserve">waivers </w:t>
      </w:r>
      <w:r w:rsidR="008210C4">
        <w:t xml:space="preserve">adopted at the Bureau level </w:t>
      </w:r>
      <w:r w:rsidR="009D2250">
        <w:t xml:space="preserve">to expire </w:t>
      </w:r>
      <w:r w:rsidR="00C870B0">
        <w:t>on June 30, 2022, as scheduled.</w:t>
      </w:r>
    </w:p>
    <w:p w:rsidR="00BB56EB" w:rsidRPr="00BB56EB" w:rsidP="00BB56EB" w14:paraId="5F9837C3" w14:textId="00939ACC">
      <w:pPr>
        <w:pStyle w:val="ParaNum"/>
      </w:pPr>
      <w:r w:rsidRPr="00BB56EB">
        <w:rPr>
          <w:i/>
          <w:iCs/>
        </w:rPr>
        <w:t>Background</w:t>
      </w:r>
      <w:r w:rsidRPr="00BB56EB">
        <w:t xml:space="preserve">.  At the beginning of the COVID-19 outbreak, as states responded with emergency regulations, traffic levels </w:t>
      </w:r>
      <w:r w:rsidR="00810B68">
        <w:t xml:space="preserve">for telecommunications relay services (TRS) </w:t>
      </w:r>
      <w:r w:rsidRPr="00BB56EB">
        <w:t>increased sharply and TRS providers’ ability to staff call centers was sharply reduced, severely challenging providers’ ability to answer and process TRS calls.</w:t>
      </w:r>
      <w:r>
        <w:rPr>
          <w:rStyle w:val="FootnoteReference"/>
        </w:rPr>
        <w:footnoteReference w:id="6"/>
      </w:r>
      <w:r w:rsidRPr="00BB56EB">
        <w:t xml:space="preserve">  </w:t>
      </w:r>
      <w:r w:rsidR="00207629">
        <w:t>T</w:t>
      </w:r>
      <w:r w:rsidRPr="00BB56EB" w:rsidR="00207629">
        <w:t>o ensure the uninterrupted availability of TRS during these extraordinary circumstances</w:t>
      </w:r>
      <w:r w:rsidR="00207629">
        <w:t>,</w:t>
      </w:r>
      <w:r w:rsidR="0073453E">
        <w:t xml:space="preserve"> t</w:t>
      </w:r>
      <w:r w:rsidRPr="00BB56EB">
        <w:t xml:space="preserve">he </w:t>
      </w:r>
      <w:r w:rsidR="008301BD">
        <w:t xml:space="preserve">Bureau </w:t>
      </w:r>
      <w:r w:rsidRPr="00BB56EB">
        <w:t>temporarily waived certain provisions of the Commission’s rules on speed of answer, VRS at-home call handling, VRS call-center status notifications, international VRS calling, VRS subcontracting, emergency call handling, and early termination of calls.</w:t>
      </w:r>
      <w:r>
        <w:rPr>
          <w:rStyle w:val="FootnoteReference"/>
        </w:rPr>
        <w:footnoteReference w:id="7"/>
      </w:r>
      <w:r w:rsidRPr="00BB56EB">
        <w:t xml:space="preserve">  These emergency waivers </w:t>
      </w:r>
      <w:r w:rsidR="001E3B3D">
        <w:t xml:space="preserve">were </w:t>
      </w:r>
      <w:r w:rsidRPr="00BB56EB">
        <w:t xml:space="preserve">extended on several occasions, </w:t>
      </w:r>
      <w:r w:rsidR="00640265">
        <w:t xml:space="preserve">with </w:t>
      </w:r>
      <w:r w:rsidRPr="00BB56EB">
        <w:t xml:space="preserve">the most recent extensions </w:t>
      </w:r>
      <w:r w:rsidR="00640265">
        <w:t xml:space="preserve">scheduled to </w:t>
      </w:r>
      <w:r w:rsidRPr="00BB56EB">
        <w:t xml:space="preserve">expire </w:t>
      </w:r>
      <w:r w:rsidR="00640265">
        <w:t xml:space="preserve">on </w:t>
      </w:r>
      <w:r w:rsidR="0073453E">
        <w:t>June 30</w:t>
      </w:r>
      <w:r w:rsidRPr="00BB56EB">
        <w:t>, 202</w:t>
      </w:r>
      <w:r w:rsidR="0073453E">
        <w:t>2</w:t>
      </w:r>
      <w:r w:rsidRPr="00BB56EB">
        <w:t>.</w:t>
      </w:r>
      <w:r>
        <w:rPr>
          <w:rStyle w:val="FootnoteReference"/>
        </w:rPr>
        <w:footnoteReference w:id="8"/>
      </w:r>
      <w:r w:rsidRPr="00BB56EB">
        <w:t xml:space="preserve">  The Commission has directed the Bureau to monitor the situation and consider, if necessary, additional extension of these waivers.</w:t>
      </w:r>
      <w:r>
        <w:rPr>
          <w:rStyle w:val="FootnoteReference"/>
        </w:rPr>
        <w:footnoteReference w:id="9"/>
      </w:r>
      <w:r w:rsidRPr="00BB56EB">
        <w:t xml:space="preserve">  </w:t>
      </w:r>
    </w:p>
    <w:p w:rsidR="00BB56EB" w:rsidP="00953279" w14:paraId="6DA01B8A" w14:textId="49DED4AD">
      <w:pPr>
        <w:pStyle w:val="ParaNum"/>
        <w:widowControl/>
      </w:pPr>
      <w:r w:rsidRPr="00BB56EB">
        <w:rPr>
          <w:i/>
          <w:iCs/>
        </w:rPr>
        <w:t>Waiver Standard</w:t>
      </w:r>
      <w:r w:rsidRPr="00BB56EB">
        <w:t>.  A Commission rule may be waived for good cause shown.</w:t>
      </w:r>
      <w:r>
        <w:rPr>
          <w:rStyle w:val="FootnoteReference"/>
        </w:rPr>
        <w:footnoteReference w:id="10"/>
      </w:r>
      <w:r w:rsidRPr="00BB56EB">
        <w:t xml:space="preserve">  In particular, waiver of a rule is appropriate where the particular facts make strict enforcement of a rule inconsistent with the public interest.</w:t>
      </w:r>
      <w:r>
        <w:rPr>
          <w:rStyle w:val="FootnoteReference"/>
        </w:rPr>
        <w:footnoteReference w:id="11"/>
      </w:r>
      <w:r w:rsidRPr="00BB56EB">
        <w:t xml:space="preserve">  In addition, we may take into account considerations of hardship, equity, or more effective implementation of overall policy on an individual basis.</w:t>
      </w:r>
      <w:r>
        <w:rPr>
          <w:rStyle w:val="FootnoteReference"/>
        </w:rPr>
        <w:footnoteReference w:id="12"/>
      </w:r>
      <w:r w:rsidRPr="00BB56EB">
        <w:t xml:space="preserve">  Waiver of a rule is </w:t>
      </w:r>
      <w:r w:rsidRPr="00BB56EB">
        <w:t>appropriate if special circumstances warrant a deviation from the general rule and such deviation will serve the public interest and will not undermine the policy underlying the rule.</w:t>
      </w:r>
      <w:r>
        <w:rPr>
          <w:rStyle w:val="FootnoteReference"/>
        </w:rPr>
        <w:footnoteReference w:id="13"/>
      </w:r>
    </w:p>
    <w:p w:rsidR="00E762B6" w:rsidP="001E3B3D" w14:paraId="604008B1" w14:textId="0CB3522E">
      <w:pPr>
        <w:pStyle w:val="ParaNum"/>
        <w:widowControl/>
        <w:tabs>
          <w:tab w:val="num" w:pos="1440"/>
        </w:tabs>
        <w:spacing w:line="259" w:lineRule="auto"/>
      </w:pPr>
      <w:r w:rsidRPr="00DD0C36">
        <w:t>After reviewing the current information available on the COVID-19 pandemic</w:t>
      </w:r>
      <w:r>
        <w:rPr>
          <w:rStyle w:val="FootnoteReference"/>
        </w:rPr>
        <w:footnoteReference w:id="14"/>
      </w:r>
      <w:r w:rsidRPr="00DD0C36">
        <w:t xml:space="preserve"> and considering the length of time the previous waivers have remained in place, we have determined that it is appropriate to </w:t>
      </w:r>
      <w:r w:rsidR="00814134">
        <w:t>allow</w:t>
      </w:r>
      <w:r w:rsidRPr="00DD0C36">
        <w:t xml:space="preserve"> </w:t>
      </w:r>
      <w:r w:rsidR="00814134">
        <w:t xml:space="preserve">all the </w:t>
      </w:r>
      <w:r>
        <w:t xml:space="preserve">current </w:t>
      </w:r>
      <w:r w:rsidR="009F2079">
        <w:t xml:space="preserve">pandemic-related </w:t>
      </w:r>
      <w:r>
        <w:t>TRS waivers</w:t>
      </w:r>
      <w:r w:rsidR="00814134">
        <w:t xml:space="preserve"> </w:t>
      </w:r>
      <w:r w:rsidR="009F2079">
        <w:t xml:space="preserve">adopted at the Bureau level </w:t>
      </w:r>
      <w:r w:rsidR="00814134">
        <w:t>to terminate</w:t>
      </w:r>
      <w:r>
        <w:t>, with one exception</w:t>
      </w:r>
      <w:r w:rsidRPr="00DD0C36">
        <w:t xml:space="preserve">.  </w:t>
      </w:r>
      <w:r>
        <w:t>The</w:t>
      </w:r>
      <w:r w:rsidRPr="10C114ED">
        <w:t xml:space="preserve"> disruption</w:t>
      </w:r>
      <w:r w:rsidR="00814134">
        <w:t xml:space="preserve"> of businesses</w:t>
      </w:r>
      <w:r w:rsidRPr="10C114ED">
        <w:t xml:space="preserve"> </w:t>
      </w:r>
      <w:r w:rsidR="00814134">
        <w:t xml:space="preserve">and travel </w:t>
      </w:r>
      <w:r w:rsidRPr="10C114ED">
        <w:t xml:space="preserve">wrought by </w:t>
      </w:r>
      <w:r w:rsidRPr="10C114ED" w:rsidR="00814134">
        <w:t xml:space="preserve">stay-at-home orders </w:t>
      </w:r>
      <w:r w:rsidR="00814134">
        <w:t>and other restrictions</w:t>
      </w:r>
      <w:r w:rsidRPr="10C114ED" w:rsidR="00814134">
        <w:t xml:space="preserve"> </w:t>
      </w:r>
      <w:r w:rsidR="00814134">
        <w:t>in earlier</w:t>
      </w:r>
      <w:r w:rsidRPr="10C114ED">
        <w:t xml:space="preserve"> phases of the pandemic, which </w:t>
      </w:r>
      <w:r>
        <w:t>prompted the Bureau’s initial grant of TRS</w:t>
      </w:r>
      <w:r w:rsidRPr="10C114ED">
        <w:t xml:space="preserve"> </w:t>
      </w:r>
      <w:r>
        <w:t xml:space="preserve">rule </w:t>
      </w:r>
      <w:r w:rsidRPr="10C114ED">
        <w:t>waivers, ha</w:t>
      </w:r>
      <w:r w:rsidR="00814134">
        <w:t>s</w:t>
      </w:r>
      <w:r w:rsidRPr="10C114ED">
        <w:t xml:space="preserve"> subsided considerably.</w:t>
      </w:r>
      <w:r>
        <w:rPr>
          <w:rStyle w:val="FootnoteReference"/>
        </w:rPr>
        <w:footnoteReference w:id="15"/>
      </w:r>
      <w:r w:rsidRPr="00DD0C36">
        <w:t xml:space="preserve">  </w:t>
      </w:r>
      <w:r w:rsidR="00814134">
        <w:t>As a result,</w:t>
      </w:r>
      <w:r w:rsidR="004D6BA2">
        <w:t xml:space="preserve"> </w:t>
      </w:r>
      <w:r w:rsidR="000D2BA7">
        <w:t>many of the hardships and</w:t>
      </w:r>
      <w:r w:rsidR="00814134">
        <w:t xml:space="preserve"> threats</w:t>
      </w:r>
      <w:r w:rsidR="005A6D20">
        <w:t xml:space="preserve"> of </w:t>
      </w:r>
      <w:r w:rsidR="000D2BA7">
        <w:t xml:space="preserve">program </w:t>
      </w:r>
      <w:r w:rsidR="005A6D20">
        <w:t xml:space="preserve">disruption </w:t>
      </w:r>
      <w:r w:rsidR="000D2BA7">
        <w:t>experienced by providers earlier in the pandemic are no longer in evidence</w:t>
      </w:r>
      <w:r w:rsidR="005A6D20">
        <w:t>.</w:t>
      </w:r>
      <w:r>
        <w:rPr>
          <w:rStyle w:val="FootnoteReference"/>
        </w:rPr>
        <w:footnoteReference w:id="16"/>
      </w:r>
      <w:r w:rsidR="005A6D20">
        <w:t xml:space="preserve"> </w:t>
      </w:r>
      <w:r w:rsidR="00814134">
        <w:t xml:space="preserve"> </w:t>
      </w:r>
      <w:r w:rsidR="005A6D20">
        <w:t>Further, as</w:t>
      </w:r>
      <w:r w:rsidR="004D6BA2">
        <w:t xml:space="preserve"> a result</w:t>
      </w:r>
      <w:r w:rsidR="005A6D20">
        <w:t xml:space="preserve"> of the waivers—most of which have been in place for more than two years—</w:t>
      </w:r>
      <w:r w:rsidR="004D6BA2">
        <w:t xml:space="preserve">enforcement of </w:t>
      </w:r>
      <w:r w:rsidR="005A6D20">
        <w:t xml:space="preserve">important </w:t>
      </w:r>
      <w:r w:rsidR="004D6BA2">
        <w:t xml:space="preserve">TRS rules, including </w:t>
      </w:r>
      <w:r w:rsidR="005A6D20">
        <w:t xml:space="preserve">the </w:t>
      </w:r>
      <w:r w:rsidR="004D6BA2">
        <w:t xml:space="preserve">“cornerstone” speed-of-answer </w:t>
      </w:r>
      <w:r w:rsidR="005A6D20">
        <w:t>rule</w:t>
      </w:r>
      <w:r w:rsidR="004D6BA2">
        <w:t>,</w:t>
      </w:r>
      <w:r>
        <w:rPr>
          <w:rStyle w:val="FootnoteReference"/>
        </w:rPr>
        <w:footnoteReference w:id="17"/>
      </w:r>
      <w:r>
        <w:t xml:space="preserve"> ha</w:t>
      </w:r>
      <w:r w:rsidR="004D6BA2">
        <w:t>s</w:t>
      </w:r>
      <w:r>
        <w:t xml:space="preserve"> been suspended throughout this time period.  </w:t>
      </w:r>
      <w:r w:rsidR="004D6BA2">
        <w:t>R</w:t>
      </w:r>
      <w:r>
        <w:t xml:space="preserve">estoring </w:t>
      </w:r>
      <w:r w:rsidR="004D6BA2">
        <w:t xml:space="preserve">the </w:t>
      </w:r>
      <w:r w:rsidR="005A6D20">
        <w:t>application of these rules</w:t>
      </w:r>
      <w:r>
        <w:t xml:space="preserve"> allows us to </w:t>
      </w:r>
      <w:r w:rsidR="005A6D20">
        <w:t>ensure effective governance of the TRS program</w:t>
      </w:r>
      <w:r>
        <w:t>.</w:t>
      </w:r>
      <w:r w:rsidR="00247EEC">
        <w:t xml:space="preserve">  </w:t>
      </w:r>
    </w:p>
    <w:p w:rsidR="001E3B3D" w:rsidRPr="00DD0C36" w:rsidP="001E3B3D" w14:paraId="5EDC7BB7" w14:textId="4371C7AA">
      <w:pPr>
        <w:pStyle w:val="ParaNum"/>
        <w:widowControl/>
        <w:tabs>
          <w:tab w:val="num" w:pos="1440"/>
        </w:tabs>
        <w:spacing w:line="259" w:lineRule="auto"/>
      </w:pPr>
      <w:r>
        <w:t xml:space="preserve">Further, </w:t>
      </w:r>
      <w:r w:rsidR="00E762B6">
        <w:t xml:space="preserve">to address an ongoing shortage of American Sign Language interpreters qualified to work as VRS CAs, which appears likely to continue well beyond the end of the pandemic, the waivers of </w:t>
      </w:r>
      <w:r>
        <w:t xml:space="preserve">certain other rules, which the pandemic experience suggests may no longer be needed in their current </w:t>
      </w:r>
      <w:r>
        <w:t>form,</w:t>
      </w:r>
      <w:r>
        <w:rPr>
          <w:rStyle w:val="FootnoteReference"/>
        </w:rPr>
        <w:footnoteReference w:id="18"/>
      </w:r>
      <w:r>
        <w:t xml:space="preserve"> have been </w:t>
      </w:r>
      <w:r w:rsidR="00E762B6">
        <w:t>extended beyond June 30 by Commission order</w:t>
      </w:r>
      <w:r>
        <w:t xml:space="preserve"> </w:t>
      </w:r>
      <w:r w:rsidR="00E762B6">
        <w:t>pending action on proposed amendments of those rules.</w:t>
      </w:r>
      <w:r>
        <w:rPr>
          <w:rStyle w:val="FootnoteReference"/>
        </w:rPr>
        <w:footnoteReference w:id="19"/>
      </w:r>
      <w:r>
        <w:t xml:space="preserve"> </w:t>
      </w:r>
    </w:p>
    <w:p w:rsidR="00880337" w:rsidP="000C4148" w14:paraId="07930C8A" w14:textId="35807481">
      <w:pPr>
        <w:pStyle w:val="ParaNum"/>
      </w:pPr>
      <w:r w:rsidRPr="0058422B">
        <w:rPr>
          <w:i/>
          <w:iCs/>
        </w:rPr>
        <w:t>Waiver to Allow Temporary Interruption of Certain TRS Calls in Exigent Circumstances</w:t>
      </w:r>
      <w:r>
        <w:t xml:space="preserve">.  </w:t>
      </w:r>
      <w:r w:rsidRPr="00DD0C36" w:rsidR="000D2BA7">
        <w:t xml:space="preserve">While we find </w:t>
      </w:r>
      <w:r w:rsidR="000D2BA7">
        <w:t>it</w:t>
      </w:r>
      <w:r w:rsidRPr="00DD0C36" w:rsidR="000D2BA7">
        <w:t xml:space="preserve"> appropriate to </w:t>
      </w:r>
      <w:r w:rsidR="00330C81">
        <w:t xml:space="preserve">allow </w:t>
      </w:r>
      <w:r w:rsidR="000D2BA7">
        <w:t>other emergency waivers to expire,</w:t>
      </w:r>
      <w:r w:rsidRPr="00DD0C36" w:rsidR="000D2BA7">
        <w:t xml:space="preserve"> good cause exists to extend through </w:t>
      </w:r>
      <w:r w:rsidR="002B4A48">
        <w:t>August</w:t>
      </w:r>
      <w:r w:rsidRPr="00DD0C36" w:rsidR="000D2BA7">
        <w:t xml:space="preserve"> 30, 2022</w:t>
      </w:r>
      <w:r w:rsidR="000D2BA7">
        <w:t>,</w:t>
      </w:r>
      <w:r w:rsidR="00C70FD8">
        <w:t xml:space="preserve"> the </w:t>
      </w:r>
      <w:r w:rsidR="00AA2DE2">
        <w:t xml:space="preserve">partial </w:t>
      </w:r>
      <w:r w:rsidR="00C70FD8">
        <w:t>waiver</w:t>
      </w:r>
      <w:r w:rsidR="00361EC5">
        <w:t>, applicable only to</w:t>
      </w:r>
      <w:r w:rsidR="00AA2DE2">
        <w:t xml:space="preserve"> </w:t>
      </w:r>
      <w:r w:rsidR="00270EAB">
        <w:t>Hamilton Relay, Inc.</w:t>
      </w:r>
      <w:r w:rsidR="00AA2DE2">
        <w:t>’s</w:t>
      </w:r>
      <w:r w:rsidRPr="00361EC5" w:rsidR="00361EC5">
        <w:t xml:space="preserve"> </w:t>
      </w:r>
      <w:r w:rsidR="00361EC5">
        <w:t xml:space="preserve">web and wireless Internet Protocol Captioned Telephone Service (IP CTS), of section </w:t>
      </w:r>
      <w:r w:rsidRPr="00AA2DE2" w:rsidR="00361EC5">
        <w:t xml:space="preserve">64.604(a)(3)(i) </w:t>
      </w:r>
      <w:r w:rsidR="00361EC5">
        <w:t>of the rules, which prohibits TRS providers from refusing single or sequential calls or limiting the length of relay calls.</w:t>
      </w:r>
      <w:r>
        <w:rPr>
          <w:rStyle w:val="FootnoteReference"/>
        </w:rPr>
        <w:footnoteReference w:id="20"/>
      </w:r>
      <w:r w:rsidR="00D93ED1">
        <w:t xml:space="preserve"> </w:t>
      </w:r>
      <w:r w:rsidR="001B4961">
        <w:t xml:space="preserve"> </w:t>
      </w:r>
      <w:r w:rsidR="00361EC5">
        <w:t xml:space="preserve">This waiver </w:t>
      </w:r>
      <w:r w:rsidR="00D93ED1">
        <w:t>allows the</w:t>
      </w:r>
      <w:r w:rsidR="00361EC5">
        <w:t xml:space="preserve"> temporary</w:t>
      </w:r>
      <w:r w:rsidR="00D93ED1">
        <w:t xml:space="preserve"> interruption of </w:t>
      </w:r>
      <w:r w:rsidR="00361EC5">
        <w:t xml:space="preserve">an IP CTS </w:t>
      </w:r>
      <w:r w:rsidRPr="00BB56EB" w:rsidR="00D93ED1">
        <w:t>call in “exigent” circumstances, when such interruption is the only feasible means of replacing the CA handling the call.</w:t>
      </w:r>
      <w:r>
        <w:rPr>
          <w:rStyle w:val="FootnoteReference"/>
        </w:rPr>
        <w:footnoteReference w:id="21"/>
      </w:r>
      <w:r w:rsidR="00D93ED1">
        <w:t xml:space="preserve">  Hamilton states</w:t>
      </w:r>
      <w:r w:rsidR="00A76DA4">
        <w:t>:</w:t>
      </w:r>
      <w:r w:rsidR="009C3C19">
        <w:t xml:space="preserve"> </w:t>
      </w:r>
      <w:r w:rsidR="00A76DA4">
        <w:t xml:space="preserve"> “Since March 2022, Hamilton has made substantial progress with respect to call takeover and transfer issues for Hamilton CapTel for Business. To date, Hamilton has completed the majority of the work, and has even engaged contractors to supplement its in-house development staff in an effort to complete this project in a timely manner.”</w:t>
      </w:r>
      <w:r>
        <w:rPr>
          <w:rStyle w:val="FootnoteReference"/>
        </w:rPr>
        <w:footnoteReference w:id="22"/>
      </w:r>
      <w:r w:rsidR="00B325D8">
        <w:t xml:space="preserve"> </w:t>
      </w:r>
      <w:r w:rsidR="00A76DA4">
        <w:t xml:space="preserve"> However, </w:t>
      </w:r>
      <w:r w:rsidR="009C3C19">
        <w:t xml:space="preserve">unexpected development obstacles and delays in user rollout have caused it to fall </w:t>
      </w:r>
      <w:r w:rsidR="00E30EFC">
        <w:t>behind schedule in its plans to modify its web and wireless platforms</w:t>
      </w:r>
      <w:r w:rsidR="009C3C19">
        <w:t>, which would</w:t>
      </w:r>
      <w:r w:rsidR="00E30EFC">
        <w:t xml:space="preserve"> </w:t>
      </w:r>
      <w:r w:rsidR="00361EC5">
        <w:t xml:space="preserve">ensure full </w:t>
      </w:r>
      <w:r w:rsidR="00E30EFC">
        <w:t>compl</w:t>
      </w:r>
      <w:r w:rsidR="00361EC5">
        <w:t>iance</w:t>
      </w:r>
      <w:r w:rsidR="00E30EFC">
        <w:t xml:space="preserve"> with </w:t>
      </w:r>
      <w:r w:rsidR="00361EC5">
        <w:t>this</w:t>
      </w:r>
      <w:r w:rsidR="00E30EFC">
        <w:t xml:space="preserve"> rule.</w:t>
      </w:r>
      <w:r>
        <w:rPr>
          <w:rStyle w:val="FootnoteReference"/>
        </w:rPr>
        <w:footnoteReference w:id="23"/>
      </w:r>
    </w:p>
    <w:p w:rsidR="00270EAB" w:rsidRPr="009723DB" w:rsidP="00BB56EB" w14:paraId="32095CCB" w14:textId="03A30C35">
      <w:pPr>
        <w:pStyle w:val="ParaNum"/>
        <w:rPr>
          <w:szCs w:val="22"/>
        </w:rPr>
      </w:pPr>
      <w:r w:rsidRPr="009723DB">
        <w:rPr>
          <w:szCs w:val="22"/>
        </w:rPr>
        <w:t xml:space="preserve">As Hamilton has previously reported, the number of calls affected </w:t>
      </w:r>
      <w:r w:rsidR="0068019F">
        <w:rPr>
          <w:szCs w:val="22"/>
        </w:rPr>
        <w:t xml:space="preserve">by the </w:t>
      </w:r>
      <w:r w:rsidR="00950AFF">
        <w:rPr>
          <w:szCs w:val="22"/>
        </w:rPr>
        <w:t xml:space="preserve">call takeover issue </w:t>
      </w:r>
      <w:r w:rsidRPr="009723DB">
        <w:rPr>
          <w:szCs w:val="22"/>
        </w:rPr>
        <w:t xml:space="preserve">was extremely small at the start of the </w:t>
      </w:r>
      <w:r w:rsidRPr="000D000F">
        <w:rPr>
          <w:szCs w:val="22"/>
        </w:rPr>
        <w:t>pandemic (</w:t>
      </w:r>
      <w:r w:rsidRPr="000D000F">
        <w:rPr>
          <w:szCs w:val="22"/>
          <w:shd w:val="clear" w:color="auto" w:fill="FFFFFF"/>
        </w:rPr>
        <w:t>0.0058% of Hamilton's calls, i.e., 58 of every 1 million calls),</w:t>
      </w:r>
      <w:r>
        <w:rPr>
          <w:rStyle w:val="FootnoteReference"/>
          <w:shd w:val="clear" w:color="auto" w:fill="FFFFFF"/>
        </w:rPr>
        <w:footnoteReference w:id="24"/>
      </w:r>
      <w:r w:rsidRPr="000D000F">
        <w:rPr>
          <w:szCs w:val="22"/>
          <w:shd w:val="clear" w:color="auto" w:fill="FFFFFF"/>
        </w:rPr>
        <w:t xml:space="preserve"> and since then Hamilton found technical solutions for </w:t>
      </w:r>
      <w:r w:rsidRPr="000D000F" w:rsidR="001B4961">
        <w:rPr>
          <w:szCs w:val="22"/>
          <w:shd w:val="clear" w:color="auto" w:fill="FFFFFF"/>
        </w:rPr>
        <w:t>most of the affected services</w:t>
      </w:r>
      <w:r w:rsidRPr="000D000F" w:rsidR="009723DB">
        <w:rPr>
          <w:szCs w:val="22"/>
          <w:shd w:val="clear" w:color="auto" w:fill="FFFFFF"/>
        </w:rPr>
        <w:t>.</w:t>
      </w:r>
      <w:r>
        <w:rPr>
          <w:rStyle w:val="FootnoteReference"/>
          <w:szCs w:val="22"/>
          <w:shd w:val="clear" w:color="auto" w:fill="FFFFFF"/>
        </w:rPr>
        <w:footnoteReference w:id="25"/>
      </w:r>
      <w:r w:rsidRPr="000D000F" w:rsidR="004C27A7">
        <w:rPr>
          <w:szCs w:val="22"/>
          <w:shd w:val="clear" w:color="auto" w:fill="FFFFFF"/>
        </w:rPr>
        <w:t xml:space="preserve"> </w:t>
      </w:r>
      <w:r w:rsidRPr="000D000F" w:rsidR="00B763A9">
        <w:rPr>
          <w:szCs w:val="22"/>
          <w:shd w:val="clear" w:color="auto" w:fill="FFFFFF"/>
        </w:rPr>
        <w:t xml:space="preserve"> </w:t>
      </w:r>
      <w:r w:rsidRPr="000D000F" w:rsidR="00330C81">
        <w:rPr>
          <w:szCs w:val="22"/>
          <w:shd w:val="clear" w:color="auto" w:fill="FFFFFF"/>
        </w:rPr>
        <w:t xml:space="preserve">In light of </w:t>
      </w:r>
      <w:r w:rsidRPr="000D000F" w:rsidR="00BD50A8">
        <w:rPr>
          <w:szCs w:val="22"/>
          <w:shd w:val="clear" w:color="auto" w:fill="FFFFFF"/>
        </w:rPr>
        <w:t xml:space="preserve">Hamilton’s </w:t>
      </w:r>
      <w:r w:rsidRPr="000D000F" w:rsidR="001B4961">
        <w:rPr>
          <w:szCs w:val="22"/>
          <w:shd w:val="clear" w:color="auto" w:fill="FFFFFF"/>
        </w:rPr>
        <w:t xml:space="preserve">diligent </w:t>
      </w:r>
      <w:r w:rsidRPr="000D000F" w:rsidR="00BD50A8">
        <w:rPr>
          <w:szCs w:val="22"/>
          <w:shd w:val="clear" w:color="auto" w:fill="FFFFFF"/>
        </w:rPr>
        <w:t xml:space="preserve">efforts to resolve this issue and the </w:t>
      </w:r>
      <w:r w:rsidRPr="000D000F" w:rsidR="00211B7E">
        <w:rPr>
          <w:szCs w:val="22"/>
          <w:shd w:val="clear" w:color="auto" w:fill="FFFFFF"/>
        </w:rPr>
        <w:t>ext</w:t>
      </w:r>
      <w:r w:rsidRPr="000D000F" w:rsidR="00F173E7">
        <w:rPr>
          <w:szCs w:val="22"/>
          <w:shd w:val="clear" w:color="auto" w:fill="FFFFFF"/>
        </w:rPr>
        <w:t xml:space="preserve">remely </w:t>
      </w:r>
      <w:r w:rsidRPr="000D000F" w:rsidR="00BD50A8">
        <w:rPr>
          <w:szCs w:val="22"/>
          <w:shd w:val="clear" w:color="auto" w:fill="FFFFFF"/>
        </w:rPr>
        <w:t xml:space="preserve">small number of </w:t>
      </w:r>
      <w:r w:rsidRPr="000D000F" w:rsidR="001B4961">
        <w:rPr>
          <w:szCs w:val="22"/>
          <w:shd w:val="clear" w:color="auto" w:fill="FFFFFF"/>
        </w:rPr>
        <w:t xml:space="preserve">calls </w:t>
      </w:r>
      <w:r w:rsidRPr="000D000F" w:rsidR="00BD50A8">
        <w:rPr>
          <w:szCs w:val="22"/>
          <w:shd w:val="clear" w:color="auto" w:fill="FFFFFF"/>
        </w:rPr>
        <w:t>affected</w:t>
      </w:r>
      <w:r w:rsidRPr="000D000F" w:rsidR="00330C81">
        <w:rPr>
          <w:szCs w:val="22"/>
          <w:shd w:val="clear" w:color="auto" w:fill="FFFFFF"/>
        </w:rPr>
        <w:t>, we conclude that</w:t>
      </w:r>
      <w:r w:rsidRPr="000D000F" w:rsidR="00BD50A8">
        <w:rPr>
          <w:szCs w:val="22"/>
          <w:shd w:val="clear" w:color="auto" w:fill="FFFFFF"/>
        </w:rPr>
        <w:t xml:space="preserve"> </w:t>
      </w:r>
      <w:r w:rsidRPr="000D000F" w:rsidR="001B4961">
        <w:rPr>
          <w:szCs w:val="22"/>
          <w:shd w:val="clear" w:color="auto" w:fill="FFFFFF"/>
        </w:rPr>
        <w:t xml:space="preserve">there is good cause for </w:t>
      </w:r>
      <w:r w:rsidRPr="000D000F" w:rsidR="002B4A48">
        <w:rPr>
          <w:szCs w:val="22"/>
          <w:shd w:val="clear" w:color="auto" w:fill="FFFFFF"/>
        </w:rPr>
        <w:t>waiving the rule for an additional 60 days</w:t>
      </w:r>
      <w:r w:rsidRPr="000D000F" w:rsidR="00F173E7">
        <w:rPr>
          <w:szCs w:val="22"/>
          <w:shd w:val="clear" w:color="auto" w:fill="FFFFFF"/>
        </w:rPr>
        <w:t>.</w:t>
      </w:r>
      <w:r w:rsidRPr="000D000F" w:rsidR="004C27A7">
        <w:rPr>
          <w:szCs w:val="22"/>
          <w:shd w:val="clear" w:color="auto" w:fill="FFFFFF"/>
        </w:rPr>
        <w:t xml:space="preserve"> </w:t>
      </w:r>
      <w:r w:rsidRPr="000D000F" w:rsidR="009723DB">
        <w:rPr>
          <w:szCs w:val="22"/>
          <w:shd w:val="clear" w:color="auto" w:fill="FFFFFF"/>
        </w:rPr>
        <w:t xml:space="preserve"> </w:t>
      </w:r>
    </w:p>
    <w:p w:rsidR="00BB56EB" w:rsidRPr="00BB56EB" w:rsidP="00C94336" w14:paraId="340B10FC" w14:textId="77777777">
      <w:pPr>
        <w:pStyle w:val="ParaNum"/>
        <w:widowControl/>
      </w:pPr>
      <w:r w:rsidRPr="00BB56EB">
        <w:rPr>
          <w:i/>
          <w:iCs/>
        </w:rPr>
        <w:t>People with Disabilities.</w:t>
      </w:r>
      <w:r w:rsidRPr="00BB56EB">
        <w:t xml:space="preserve">  To request materials in accessible formats for people with disabilities (Braille, large print, electronic files, audio format), send an e-mail to fcc504@fcc.gov or call the Consumer and Governmental Affairs Bureau at 202-418-0530.</w:t>
      </w:r>
    </w:p>
    <w:p w:rsidR="00BB56EB" w:rsidRPr="00BB56EB" w:rsidP="00BB56EB" w14:paraId="2797722F" w14:textId="219CD0F4">
      <w:pPr>
        <w:pStyle w:val="ParaNum"/>
      </w:pPr>
      <w:r w:rsidRPr="00BB56EB">
        <w:rPr>
          <w:i/>
          <w:iCs/>
        </w:rPr>
        <w:t>Additional Information.</w:t>
      </w:r>
      <w:r w:rsidRPr="00BB56EB">
        <w:t xml:space="preserve">  For further information regarding this item, </w:t>
      </w:r>
      <w:bookmarkStart w:id="4" w:name="_Hlk105579601"/>
      <w:r w:rsidRPr="00BB56EB">
        <w:t xml:space="preserve">please contact </w:t>
      </w:r>
      <w:r w:rsidR="008570B6">
        <w:t xml:space="preserve">Ike </w:t>
      </w:r>
      <w:r w:rsidR="00534D27">
        <w:t>O</w:t>
      </w:r>
      <w:r w:rsidR="002808E8">
        <w:t>f</w:t>
      </w:r>
      <w:r w:rsidR="00534D27">
        <w:t>obike</w:t>
      </w:r>
      <w:r w:rsidRPr="00BB56EB">
        <w:t xml:space="preserve">, Disability Rights Office, Consumer and Governmental Affairs Bureau, by e-mail to </w:t>
      </w:r>
      <w:r w:rsidR="00534D27">
        <w:t>Ike.O</w:t>
      </w:r>
      <w:r w:rsidR="002808E8">
        <w:t>f</w:t>
      </w:r>
      <w:r w:rsidR="00534D27">
        <w:t>obike@fcc.g</w:t>
      </w:r>
      <w:r w:rsidR="003415DA">
        <w:t>ov</w:t>
      </w:r>
      <w:bookmarkEnd w:id="4"/>
      <w:r w:rsidRPr="00BB56EB">
        <w:t xml:space="preserve">. </w:t>
      </w:r>
    </w:p>
    <w:p w:rsidR="00BB56EB" w:rsidRPr="00BB56EB" w:rsidP="00BB56EB" w14:paraId="54F2FF9B" w14:textId="77777777">
      <w:pPr>
        <w:pStyle w:val="ParaNum"/>
      </w:pPr>
      <w:r w:rsidRPr="00BB56EB">
        <w:t>Accordingly, IT IS ORDERED that, pursuant to sections 4(i), 4(j), and 225 of the Communications Act of 1934, as amended, 47 U.S.C. §§ 154(i), 154(j), 225, and sections 0.141, 0.361, and 1.3 of the Commission’s rules, 47 CFR §§ 0.141, 0.361, 1.3, this Order IS ADOPTED.</w:t>
      </w:r>
    </w:p>
    <w:p w:rsidR="002C3C82" w:rsidP="00087611" w14:paraId="5D156781" w14:textId="01E3E1BA">
      <w:pPr>
        <w:pStyle w:val="ParaNum"/>
        <w:widowControl/>
      </w:pPr>
      <w:r w:rsidRPr="00BB56EB">
        <w:t xml:space="preserve">IT IS FURTHER ORDERED that, pursuant to sections 1, 2, and 225 of the Communications Act of 1934, as amended, 47 U.S.C. §§ 151, 152, 225, and sections 0.141, 0.361, and 1.3 of the Commission’s rules, 47 CFR §§ 0.141, 0.361, 1.3, </w:t>
      </w:r>
      <w:r w:rsidRPr="00BB56EB">
        <w:rPr>
          <w:rFonts w:eastAsia="Calibri"/>
          <w:snapToGrid/>
        </w:rPr>
        <w:t xml:space="preserve">the </w:t>
      </w:r>
      <w:r w:rsidR="00A80545">
        <w:rPr>
          <w:rFonts w:eastAsia="Calibri"/>
          <w:snapToGrid/>
        </w:rPr>
        <w:t>waiver of the rule</w:t>
      </w:r>
      <w:r w:rsidR="008D5B46">
        <w:rPr>
          <w:rFonts w:eastAsia="Calibri"/>
          <w:snapToGrid/>
        </w:rPr>
        <w:t xml:space="preserve"> provision </w:t>
      </w:r>
      <w:r w:rsidR="000D2E35">
        <w:rPr>
          <w:rFonts w:eastAsia="Calibri"/>
          <w:snapToGrid/>
        </w:rPr>
        <w:t>listed in paragraph 1 hereof</w:t>
      </w:r>
      <w:r w:rsidR="00A80545">
        <w:rPr>
          <w:rFonts w:eastAsia="Calibri"/>
          <w:snapToGrid/>
        </w:rPr>
        <w:t xml:space="preserve">, originally granted </w:t>
      </w:r>
      <w:r w:rsidRPr="00BB56EB">
        <w:t xml:space="preserve">in the </w:t>
      </w:r>
      <w:r w:rsidRPr="00BB56EB">
        <w:rPr>
          <w:i/>
          <w:iCs/>
        </w:rPr>
        <w:t>TRS Waiver Orders</w:t>
      </w:r>
      <w:r w:rsidRPr="00BB56EB">
        <w:t xml:space="preserve">, as described herein, </w:t>
      </w:r>
      <w:r w:rsidR="006339E1">
        <w:t xml:space="preserve">is </w:t>
      </w:r>
      <w:r w:rsidRPr="00BB56EB">
        <w:t xml:space="preserve">extended through </w:t>
      </w:r>
      <w:r w:rsidR="002B4A48">
        <w:t xml:space="preserve">August </w:t>
      </w:r>
      <w:r w:rsidRPr="00BB56EB">
        <w:t>3</w:t>
      </w:r>
      <w:r w:rsidR="00444A8F">
        <w:t>0</w:t>
      </w:r>
      <w:r w:rsidRPr="00BB56EB">
        <w:t>, 2022</w:t>
      </w:r>
      <w:r w:rsidR="000D2E35">
        <w:t>, to the extent de</w:t>
      </w:r>
      <w:r w:rsidR="00743EF3">
        <w:t xml:space="preserve">scribed </w:t>
      </w:r>
      <w:r w:rsidR="005F0699">
        <w:t>herein</w:t>
      </w:r>
      <w:r w:rsidR="0004778D">
        <w:t>.</w:t>
      </w:r>
    </w:p>
    <w:p w:rsidR="00BB56EB" w:rsidRPr="00BB56EB" w:rsidP="00BB56EB" w14:paraId="3D02118F" w14:textId="77777777">
      <w:pPr>
        <w:pStyle w:val="ParaNum"/>
      </w:pPr>
      <w:r w:rsidRPr="00BB56EB">
        <w:t xml:space="preserve">IT IS FURTHER ORDERED that, pursuant to section 1.102(b)(1) of the Commission’s rules, </w:t>
      </w:r>
      <w:r w:rsidRPr="00BB56EB">
        <w:rPr>
          <w:color w:val="000000"/>
        </w:rPr>
        <w:t>47 CFR § 1.102(b)(1), this Order SHALL BE EFFECTIVE upon release.</w:t>
      </w:r>
    </w:p>
    <w:p w:rsidR="00BB56EB" w:rsidRPr="00BB56EB" w:rsidP="00BB56EB" w14:paraId="13688101" w14:textId="77777777">
      <w:pPr>
        <w:tabs>
          <w:tab w:val="left" w:pos="1440"/>
        </w:tabs>
        <w:spacing w:after="120"/>
        <w:ind w:left="720"/>
      </w:pPr>
    </w:p>
    <w:p w:rsidR="00BB56EB" w:rsidRPr="00BB56EB" w:rsidP="00BB56EB" w14:paraId="2B29C5FA" w14:textId="77777777">
      <w:pPr>
        <w:autoSpaceDE w:val="0"/>
        <w:autoSpaceDN w:val="0"/>
        <w:adjustRightInd w:val="0"/>
        <w:ind w:left="4320"/>
        <w:rPr>
          <w:color w:val="000000"/>
        </w:rPr>
      </w:pPr>
      <w:r w:rsidRPr="00BB56EB">
        <w:rPr>
          <w:color w:val="000000"/>
        </w:rPr>
        <w:t>FEDERAL COMMUNICATIONS COMMISSION</w:t>
      </w:r>
    </w:p>
    <w:p w:rsidR="00BB56EB" w:rsidRPr="00BB56EB" w:rsidP="00BB56EB" w14:paraId="7C9CCDA6" w14:textId="77777777">
      <w:pPr>
        <w:autoSpaceDE w:val="0"/>
        <w:autoSpaceDN w:val="0"/>
        <w:adjustRightInd w:val="0"/>
        <w:rPr>
          <w:color w:val="000000"/>
        </w:rPr>
      </w:pPr>
    </w:p>
    <w:p w:rsidR="00BB56EB" w:rsidRPr="00BB56EB" w:rsidP="00BB56EB" w14:paraId="268A6499" w14:textId="77777777">
      <w:pPr>
        <w:autoSpaceDE w:val="0"/>
        <w:autoSpaceDN w:val="0"/>
        <w:adjustRightInd w:val="0"/>
        <w:rPr>
          <w:color w:val="000000"/>
        </w:rPr>
      </w:pPr>
    </w:p>
    <w:p w:rsidR="00BB56EB" w:rsidRPr="00BB56EB" w:rsidP="00BB56EB" w14:paraId="26420ED6" w14:textId="77777777">
      <w:pPr>
        <w:autoSpaceDE w:val="0"/>
        <w:autoSpaceDN w:val="0"/>
        <w:adjustRightInd w:val="0"/>
        <w:rPr>
          <w:color w:val="000000"/>
        </w:rPr>
      </w:pPr>
    </w:p>
    <w:p w:rsidR="00BB56EB" w:rsidRPr="00BB56EB" w:rsidP="00BB56EB" w14:paraId="4F3FE5A2" w14:textId="77777777">
      <w:pPr>
        <w:autoSpaceDE w:val="0"/>
        <w:autoSpaceDN w:val="0"/>
        <w:adjustRightInd w:val="0"/>
        <w:ind w:left="3600" w:firstLine="720"/>
        <w:rPr>
          <w:color w:val="000000"/>
        </w:rPr>
      </w:pPr>
    </w:p>
    <w:p w:rsidR="00BB56EB" w:rsidRPr="00BB56EB" w:rsidP="00BB56EB" w14:paraId="6159530A" w14:textId="7190EFB5">
      <w:pPr>
        <w:autoSpaceDE w:val="0"/>
        <w:autoSpaceDN w:val="0"/>
        <w:adjustRightInd w:val="0"/>
        <w:ind w:left="3600" w:firstLine="720"/>
        <w:rPr>
          <w:color w:val="000000"/>
        </w:rPr>
      </w:pPr>
      <w:r>
        <w:rPr>
          <w:color w:val="000000"/>
        </w:rPr>
        <w:t>Alejan</w:t>
      </w:r>
      <w:r w:rsidR="00D74045">
        <w:rPr>
          <w:color w:val="000000"/>
        </w:rPr>
        <w:t>dro Roark</w:t>
      </w:r>
      <w:r w:rsidRPr="00BB56EB" w:rsidR="009E6756">
        <w:rPr>
          <w:color w:val="000000"/>
        </w:rPr>
        <w:t>, Chief</w:t>
      </w:r>
    </w:p>
    <w:p w:rsidR="00BB56EB" w:rsidRPr="00BB56EB" w:rsidP="00BB56EB" w14:paraId="3AD382A5" w14:textId="77777777">
      <w:pPr>
        <w:spacing w:after="120"/>
        <w:ind w:left="3600" w:firstLine="720"/>
      </w:pPr>
      <w:r w:rsidRPr="00BB56EB">
        <w:rPr>
          <w:color w:val="000000"/>
        </w:rPr>
        <w:t>Consumer and Governmental Affairs Bureau</w:t>
      </w:r>
    </w:p>
    <w:p w:rsidR="00BB56EB" w:rsidRPr="00BB56EB" w:rsidP="00BB56EB" w14:paraId="5F47CFE0" w14:textId="77777777">
      <w:pPr>
        <w:tabs>
          <w:tab w:val="left" w:pos="1440"/>
        </w:tabs>
        <w:spacing w:after="120"/>
        <w:ind w:left="720"/>
      </w:pPr>
    </w:p>
    <w:p w:rsidR="00412FC5" w:rsidP="00BB56EB" w14:paraId="23239384" w14:textId="77777777">
      <w:pPr>
        <w:pStyle w:val="StyleBoldCentered"/>
      </w:pP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0BE11FFE"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569500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74E4C00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06A83DBE"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00DA080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0B88" w14:paraId="117946E5" w14:textId="77777777">
      <w:r>
        <w:separator/>
      </w:r>
    </w:p>
  </w:footnote>
  <w:footnote w:type="continuationSeparator" w:id="1">
    <w:p w:rsidR="00210B88" w:rsidP="00C721AC" w14:paraId="74A6EE87" w14:textId="77777777">
      <w:pPr>
        <w:spacing w:before="120"/>
        <w:rPr>
          <w:sz w:val="20"/>
        </w:rPr>
      </w:pPr>
      <w:r>
        <w:rPr>
          <w:sz w:val="20"/>
        </w:rPr>
        <w:t xml:space="preserve">(Continued from previous page)  </w:t>
      </w:r>
      <w:r>
        <w:rPr>
          <w:sz w:val="20"/>
        </w:rPr>
        <w:separator/>
      </w:r>
    </w:p>
  </w:footnote>
  <w:footnote w:type="continuationNotice" w:id="2">
    <w:p w:rsidR="00210B88" w:rsidP="00C721AC" w14:paraId="4830B7FC" w14:textId="77777777">
      <w:pPr>
        <w:jc w:val="right"/>
        <w:rPr>
          <w:sz w:val="20"/>
        </w:rPr>
      </w:pPr>
      <w:r>
        <w:rPr>
          <w:sz w:val="20"/>
        </w:rPr>
        <w:t>(continued….)</w:t>
      </w:r>
    </w:p>
  </w:footnote>
  <w:footnote w:id="3">
    <w:p w:rsidR="00BB56EB" w:rsidP="00BB56EB" w14:paraId="60FEBFB5" w14:textId="3146C618">
      <w:pPr>
        <w:pStyle w:val="FootnoteText"/>
      </w:pPr>
      <w:r>
        <w:rPr>
          <w:rStyle w:val="FootnoteReference"/>
        </w:rPr>
        <w:footnoteRef/>
      </w:r>
      <w:r>
        <w:t xml:space="preserve"> </w:t>
      </w:r>
      <w:r w:rsidRPr="00D15E20">
        <w:rPr>
          <w:i/>
          <w:iCs/>
        </w:rPr>
        <w:t>See</w:t>
      </w:r>
      <w:r w:rsidRPr="00CD14B5">
        <w:t xml:space="preserve"> </w:t>
      </w:r>
      <w:r w:rsidRPr="007C0479">
        <w:t xml:space="preserve">Executive Office of the President, Continuation of the National Emergency Concerning the Coronavirus </w:t>
      </w:r>
      <w:r w:rsidRPr="007C0479">
        <w:br/>
        <w:t>Disease 2019 (COVID-19</w:t>
      </w:r>
      <w:r>
        <w:t>)</w:t>
      </w:r>
      <w:r w:rsidRPr="007C0479">
        <w:t xml:space="preserve"> Pandemic, 86 FR 11599 (Feb. 2</w:t>
      </w:r>
      <w:r>
        <w:t>6</w:t>
      </w:r>
      <w:r w:rsidRPr="007C0479">
        <w:t xml:space="preserve">, 2021) (“national emergency declared on March 13, </w:t>
      </w:r>
      <w:r w:rsidRPr="007C0479">
        <w:br/>
        <w:t xml:space="preserve">2020, and beginning March 1, 2020, must continue in effect beyond March 1, 2021”); Executive Office of the </w:t>
      </w:r>
      <w:r w:rsidRPr="007C0479">
        <w:br/>
        <w:t xml:space="preserve">President, Declaring a National Emergency Concerning the Novel Coronavirus Disease (COVID-19) Outbreak, 85 </w:t>
      </w:r>
      <w:r w:rsidRPr="007C0479">
        <w:br/>
        <w:t>FR 15337 (Mar. 1</w:t>
      </w:r>
      <w:r>
        <w:t>8</w:t>
      </w:r>
      <w:r w:rsidRPr="007C0479">
        <w:t xml:space="preserve">, 2020); </w:t>
      </w:r>
      <w:r w:rsidRPr="00063700">
        <w:rPr>
          <w:i/>
          <w:iCs/>
        </w:rPr>
        <w:t>see also</w:t>
      </w:r>
      <w:r w:rsidRPr="007C0479">
        <w:t xml:space="preserve"> Executive Office of the President, </w:t>
      </w:r>
      <w:r>
        <w:t xml:space="preserve">Statement by President Joe Biden on the Omicron COVID-19 Variant (Nov. 26, 2021), </w:t>
      </w:r>
      <w:hyperlink r:id="rId1" w:history="1">
        <w:r w:rsidRPr="00287437" w:rsidR="00287437">
          <w:rPr>
            <w:rStyle w:val="Hyperlink"/>
          </w:rPr>
          <w:t>https://www.whitehouse.gov/briefing-room/statements-releases/‌2021/11/26/statement-by-president-joe-biden-on-the-omicron-covid-19-variant/</w:t>
        </w:r>
      </w:hyperlink>
      <w:r w:rsidRPr="00391520" w:rsidR="00391520">
        <w:rPr>
          <w:rStyle w:val="Hyperlink"/>
          <w:u w:val="none"/>
        </w:rPr>
        <w:t xml:space="preserve">; </w:t>
      </w:r>
      <w:r w:rsidRPr="00391520" w:rsidR="00391520">
        <w:rPr>
          <w:rStyle w:val="Hyperlink"/>
          <w:color w:val="auto"/>
          <w:u w:val="none"/>
        </w:rPr>
        <w:t>U.S. Dept. of Health and Human Services, Office of the Assistant Secretary for Preparedness and Response,</w:t>
      </w:r>
      <w:r w:rsidRPr="00391520" w:rsidR="00391520">
        <w:t xml:space="preserve"> </w:t>
      </w:r>
      <w:r w:rsidRPr="00391520" w:rsidR="00391520">
        <w:rPr>
          <w:rStyle w:val="Hyperlink"/>
          <w:i/>
          <w:iCs/>
          <w:color w:val="auto"/>
          <w:u w:val="none"/>
        </w:rPr>
        <w:t>Renewal of De​​termination That A Public Health Emergency Exists</w:t>
      </w:r>
      <w:r w:rsidR="00391520">
        <w:rPr>
          <w:rStyle w:val="Hyperlink"/>
          <w:color w:val="auto"/>
          <w:u w:val="none"/>
        </w:rPr>
        <w:t xml:space="preserve"> (Apr. 12, 2022)</w:t>
      </w:r>
      <w:r w:rsidRPr="00391520" w:rsidR="00391520">
        <w:rPr>
          <w:rStyle w:val="Hyperlink"/>
          <w:color w:val="auto"/>
          <w:u w:val="none"/>
        </w:rPr>
        <w:t>,</w:t>
      </w:r>
      <w:r w:rsidRPr="00391520" w:rsidR="00391520">
        <w:t xml:space="preserve"> </w:t>
      </w:r>
      <w:r w:rsidR="007364BF">
        <w:t xml:space="preserve"> </w:t>
      </w:r>
      <w:hyperlink r:id="rId2" w:history="1">
        <w:r w:rsidRPr="00950986" w:rsidR="007364BF">
          <w:rPr>
            <w:rStyle w:val="Hyperlink"/>
          </w:rPr>
          <w:t>https://aspr.hhs.gov/legal/PHE/Pages/COVID19-12Apr2022.aspx</w:t>
        </w:r>
      </w:hyperlink>
      <w:r w:rsidR="007364BF">
        <w:t xml:space="preserve">. </w:t>
      </w:r>
    </w:p>
  </w:footnote>
  <w:footnote w:id="4">
    <w:p w:rsidR="002044EC" w:rsidP="002044EC" w14:paraId="0A93091B" w14:textId="51B1D2E6">
      <w:pPr>
        <w:pStyle w:val="FootnoteText"/>
      </w:pPr>
      <w:r>
        <w:rPr>
          <w:rStyle w:val="FootnoteReference"/>
        </w:rPr>
        <w:footnoteRef/>
      </w:r>
      <w:r>
        <w:t xml:space="preserve"> </w:t>
      </w:r>
      <w:r w:rsidRPr="00D15E20" w:rsidR="008301BD">
        <w:rPr>
          <w:i/>
          <w:iCs/>
        </w:rPr>
        <w:t>Telecommunications Relay Services and Speech-to-Speech Services for Individuals with Hearing and Speech Disabilities</w:t>
      </w:r>
      <w:r w:rsidRPr="00D15E20" w:rsidR="008301BD">
        <w:t>;</w:t>
      </w:r>
      <w:r w:rsidRPr="00D15E20" w:rsidR="008301BD">
        <w:rPr>
          <w:i/>
          <w:iCs/>
        </w:rPr>
        <w:t xml:space="preserve"> Structure and Practices of Video Relay Service Program</w:t>
      </w:r>
      <w:r w:rsidRPr="00D15E20" w:rsidR="008301BD">
        <w:t xml:space="preserve">, CG Docket Nos. 03-123 and 10-51, Order, 35 FCC Rcd 2715 (CGB 2020) </w:t>
      </w:r>
      <w:r w:rsidRPr="006F0252" w:rsidR="008301BD">
        <w:t>(</w:t>
      </w:r>
      <w:r w:rsidRPr="006F0252" w:rsidR="008301BD">
        <w:rPr>
          <w:i/>
          <w:iCs/>
        </w:rPr>
        <w:t xml:space="preserve">March </w:t>
      </w:r>
      <w:r w:rsidR="008301BD">
        <w:rPr>
          <w:i/>
          <w:iCs/>
        </w:rPr>
        <w:t xml:space="preserve">2020 </w:t>
      </w:r>
      <w:r w:rsidRPr="006F0252" w:rsidR="008301BD">
        <w:rPr>
          <w:i/>
          <w:iCs/>
        </w:rPr>
        <w:t>Order</w:t>
      </w:r>
      <w:r w:rsidRPr="006F0252" w:rsidR="008301BD">
        <w:t>)</w:t>
      </w:r>
      <w:r w:rsidR="008301BD">
        <w:t xml:space="preserve">; </w:t>
      </w:r>
      <w:r w:rsidRPr="00D15E20">
        <w:rPr>
          <w:i/>
          <w:iCs/>
        </w:rPr>
        <w:t>Telecommunications Relay Services and Speech-to-Speech Services for Individuals with Hearing and Speech Disabilities</w:t>
      </w:r>
      <w:r w:rsidRPr="00D15E20">
        <w:t>;</w:t>
      </w:r>
      <w:r w:rsidRPr="00D15E20">
        <w:rPr>
          <w:i/>
          <w:iCs/>
        </w:rPr>
        <w:t xml:space="preserve"> Structure and Practices of Video Relay Service Program</w:t>
      </w:r>
      <w:r w:rsidRPr="00D15E20">
        <w:t>, CG Docket Nos. 03-123 and 10-51, Order, 35 FCC Rcd 3018 (CGB 2020)</w:t>
      </w:r>
      <w:r w:rsidRPr="006F0252">
        <w:t xml:space="preserve"> </w:t>
      </w:r>
      <w:r w:rsidRPr="00D15E20">
        <w:t>(</w:t>
      </w:r>
      <w:r w:rsidRPr="00D15E20">
        <w:rPr>
          <w:i/>
          <w:iCs/>
        </w:rPr>
        <w:t xml:space="preserve">April </w:t>
      </w:r>
      <w:r>
        <w:rPr>
          <w:i/>
          <w:iCs/>
        </w:rPr>
        <w:t xml:space="preserve">2020 </w:t>
      </w:r>
      <w:r w:rsidRPr="00D15E20">
        <w:rPr>
          <w:i/>
          <w:iCs/>
        </w:rPr>
        <w:t>Order</w:t>
      </w:r>
      <w:r w:rsidRPr="00D15E20">
        <w:t xml:space="preserve">); </w:t>
      </w:r>
      <w:r w:rsidRPr="00D15E20">
        <w:rPr>
          <w:i/>
          <w:iCs/>
        </w:rPr>
        <w:t>Telecommunications Relay Services and Speech-to-Speech Services for Individuals with Hearing and Speech Disabilities</w:t>
      </w:r>
      <w:r w:rsidRPr="00D15E20">
        <w:t xml:space="preserve">; </w:t>
      </w:r>
      <w:r w:rsidRPr="00D15E20">
        <w:rPr>
          <w:i/>
          <w:iCs/>
        </w:rPr>
        <w:t>Structure and Practices of the Video Relay Service Program</w:t>
      </w:r>
      <w:r w:rsidRPr="00D15E20">
        <w:t>, CG Docket Nos. 03-123 and 10-51, Order, 35 FCC Rcd 4894 (CGB 2020) (</w:t>
      </w:r>
      <w:r w:rsidRPr="00D15E20">
        <w:rPr>
          <w:i/>
          <w:iCs/>
        </w:rPr>
        <w:t xml:space="preserve">May </w:t>
      </w:r>
      <w:r>
        <w:rPr>
          <w:i/>
          <w:iCs/>
        </w:rPr>
        <w:t xml:space="preserve">2020 </w:t>
      </w:r>
      <w:r w:rsidRPr="00D15E20">
        <w:rPr>
          <w:i/>
          <w:iCs/>
        </w:rPr>
        <w:t>Order</w:t>
      </w:r>
      <w:r w:rsidRPr="00D15E20">
        <w:t xml:space="preserve">); </w:t>
      </w:r>
      <w:r>
        <w:rPr>
          <w:i/>
          <w:iCs/>
        </w:rPr>
        <w:t>Telecommunications Relay Services and Speech-to-Speech Services for Individuals with Hearing and Speech Disabilities; Structure and Practices of Video Relay Service Program</w:t>
      </w:r>
      <w:r>
        <w:t>, CG Docket Nos. 03-123 and 10-51, Order, 35 FCC Rcd 14634 (CGB 2020) (</w:t>
      </w:r>
      <w:r>
        <w:rPr>
          <w:i/>
          <w:iCs/>
        </w:rPr>
        <w:t>December 2020 Order</w:t>
      </w:r>
      <w:r>
        <w:t xml:space="preserve">); </w:t>
      </w:r>
      <w:r w:rsidRPr="00A62392">
        <w:rPr>
          <w:i/>
          <w:iCs/>
        </w:rPr>
        <w:t>Telecommunications Relay Services and Speech to Speech Services for Individuals with Hearing and Speech Disabilities; Structure and Practices of the Video Relay Service Program</w:t>
      </w:r>
      <w:r w:rsidRPr="00A62392">
        <w:t>,</w:t>
      </w:r>
      <w:r w:rsidRPr="00A62392">
        <w:rPr>
          <w:i/>
          <w:iCs/>
        </w:rPr>
        <w:t xml:space="preserve"> </w:t>
      </w:r>
      <w:r w:rsidRPr="00A62392">
        <w:t>CG Docket Nos. 03-123 and 10-51,</w:t>
      </w:r>
      <w:r>
        <w:t xml:space="preserve"> Order, DA 21-1653 (CGB 2021) (</w:t>
      </w:r>
      <w:r>
        <w:rPr>
          <w:i/>
          <w:iCs/>
        </w:rPr>
        <w:t>December 2021 Order</w:t>
      </w:r>
      <w:r>
        <w:t xml:space="preserve">) (allowing certain waivers to expire); </w:t>
      </w:r>
      <w:r w:rsidRPr="00A62392">
        <w:rPr>
          <w:i/>
          <w:iCs/>
        </w:rPr>
        <w:t>Telecommunications Relay Services and Speech to Speech Services for Individuals with Hearing and Speech Disabilities; Structure and Practices of the Video Relay Service Program</w:t>
      </w:r>
      <w:r w:rsidRPr="00A62392">
        <w:t>,</w:t>
      </w:r>
      <w:r w:rsidRPr="00A62392">
        <w:rPr>
          <w:i/>
          <w:iCs/>
        </w:rPr>
        <w:t xml:space="preserve"> </w:t>
      </w:r>
      <w:r w:rsidRPr="00A62392">
        <w:t>CG Docket Nos. 03-123 and 10-51,</w:t>
      </w:r>
      <w:r>
        <w:t xml:space="preserve"> Order, DA </w:t>
      </w:r>
      <w:r w:rsidRPr="000D6DF1">
        <w:t>22-324</w:t>
      </w:r>
      <w:r>
        <w:t xml:space="preserve"> (CGB 2022) (</w:t>
      </w:r>
      <w:r>
        <w:rPr>
          <w:i/>
          <w:iCs/>
        </w:rPr>
        <w:t>March 2022 Order</w:t>
      </w:r>
      <w:r>
        <w:t>)</w:t>
      </w:r>
      <w:r w:rsidR="00BA6C08">
        <w:t xml:space="preserve"> (extending current waivers through June 30, 2022)</w:t>
      </w:r>
      <w:r>
        <w:t>.</w:t>
      </w:r>
    </w:p>
  </w:footnote>
  <w:footnote w:id="5">
    <w:p w:rsidR="002044EC" w:rsidP="002044EC" w14:paraId="45D111EC" w14:textId="77777777">
      <w:pPr>
        <w:pStyle w:val="FootnoteText"/>
      </w:pPr>
      <w:r>
        <w:rPr>
          <w:rStyle w:val="FootnoteReference"/>
        </w:rPr>
        <w:footnoteRef/>
      </w:r>
      <w:r>
        <w:t xml:space="preserve"> </w:t>
      </w:r>
      <w:r>
        <w:rPr>
          <w:i/>
          <w:iCs/>
        </w:rPr>
        <w:t>March 2022 Order</w:t>
      </w:r>
      <w:r>
        <w:t xml:space="preserve"> at 1, para. 1.</w:t>
      </w:r>
    </w:p>
  </w:footnote>
  <w:footnote w:id="6">
    <w:p w:rsidR="00BB56EB" w:rsidP="00BB56EB" w14:paraId="23894630" w14:textId="426F4AAE">
      <w:pPr>
        <w:pStyle w:val="FootnoteText"/>
      </w:pPr>
      <w:r>
        <w:rPr>
          <w:rStyle w:val="FootnoteReference"/>
        </w:rPr>
        <w:footnoteRef/>
      </w:r>
      <w:r>
        <w:t xml:space="preserve"> </w:t>
      </w:r>
      <w:r>
        <w:rPr>
          <w:i/>
          <w:iCs/>
        </w:rPr>
        <w:t>See</w:t>
      </w:r>
      <w:r>
        <w:t xml:space="preserve"> </w:t>
      </w:r>
      <w:r w:rsidRPr="006F0252" w:rsidR="00BA6C08">
        <w:rPr>
          <w:i/>
          <w:iCs/>
        </w:rPr>
        <w:t xml:space="preserve">March </w:t>
      </w:r>
      <w:r w:rsidR="00BA6C08">
        <w:rPr>
          <w:i/>
          <w:iCs/>
        </w:rPr>
        <w:t xml:space="preserve">2020 </w:t>
      </w:r>
      <w:r w:rsidRPr="006F0252" w:rsidR="00BA6C08">
        <w:rPr>
          <w:i/>
          <w:iCs/>
        </w:rPr>
        <w:t>Order</w:t>
      </w:r>
      <w:r w:rsidRPr="00D15E20">
        <w:t>, 35 FCC Rcd 2715</w:t>
      </w:r>
      <w:r>
        <w:t>.</w:t>
      </w:r>
    </w:p>
  </w:footnote>
  <w:footnote w:id="7">
    <w:p w:rsidR="00BB56EB" w:rsidRPr="00D15E20" w:rsidP="00BB56EB" w14:paraId="5F13A88A" w14:textId="074ED5B2">
      <w:pPr>
        <w:pStyle w:val="FootnoteText"/>
      </w:pPr>
      <w:r w:rsidRPr="00D15E20">
        <w:rPr>
          <w:rStyle w:val="FootnoteReference"/>
        </w:rPr>
        <w:footnoteRef/>
      </w:r>
      <w:r w:rsidRPr="00D15E20">
        <w:t xml:space="preserve"> </w:t>
      </w:r>
      <w:r w:rsidRPr="000A7805">
        <w:rPr>
          <w:i/>
          <w:iCs/>
        </w:rPr>
        <w:t>See</w:t>
      </w:r>
      <w:r>
        <w:t xml:space="preserve"> </w:t>
      </w:r>
      <w:r w:rsidRPr="00D15E20">
        <w:rPr>
          <w:i/>
          <w:iCs/>
        </w:rPr>
        <w:t xml:space="preserve">March </w:t>
      </w:r>
      <w:r>
        <w:rPr>
          <w:i/>
          <w:iCs/>
        </w:rPr>
        <w:t xml:space="preserve">2020 </w:t>
      </w:r>
      <w:r w:rsidRPr="00D15E20">
        <w:rPr>
          <w:i/>
          <w:iCs/>
        </w:rPr>
        <w:t>Order</w:t>
      </w:r>
      <w:r w:rsidRPr="00D15E20">
        <w:t>, 35 FCC Rcd at 2715-</w:t>
      </w:r>
      <w:r>
        <w:t>1</w:t>
      </w:r>
      <w:r w:rsidRPr="00D15E20">
        <w:t xml:space="preserve">6, para. 2; </w:t>
      </w:r>
      <w:r w:rsidRPr="00D15E20">
        <w:rPr>
          <w:i/>
          <w:iCs/>
        </w:rPr>
        <w:t xml:space="preserve">April </w:t>
      </w:r>
      <w:r>
        <w:rPr>
          <w:i/>
          <w:iCs/>
        </w:rPr>
        <w:t xml:space="preserve">2020 </w:t>
      </w:r>
      <w:r w:rsidRPr="00D15E20">
        <w:rPr>
          <w:i/>
          <w:iCs/>
        </w:rPr>
        <w:t>Order</w:t>
      </w:r>
      <w:r w:rsidRPr="00D15E20">
        <w:t xml:space="preserve">, 35 FCC Rcd at 3018, para. 2; </w:t>
      </w:r>
      <w:r w:rsidRPr="00D15E20">
        <w:rPr>
          <w:i/>
          <w:iCs/>
        </w:rPr>
        <w:t xml:space="preserve">May </w:t>
      </w:r>
      <w:r>
        <w:rPr>
          <w:i/>
          <w:iCs/>
        </w:rPr>
        <w:t xml:space="preserve">2020 </w:t>
      </w:r>
      <w:r w:rsidRPr="00D15E20">
        <w:rPr>
          <w:i/>
          <w:iCs/>
        </w:rPr>
        <w:t>Order</w:t>
      </w:r>
      <w:r w:rsidRPr="00F05BF8">
        <w:t>,</w:t>
      </w:r>
      <w:r w:rsidRPr="00D15E20">
        <w:rPr>
          <w:i/>
          <w:iCs/>
        </w:rPr>
        <w:t xml:space="preserve"> </w:t>
      </w:r>
      <w:r w:rsidRPr="00D15E20">
        <w:t xml:space="preserve">35 FCC Rcd at 4894-95, paras. </w:t>
      </w:r>
      <w:r>
        <w:t>2-3</w:t>
      </w:r>
      <w:r w:rsidR="004D3FCF">
        <w:t>;</w:t>
      </w:r>
      <w:r w:rsidRPr="004D3FCF" w:rsidR="004D3FCF">
        <w:rPr>
          <w:i/>
          <w:iCs/>
          <w:snapToGrid w:val="0"/>
          <w:kern w:val="28"/>
          <w:sz w:val="22"/>
        </w:rPr>
        <w:t xml:space="preserve"> </w:t>
      </w:r>
      <w:r w:rsidRPr="004D3FCF" w:rsidR="004D3FCF">
        <w:rPr>
          <w:i/>
          <w:iCs/>
        </w:rPr>
        <w:t>December 2020 Order</w:t>
      </w:r>
      <w:r w:rsidR="004D3FCF">
        <w:t>,</w:t>
      </w:r>
      <w:r w:rsidRPr="004D3FCF" w:rsidR="004D3FCF">
        <w:t xml:space="preserve"> 35 FCC Rcd </w:t>
      </w:r>
      <w:r w:rsidR="004D3FCF">
        <w:t xml:space="preserve">at </w:t>
      </w:r>
      <w:r w:rsidR="008301BD">
        <w:t>14636-38, para. 6</w:t>
      </w:r>
      <w:r w:rsidRPr="00D15E20">
        <w:t>.</w:t>
      </w:r>
    </w:p>
  </w:footnote>
  <w:footnote w:id="8">
    <w:p w:rsidR="00BB56EB" w:rsidRPr="00A3782A" w:rsidP="00BB56EB" w14:paraId="1035A51B" w14:textId="391B8EFE">
      <w:pPr>
        <w:pStyle w:val="FootnoteText"/>
      </w:pPr>
      <w:r w:rsidRPr="001E286D">
        <w:rPr>
          <w:rStyle w:val="FootnoteReference"/>
        </w:rPr>
        <w:footnoteRef/>
      </w:r>
      <w:r w:rsidRPr="001E286D">
        <w:rPr>
          <w:i/>
          <w:iCs/>
        </w:rPr>
        <w:t xml:space="preserve"> </w:t>
      </w:r>
      <w:r w:rsidRPr="001E286D" w:rsidR="000D6DF1">
        <w:rPr>
          <w:i/>
          <w:iCs/>
        </w:rPr>
        <w:t xml:space="preserve">See </w:t>
      </w:r>
      <w:r w:rsidRPr="00D15E20" w:rsidR="000D6DF1">
        <w:rPr>
          <w:i/>
          <w:iCs/>
        </w:rPr>
        <w:t xml:space="preserve">May </w:t>
      </w:r>
      <w:r w:rsidR="000D6DF1">
        <w:rPr>
          <w:i/>
          <w:iCs/>
        </w:rPr>
        <w:t xml:space="preserve">2020 </w:t>
      </w:r>
      <w:r w:rsidRPr="00D15E20" w:rsidR="000D6DF1">
        <w:rPr>
          <w:i/>
          <w:iCs/>
        </w:rPr>
        <w:t>Order</w:t>
      </w:r>
      <w:r w:rsidRPr="00DA56F0" w:rsidR="000D6DF1">
        <w:t xml:space="preserve"> </w:t>
      </w:r>
      <w:r w:rsidR="000D6DF1">
        <w:t xml:space="preserve">(extending waivers through June 30, 2020); </w:t>
      </w:r>
      <w:r w:rsidRPr="00767E00" w:rsidR="000D6DF1">
        <w:rPr>
          <w:i/>
          <w:iCs/>
        </w:rPr>
        <w:t>Telecommunications Relay Services and Speech-to-Speech Services for Individuals with Hearing and Speech Disabilities</w:t>
      </w:r>
      <w:r w:rsidRPr="00767E00" w:rsidR="000D6DF1">
        <w:t>;</w:t>
      </w:r>
      <w:r w:rsidRPr="00767E00" w:rsidR="000D6DF1">
        <w:rPr>
          <w:i/>
          <w:iCs/>
        </w:rPr>
        <w:t xml:space="preserve"> Structure and Practices of Video Relay Service Program</w:t>
      </w:r>
      <w:r w:rsidRPr="00767E00" w:rsidR="000D6DF1">
        <w:t xml:space="preserve">, CG Docket Nos. 03-123 and 10-51, Order, 35 FCC Rcd 6432 (CGB 2020) </w:t>
      </w:r>
      <w:r w:rsidR="00F8337D">
        <w:t xml:space="preserve">(June 2020 Order) </w:t>
      </w:r>
      <w:r w:rsidR="000D6DF1">
        <w:t>(extending waivers through August 31, 2020)</w:t>
      </w:r>
      <w:r w:rsidRPr="00767E00" w:rsidR="000D6DF1">
        <w:t xml:space="preserve">; </w:t>
      </w:r>
      <w:r w:rsidRPr="00767E00" w:rsidR="000D6DF1">
        <w:rPr>
          <w:i/>
          <w:iCs/>
        </w:rPr>
        <w:t>Telecommunications Relay Services and Speech-to-Speech Services for Individuals with Hearing and Speech Disabilities; Structure and Practices of Video Relay Service Program</w:t>
      </w:r>
      <w:r w:rsidRPr="00767E00" w:rsidR="000D6DF1">
        <w:t xml:space="preserve">, CG Docket Nos. 03-123 and 10-51, Order, 35 FCC Rcd 9783 (CGB 2020) </w:t>
      </w:r>
      <w:r w:rsidR="00F8337D">
        <w:t xml:space="preserve">(August 2020 Order) </w:t>
      </w:r>
      <w:r w:rsidR="000D6DF1">
        <w:t>(extending waivers through November 30, 2020)</w:t>
      </w:r>
      <w:r w:rsidRPr="00767E00" w:rsidR="000D6DF1">
        <w:t xml:space="preserve">; </w:t>
      </w:r>
      <w:bookmarkStart w:id="1" w:name="_Hlk90375496"/>
      <w:r w:rsidRPr="00612A16" w:rsidR="000D6DF1">
        <w:rPr>
          <w:i/>
          <w:iCs/>
        </w:rPr>
        <w:t>October 2020 Commission Order</w:t>
      </w:r>
      <w:bookmarkEnd w:id="1"/>
      <w:r w:rsidR="00814134">
        <w:t>, para. 54</w:t>
      </w:r>
      <w:r w:rsidRPr="00612A16" w:rsidR="000D6DF1">
        <w:rPr>
          <w:i/>
          <w:iCs/>
        </w:rPr>
        <w:t xml:space="preserve"> </w:t>
      </w:r>
      <w:r w:rsidR="000D6DF1">
        <w:t>(extending waivers through February 28, 2021)</w:t>
      </w:r>
      <w:r w:rsidRPr="00767E00" w:rsidR="000D6DF1">
        <w:t xml:space="preserve">; </w:t>
      </w:r>
      <w:r w:rsidR="000D6DF1">
        <w:rPr>
          <w:i/>
          <w:iCs/>
        </w:rPr>
        <w:t>Telecommunications Relay Services and Speech-to-Speech Services for Individuals with Hearing and Speech Disabilities; Structure and Practices of Video Relay Service Program</w:t>
      </w:r>
      <w:r w:rsidR="000D6DF1">
        <w:t xml:space="preserve">, CG Docket Nos. 03-123 and 10-51, Order, </w:t>
      </w:r>
      <w:r w:rsidRPr="00F50F08" w:rsidR="000D6DF1">
        <w:t xml:space="preserve">36 FCC Rcd 4264 </w:t>
      </w:r>
      <w:r w:rsidR="000D6DF1">
        <w:t>(CGB 2021) (</w:t>
      </w:r>
      <w:r w:rsidR="000D6DF1">
        <w:rPr>
          <w:i/>
          <w:iCs/>
        </w:rPr>
        <w:t>February 2021 Order</w:t>
      </w:r>
      <w:r w:rsidR="000D6DF1">
        <w:t xml:space="preserve">) (extending waivers through August 31, 2021); </w:t>
      </w:r>
      <w:r w:rsidRPr="00A62392" w:rsidR="000D6DF1">
        <w:rPr>
          <w:i/>
          <w:iCs/>
        </w:rPr>
        <w:t>Telecommunications Relay Services and Speech to Speech Services for Individuals with Hearing and Speech Disabilities; Structure and Practices of the Video Relay Service Program</w:t>
      </w:r>
      <w:r w:rsidRPr="00A62392" w:rsidR="000D6DF1">
        <w:t>,</w:t>
      </w:r>
      <w:r w:rsidRPr="00A62392" w:rsidR="000D6DF1">
        <w:rPr>
          <w:i/>
          <w:iCs/>
        </w:rPr>
        <w:t xml:space="preserve"> </w:t>
      </w:r>
      <w:r w:rsidRPr="00A62392" w:rsidR="000D6DF1">
        <w:t>CG Docket Nos. 03-123 and 10-51,</w:t>
      </w:r>
      <w:r w:rsidR="000D6DF1">
        <w:t xml:space="preserve"> Order, DA 21-1064 (CGB 2021) (</w:t>
      </w:r>
      <w:r w:rsidR="000D6DF1">
        <w:rPr>
          <w:i/>
          <w:iCs/>
        </w:rPr>
        <w:t>August 2021 Order</w:t>
      </w:r>
      <w:r w:rsidR="000D6DF1">
        <w:t xml:space="preserve">) (extending waivers through December 31, 2021); </w:t>
      </w:r>
      <w:bookmarkStart w:id="2" w:name="_Hlk99010619"/>
      <w:r w:rsidR="000D6DF1">
        <w:rPr>
          <w:i/>
          <w:iCs/>
        </w:rPr>
        <w:t xml:space="preserve">December 2021 </w:t>
      </w:r>
      <w:r w:rsidRPr="00007C0A" w:rsidR="000D6DF1">
        <w:rPr>
          <w:i/>
          <w:iCs/>
        </w:rPr>
        <w:t>Order</w:t>
      </w:r>
      <w:r w:rsidR="000D6DF1">
        <w:t xml:space="preserve"> </w:t>
      </w:r>
      <w:bookmarkEnd w:id="2"/>
      <w:r w:rsidR="000D6DF1">
        <w:t>(extending waivers through March 31, 2022)</w:t>
      </w:r>
      <w:r w:rsidR="004C6F77">
        <w:t xml:space="preserve">; </w:t>
      </w:r>
      <w:r w:rsidRPr="007128A7" w:rsidR="004C6F77">
        <w:rPr>
          <w:i/>
          <w:iCs/>
        </w:rPr>
        <w:t>March 2022 Order</w:t>
      </w:r>
      <w:r w:rsidR="004C6F77">
        <w:t xml:space="preserve"> (extending waivers through June 30, 2022)</w:t>
      </w:r>
      <w:r w:rsidR="00F8337D">
        <w:t xml:space="preserve"> (collectively </w:t>
      </w:r>
      <w:r w:rsidRPr="007128A7" w:rsidR="00F8337D">
        <w:rPr>
          <w:i/>
          <w:iCs/>
        </w:rPr>
        <w:t>TRS Waiver Extension Orders</w:t>
      </w:r>
      <w:r w:rsidR="00F8337D">
        <w:t>)</w:t>
      </w:r>
      <w:r w:rsidRPr="001E286D">
        <w:t>.</w:t>
      </w:r>
      <w:r>
        <w:t xml:space="preserve"> </w:t>
      </w:r>
    </w:p>
  </w:footnote>
  <w:footnote w:id="9">
    <w:p w:rsidR="00BB56EB" w:rsidP="00BB56EB" w14:paraId="750BB0A8" w14:textId="77777777">
      <w:pPr>
        <w:pStyle w:val="FootnoteText"/>
      </w:pPr>
      <w:r>
        <w:rPr>
          <w:rStyle w:val="FootnoteReference"/>
        </w:rPr>
        <w:footnoteRef/>
      </w:r>
      <w:r>
        <w:t xml:space="preserve"> </w:t>
      </w:r>
      <w:r>
        <w:rPr>
          <w:rFonts w:ascii="TimesNewRomanPS-ItalicMT" w:hAnsi="TimesNewRomanPS-ItalicMT" w:cs="TimesNewRomanPS-ItalicMT"/>
          <w:i/>
          <w:iCs/>
        </w:rPr>
        <w:t xml:space="preserve">October </w:t>
      </w:r>
      <w:r w:rsidRPr="00A9724B">
        <w:rPr>
          <w:i/>
          <w:iCs/>
        </w:rPr>
        <w:t>2020 Commission</w:t>
      </w:r>
      <w:r>
        <w:rPr>
          <w:i/>
          <w:iCs/>
        </w:rPr>
        <w:t xml:space="preserve"> </w:t>
      </w:r>
      <w:r w:rsidRPr="009A6073">
        <w:rPr>
          <w:i/>
          <w:iCs/>
        </w:rPr>
        <w:t>Order</w:t>
      </w:r>
      <w:r w:rsidRPr="009A6073">
        <w:t>, 35 FCC Rcd at 10893-94, para. 56.</w:t>
      </w:r>
      <w:r>
        <w:rPr>
          <w:rFonts w:ascii="TimesNewRomanPSMT" w:hAnsi="TimesNewRomanPSMT" w:cs="TimesNewRomanPSMT"/>
        </w:rPr>
        <w:t xml:space="preserve"> </w:t>
      </w:r>
    </w:p>
  </w:footnote>
  <w:footnote w:id="10">
    <w:p w:rsidR="00BB56EB" w:rsidP="00BB56EB" w14:paraId="5C85118B" w14:textId="77777777">
      <w:pPr>
        <w:pStyle w:val="FootnoteText"/>
      </w:pPr>
      <w:r>
        <w:rPr>
          <w:rStyle w:val="FootnoteReference"/>
        </w:rPr>
        <w:footnoteRef/>
      </w:r>
      <w:r>
        <w:t xml:space="preserve"> </w:t>
      </w:r>
      <w:r>
        <w:t>47 CFR § 1.3 (</w:t>
      </w:r>
      <w:r w:rsidRPr="00AE4794">
        <w:t>providing for suspension, amendment, or waiver of Commission rules, in whole or in part, for good cause shown</w:t>
      </w:r>
      <w:r>
        <w:t xml:space="preserve">).  </w:t>
      </w:r>
    </w:p>
  </w:footnote>
  <w:footnote w:id="11">
    <w:p w:rsidR="00BB56EB" w:rsidRPr="005E7C51" w:rsidP="00BB56EB" w14:paraId="77FEECB7" w14:textId="77777777">
      <w:pPr>
        <w:pStyle w:val="FootnoteText"/>
      </w:pPr>
      <w:r w:rsidRPr="00541DE1">
        <w:rPr>
          <w:rStyle w:val="FootnoteReference"/>
        </w:rPr>
        <w:footnoteRef/>
      </w:r>
      <w:r w:rsidRPr="00541DE1">
        <w:t xml:space="preserve"> </w:t>
      </w:r>
      <w:r w:rsidRPr="00541DE1">
        <w:rPr>
          <w:i/>
        </w:rPr>
        <w:t>Northeast Cellular Tel. Co. v. FCC</w:t>
      </w:r>
      <w:r w:rsidRPr="00541DE1">
        <w:t>, 897 F.2d 1164, 1166 (D.C. Cir. 1990)</w:t>
      </w:r>
      <w:r>
        <w:t xml:space="preserve">. </w:t>
      </w:r>
    </w:p>
  </w:footnote>
  <w:footnote w:id="12">
    <w:p w:rsidR="00BB56EB" w:rsidRPr="00541DE1" w:rsidP="00BB56EB" w14:paraId="09CC25EA" w14:textId="77777777">
      <w:pPr>
        <w:pStyle w:val="FootnoteText"/>
      </w:pPr>
      <w:r w:rsidRPr="00541DE1">
        <w:rPr>
          <w:rStyle w:val="FootnoteReference"/>
        </w:rPr>
        <w:footnoteRef/>
      </w:r>
      <w:r w:rsidRPr="00541DE1">
        <w:t xml:space="preserve"> </w:t>
      </w:r>
      <w:r w:rsidRPr="00541DE1">
        <w:rPr>
          <w:i/>
        </w:rPr>
        <w:t>WAIT Radio v. FCC</w:t>
      </w:r>
      <w:r w:rsidRPr="00541DE1">
        <w:t xml:space="preserve">, 418 F.2d 1153, 1159 (D.C. Cir. 1969), </w:t>
      </w:r>
      <w:r w:rsidRPr="00541DE1">
        <w:rPr>
          <w:i/>
        </w:rPr>
        <w:t>cert. denied</w:t>
      </w:r>
      <w:r w:rsidRPr="00541DE1">
        <w:t xml:space="preserve">, 409 U.S. 1027 (1972); </w:t>
      </w:r>
      <w:r w:rsidRPr="00541DE1">
        <w:rPr>
          <w:i/>
        </w:rPr>
        <w:t>Northeast Cellular</w:t>
      </w:r>
      <w:r w:rsidRPr="00541DE1">
        <w:t>, 897 F.2d at 1166.</w:t>
      </w:r>
    </w:p>
  </w:footnote>
  <w:footnote w:id="13">
    <w:p w:rsidR="00BB56EB" w:rsidRPr="00541DE1" w:rsidP="00BB56EB" w14:paraId="77D7382E" w14:textId="77777777">
      <w:pPr>
        <w:pStyle w:val="FootnoteText"/>
      </w:pPr>
      <w:r w:rsidRPr="00541DE1">
        <w:rPr>
          <w:rStyle w:val="FootnoteReference"/>
        </w:rPr>
        <w:footnoteRef/>
      </w:r>
      <w:r w:rsidRPr="00541DE1">
        <w:t xml:space="preserve"> </w:t>
      </w:r>
      <w:r w:rsidRPr="00541DE1">
        <w:rPr>
          <w:i/>
        </w:rPr>
        <w:t>Northeast Cellular</w:t>
      </w:r>
      <w:r w:rsidRPr="00541DE1">
        <w:t xml:space="preserve">, 897 F.2d at 1166; </w:t>
      </w:r>
      <w:r w:rsidRPr="00541DE1">
        <w:rPr>
          <w:i/>
          <w:iCs/>
        </w:rPr>
        <w:t>NetworkIP, LLC v. FCC</w:t>
      </w:r>
      <w:r w:rsidRPr="00541DE1">
        <w:t>, 548 F.3d 116, 12</w:t>
      </w:r>
      <w:r>
        <w:t>7</w:t>
      </w:r>
      <w:r w:rsidRPr="00541DE1">
        <w:t>-128 (D.C. Cir. 2008).</w:t>
      </w:r>
    </w:p>
  </w:footnote>
  <w:footnote w:id="14">
    <w:p w:rsidR="001E3B3D" w:rsidRPr="00FC34C7" w:rsidP="001E3B3D" w14:paraId="417A9E1F" w14:textId="5F60351F">
      <w:pPr>
        <w:pStyle w:val="FootnoteText"/>
      </w:pPr>
      <w:r>
        <w:rPr>
          <w:rStyle w:val="FootnoteReference"/>
        </w:rPr>
        <w:footnoteRef/>
      </w:r>
      <w:r>
        <w:t xml:space="preserve"> </w:t>
      </w:r>
      <w:r>
        <w:rPr>
          <w:i/>
          <w:iCs/>
        </w:rPr>
        <w:t>See, e.g.</w:t>
      </w:r>
      <w:r>
        <w:t xml:space="preserve">, CDC, </w:t>
      </w:r>
      <w:r>
        <w:rPr>
          <w:i/>
          <w:iCs/>
        </w:rPr>
        <w:t>COVID Data Tracker</w:t>
      </w:r>
      <w:r>
        <w:t xml:space="preserve">, </w:t>
      </w:r>
      <w:hyperlink r:id="rId3" w:anchor="datatracker-home" w:history="1">
        <w:r w:rsidRPr="003D5D0C">
          <w:rPr>
            <w:rStyle w:val="Hyperlink"/>
          </w:rPr>
          <w:t>https://covid.cdc.gov/covid-data-tracker/#datatracker-home</w:t>
        </w:r>
      </w:hyperlink>
      <w:r>
        <w:t xml:space="preserve"> (last visited June 27, 2022</w:t>
      </w:r>
      <w:r w:rsidR="004A7079">
        <w:t>).</w:t>
      </w:r>
      <w:r w:rsidRPr="004A7079" w:rsidR="004A7079">
        <w:rPr>
          <w:i/>
          <w:iCs/>
        </w:rPr>
        <w:t xml:space="preserve"> </w:t>
      </w:r>
      <w:r w:rsidR="004A7079">
        <w:t xml:space="preserve">  </w:t>
      </w:r>
    </w:p>
  </w:footnote>
  <w:footnote w:id="15">
    <w:p w:rsidR="004A7079" w14:paraId="5D9AB554" w14:textId="0A6853B6">
      <w:pPr>
        <w:pStyle w:val="FootnoteText"/>
      </w:pPr>
      <w:r>
        <w:rPr>
          <w:rStyle w:val="FootnoteReference"/>
        </w:rPr>
        <w:footnoteRef/>
      </w:r>
      <w:r>
        <w:t xml:space="preserve"> </w:t>
      </w:r>
      <w:r>
        <w:rPr>
          <w:i/>
          <w:iCs/>
        </w:rPr>
        <w:t>See, e.g.</w:t>
      </w:r>
      <w:r>
        <w:t xml:space="preserve">, BallotPedia, “Travel restrictions issued by states in response to the coronavirus (COVID-19) pandemic, 2020-2022” (last visited June 7, 2022), </w:t>
      </w:r>
      <w:hyperlink r:id="rId4" w:anchor="Map_of_active_travel_restrictions_by_state" w:history="1">
        <w:r w:rsidRPr="00595A40">
          <w:rPr>
            <w:rStyle w:val="Hyperlink"/>
          </w:rPr>
          <w:t>https://ballotpedia.org/Travel_restrictions_issued_by_states_in_response_to_‌the_coronavirus_(COVID-19)_pandemic,_2020-2022#Map_of_active_travel_restrictions_by_state</w:t>
        </w:r>
      </w:hyperlink>
      <w:r>
        <w:t xml:space="preserve">; Andy Markowitz, “State-by-State Guide to Face Mask Requirements” (May 26, 2022), </w:t>
      </w:r>
      <w:hyperlink r:id="rId5" w:history="1">
        <w:r w:rsidRPr="00287437">
          <w:rPr>
            <w:rStyle w:val="Hyperlink"/>
          </w:rPr>
          <w:t>https://www.aarp.org/health/‌healthy-living/info-2020/states-mask-mandates-coronavirus.html</w:t>
        </w:r>
      </w:hyperlink>
      <w:r>
        <w:t>.</w:t>
      </w:r>
    </w:p>
  </w:footnote>
  <w:footnote w:id="16">
    <w:p w:rsidR="005A6D20" w14:paraId="4324137C" w14:textId="714978C4">
      <w:pPr>
        <w:pStyle w:val="FootnoteText"/>
      </w:pPr>
      <w:r>
        <w:rPr>
          <w:rStyle w:val="FootnoteReference"/>
        </w:rPr>
        <w:footnoteRef/>
      </w:r>
      <w:r>
        <w:t xml:space="preserve"> </w:t>
      </w:r>
      <w:r w:rsidR="00E7033E">
        <w:t xml:space="preserve">With one exception (the Hamilton request discussed </w:t>
      </w:r>
      <w:r w:rsidRPr="00E7033E" w:rsidR="00E7033E">
        <w:rPr>
          <w:i/>
          <w:iCs/>
        </w:rPr>
        <w:t>infra</w:t>
      </w:r>
      <w:r w:rsidR="00E7033E">
        <w:t xml:space="preserve">, </w:t>
      </w:r>
      <w:r w:rsidR="00EB721B">
        <w:t xml:space="preserve">para. 6), </w:t>
      </w:r>
      <w:r w:rsidR="00EB721B">
        <w:rPr>
          <w:snapToGrid w:val="0"/>
        </w:rPr>
        <w:t>t</w:t>
      </w:r>
      <w:r w:rsidR="00A645E6">
        <w:rPr>
          <w:snapToGrid w:val="0"/>
        </w:rPr>
        <w:t xml:space="preserve">he more recent requests for continuing the pandemic-initiated waivers of </w:t>
      </w:r>
      <w:r w:rsidR="00E7033E">
        <w:rPr>
          <w:snapToGrid w:val="0"/>
        </w:rPr>
        <w:t>TRS</w:t>
      </w:r>
      <w:r w:rsidR="00A645E6">
        <w:rPr>
          <w:snapToGrid w:val="0"/>
        </w:rPr>
        <w:t xml:space="preserve"> rules rely on factors other than COVID-19</w:t>
      </w:r>
      <w:r w:rsidR="00270174">
        <w:rPr>
          <w:snapToGrid w:val="0"/>
        </w:rPr>
        <w:t xml:space="preserve"> concerns</w:t>
      </w:r>
      <w:r w:rsidR="00A645E6">
        <w:rPr>
          <w:snapToGrid w:val="0"/>
        </w:rPr>
        <w:t xml:space="preserve">.  </w:t>
      </w:r>
      <w:r w:rsidR="00A645E6">
        <w:rPr>
          <w:i/>
          <w:iCs/>
          <w:snapToGrid w:val="0"/>
        </w:rPr>
        <w:t>See</w:t>
      </w:r>
      <w:r w:rsidR="00A645E6">
        <w:rPr>
          <w:snapToGrid w:val="0"/>
        </w:rPr>
        <w:t xml:space="preserve"> Letter from Jeff Rosen, Convo Communications, to Marlene H. Dortch, Secretary, FCC, CG Docket Nos. 03-123 and 10-51, at 1 (filed May 24, 2022) (asking FCC to extend waivers while Convo’s petition for rulemaking regarding at-home CAs and contract CAs remains pending to avoid wind-down</w:t>
      </w:r>
      <w:r w:rsidR="00270174">
        <w:rPr>
          <w:snapToGrid w:val="0"/>
        </w:rPr>
        <w:t xml:space="preserve"> and reinstatement</w:t>
      </w:r>
      <w:r w:rsidR="00A645E6">
        <w:rPr>
          <w:snapToGrid w:val="0"/>
        </w:rPr>
        <w:t xml:space="preserve"> costs if the rules are</w:t>
      </w:r>
      <w:r w:rsidR="00270174">
        <w:rPr>
          <w:snapToGrid w:val="0"/>
        </w:rPr>
        <w:t xml:space="preserve"> not waived and later</w:t>
      </w:r>
      <w:r w:rsidR="00A645E6">
        <w:rPr>
          <w:snapToGrid w:val="0"/>
        </w:rPr>
        <w:t xml:space="preserve"> modified); </w:t>
      </w:r>
      <w:r w:rsidR="00A645E6">
        <w:rPr>
          <w:i/>
          <w:iCs/>
          <w:snapToGrid w:val="0"/>
        </w:rPr>
        <w:t>id.</w:t>
      </w:r>
      <w:r w:rsidR="00A645E6">
        <w:rPr>
          <w:snapToGrid w:val="0"/>
        </w:rPr>
        <w:t xml:space="preserve"> at 1-2 (seeking extension of waiver of cap on at-home call minutes because CAs have become accustomed to working at home); Letter from Greg Hlibok, ZP Better Together, to Marlene H. Dortch, Secretary, FCC, CG Docket Nos. 03-123 and 10-51, at 4 (filed Mar. 15, 2022) (seeking continued waiver of three-year experience rule because it is not necessary to ensure the quality of VRS “with proper screening, training, teaming, and management” of CAs.).</w:t>
      </w:r>
      <w:r w:rsidR="00E7033E">
        <w:rPr>
          <w:snapToGrid w:val="0"/>
        </w:rPr>
        <w:t xml:space="preserve">  These requests have now been addressed by Commission-level action, as discussed in the text.  </w:t>
      </w:r>
    </w:p>
  </w:footnote>
  <w:footnote w:id="17">
    <w:p w:rsidR="004D6BA2" w:rsidP="004D6BA2" w14:paraId="4C6D7725" w14:textId="2AAAF6E2">
      <w:pPr>
        <w:pStyle w:val="FootnoteText"/>
      </w:pPr>
      <w:r>
        <w:rPr>
          <w:rStyle w:val="FootnoteReference"/>
        </w:rPr>
        <w:footnoteRef/>
      </w:r>
      <w:r>
        <w:t xml:space="preserve"> </w:t>
      </w:r>
      <w:r w:rsidRPr="004D6BA2">
        <w:rPr>
          <w:i/>
          <w:iCs/>
        </w:rPr>
        <w:t>See</w:t>
      </w:r>
      <w:r>
        <w:t xml:space="preserve"> </w:t>
      </w:r>
      <w:r w:rsidRPr="004D6BA2">
        <w:rPr>
          <w:i/>
          <w:iCs/>
        </w:rPr>
        <w:t>Telecommunications</w:t>
      </w:r>
      <w:r>
        <w:t xml:space="preserve"> </w:t>
      </w:r>
      <w:r w:rsidRPr="004D6BA2">
        <w:rPr>
          <w:i/>
          <w:iCs/>
        </w:rPr>
        <w:t>Relay Services and Speech-to-Speech Services for Individuals with Hearing and Speech Disabilities</w:t>
      </w:r>
      <w:r w:rsidRPr="004D6BA2">
        <w:t>, CG Docket No.</w:t>
      </w:r>
      <w:r>
        <w:t xml:space="preserve"> </w:t>
      </w:r>
      <w:r w:rsidRPr="004D6BA2">
        <w:t xml:space="preserve">03-123, Report and Order, 20 FCC Rcd 13165, 13174, </w:t>
      </w:r>
      <w:r w:rsidR="00EB721B">
        <w:t xml:space="preserve">para. </w:t>
      </w:r>
      <w:r w:rsidRPr="004D6BA2">
        <w:t>17 (2005) (</w:t>
      </w:r>
      <w:r w:rsidRPr="004D6BA2">
        <w:rPr>
          <w:i/>
          <w:iCs/>
        </w:rPr>
        <w:t>VRS Report and Order</w:t>
      </w:r>
      <w:r w:rsidRPr="004D6BA2">
        <w:t>) (stating that speed-of</w:t>
      </w:r>
      <w:r w:rsidR="009E00E4">
        <w:t>-</w:t>
      </w:r>
      <w:r w:rsidRPr="004D6BA2">
        <w:t>answer</w:t>
      </w:r>
      <w:r>
        <w:t xml:space="preserve"> </w:t>
      </w:r>
      <w:r w:rsidRPr="004D6BA2">
        <w:t>is “one of the fundamental components of ensuring that TRS users have functionally equivalent access to the</w:t>
      </w:r>
      <w:r>
        <w:t xml:space="preserve"> </w:t>
      </w:r>
      <w:r w:rsidRPr="004D6BA2">
        <w:t>telephone system”).</w:t>
      </w:r>
      <w:r>
        <w:t xml:space="preserve">  Since March 2020, the speed-of-answer rule has been waived for all relay services except VRS.</w:t>
      </w:r>
      <w:r w:rsidRPr="00EB721B" w:rsidR="00EB721B">
        <w:rPr>
          <w:i/>
          <w:iCs/>
        </w:rPr>
        <w:t xml:space="preserve"> </w:t>
      </w:r>
      <w:r w:rsidR="00EB721B">
        <w:rPr>
          <w:i/>
          <w:iCs/>
        </w:rPr>
        <w:t xml:space="preserve"> </w:t>
      </w:r>
      <w:r w:rsidRPr="000A7805" w:rsidR="00EB721B">
        <w:rPr>
          <w:i/>
          <w:iCs/>
        </w:rPr>
        <w:t>See</w:t>
      </w:r>
      <w:r w:rsidR="00EB721B">
        <w:t xml:space="preserve"> </w:t>
      </w:r>
      <w:r w:rsidRPr="00D15E20" w:rsidR="00EB721B">
        <w:rPr>
          <w:i/>
          <w:iCs/>
        </w:rPr>
        <w:t xml:space="preserve">March </w:t>
      </w:r>
      <w:r w:rsidR="00EB721B">
        <w:rPr>
          <w:i/>
          <w:iCs/>
        </w:rPr>
        <w:t xml:space="preserve">2020 </w:t>
      </w:r>
      <w:r w:rsidRPr="00D15E20" w:rsidR="00EB721B">
        <w:rPr>
          <w:i/>
          <w:iCs/>
        </w:rPr>
        <w:t>Order</w:t>
      </w:r>
      <w:r w:rsidRPr="00D15E20" w:rsidR="00EB721B">
        <w:t xml:space="preserve">, </w:t>
      </w:r>
      <w:r w:rsidRPr="00D15E20" w:rsidR="00330C81">
        <w:t>35 FCC Rcd 2715</w:t>
      </w:r>
      <w:r w:rsidR="00EB721B">
        <w:t>.</w:t>
      </w:r>
    </w:p>
  </w:footnote>
  <w:footnote w:id="18">
    <w:p w:rsidR="00953279" w:rsidRPr="00953279" w:rsidP="00953279" w14:paraId="26D5F5F4" w14:textId="0C793971">
      <w:pPr>
        <w:widowControl/>
        <w:tabs>
          <w:tab w:val="center" w:pos="4680"/>
        </w:tabs>
        <w:suppressAutoHyphens/>
        <w:rPr>
          <w:i/>
          <w:iCs/>
          <w:snapToGrid/>
          <w:spacing w:val="-2"/>
          <w:kern w:val="0"/>
          <w:sz w:val="20"/>
        </w:rPr>
      </w:pPr>
      <w:r>
        <w:rPr>
          <w:rStyle w:val="FootnoteReference"/>
        </w:rPr>
        <w:footnoteRef/>
      </w:r>
      <w:r>
        <w:t xml:space="preserve"> </w:t>
      </w:r>
      <w:r w:rsidRPr="00953279">
        <w:rPr>
          <w:i/>
          <w:iCs/>
          <w:spacing w:val="-2"/>
          <w:sz w:val="20"/>
        </w:rPr>
        <w:t>Telecommunications Relay Services and Speech-to-Speech Services for Individuals with Hearing and Speech Disabilities</w:t>
      </w:r>
      <w:r w:rsidRPr="00953279">
        <w:rPr>
          <w:spacing w:val="-2"/>
          <w:sz w:val="20"/>
        </w:rPr>
        <w:t xml:space="preserve">; </w:t>
      </w:r>
      <w:r w:rsidRPr="00953279">
        <w:rPr>
          <w:i/>
          <w:iCs/>
          <w:spacing w:val="-2"/>
          <w:sz w:val="20"/>
        </w:rPr>
        <w:t>Structure and Practices of the Video Relay</w:t>
      </w:r>
      <w:r>
        <w:rPr>
          <w:i/>
          <w:iCs/>
          <w:spacing w:val="-2"/>
          <w:sz w:val="20"/>
        </w:rPr>
        <w:t xml:space="preserve"> </w:t>
      </w:r>
      <w:r w:rsidRPr="00953279">
        <w:rPr>
          <w:i/>
          <w:iCs/>
          <w:spacing w:val="-2"/>
          <w:sz w:val="20"/>
        </w:rPr>
        <w:t>Services Program</w:t>
      </w:r>
      <w:r>
        <w:rPr>
          <w:spacing w:val="-2"/>
          <w:sz w:val="20"/>
        </w:rPr>
        <w:t>;</w:t>
      </w:r>
      <w:r w:rsidRPr="00953279">
        <w:rPr>
          <w:spacing w:val="-2"/>
        </w:rPr>
        <w:t xml:space="preserve"> </w:t>
      </w:r>
      <w:r w:rsidRPr="00953279">
        <w:rPr>
          <w:i/>
          <w:iCs/>
          <w:snapToGrid/>
          <w:spacing w:val="-2"/>
          <w:kern w:val="0"/>
          <w:sz w:val="20"/>
        </w:rPr>
        <w:t>Misuse of Internet Protocol (IP) Captioned</w:t>
      </w:r>
    </w:p>
    <w:p w:rsidR="00247EEC" w:rsidP="00953279" w14:paraId="5ACF31CC" w14:textId="504545B4">
      <w:pPr>
        <w:pStyle w:val="FootnoteText"/>
      </w:pPr>
      <w:r w:rsidRPr="00953279">
        <w:rPr>
          <w:i/>
          <w:iCs/>
          <w:spacing w:val="-2"/>
        </w:rPr>
        <w:t>Telephone Service</w:t>
      </w:r>
      <w:r w:rsidRPr="00953279">
        <w:rPr>
          <w:spacing w:val="-2"/>
        </w:rPr>
        <w:t>;</w:t>
      </w:r>
      <w:r w:rsidRPr="00953279">
        <w:rPr>
          <w:snapToGrid w:val="0"/>
          <w:spacing w:val="-2"/>
          <w:kern w:val="28"/>
          <w:sz w:val="22"/>
        </w:rPr>
        <w:t xml:space="preserve"> </w:t>
      </w:r>
      <w:r w:rsidRPr="00953279">
        <w:rPr>
          <w:i/>
          <w:iCs/>
          <w:spacing w:val="-2"/>
        </w:rPr>
        <w:t>Petition for Rulemaking and Interim Waiver of Convo Communications, LLC</w:t>
      </w:r>
      <w:r w:rsidRPr="00953279" w:rsidR="00ED6431">
        <w:t xml:space="preserve">, </w:t>
      </w:r>
      <w:r w:rsidR="002C3C82">
        <w:t xml:space="preserve">CG Docket Nos. 03-123, 10-51, and 13-24, </w:t>
      </w:r>
      <w:r w:rsidRPr="00953279">
        <w:t xml:space="preserve">Report and Order, Notice of Proposed Rulemaking, Order, and Declaratory Ruling, </w:t>
      </w:r>
      <w:r>
        <w:t xml:space="preserve">FCC 22-51, </w:t>
      </w:r>
      <w:r w:rsidRPr="00953279" w:rsidR="00ED6431">
        <w:t>para. 26</w:t>
      </w:r>
      <w:r>
        <w:t xml:space="preserve"> (rel. June 30, 2022)</w:t>
      </w:r>
      <w:r w:rsidR="002C3C82">
        <w:t xml:space="preserve"> (</w:t>
      </w:r>
      <w:bookmarkStart w:id="3" w:name="_Hlk107415237"/>
      <w:r w:rsidRPr="002C3C82" w:rsidR="002C3C82">
        <w:rPr>
          <w:i/>
          <w:iCs/>
        </w:rPr>
        <w:t>2022 TRS Rule</w:t>
      </w:r>
      <w:r w:rsidR="002C3C82">
        <w:rPr>
          <w:i/>
          <w:iCs/>
        </w:rPr>
        <w:t>s</w:t>
      </w:r>
      <w:r w:rsidRPr="002C3C82" w:rsidR="002C3C82">
        <w:rPr>
          <w:i/>
          <w:iCs/>
        </w:rPr>
        <w:t xml:space="preserve"> Order</w:t>
      </w:r>
      <w:bookmarkEnd w:id="3"/>
      <w:r w:rsidR="002C3C82">
        <w:t>)</w:t>
      </w:r>
      <w:r w:rsidRPr="00953279" w:rsidR="00ED6431">
        <w:t>.</w:t>
      </w:r>
    </w:p>
  </w:footnote>
  <w:footnote w:id="19">
    <w:p w:rsidR="00E762B6" w14:paraId="7F059A19" w14:textId="082AB1FD">
      <w:pPr>
        <w:pStyle w:val="FootnoteText"/>
      </w:pPr>
      <w:r>
        <w:rPr>
          <w:rStyle w:val="FootnoteReference"/>
        </w:rPr>
        <w:footnoteRef/>
      </w:r>
      <w:r w:rsidRPr="002C3C82" w:rsidR="002C3C82">
        <w:rPr>
          <w:i/>
          <w:iCs/>
        </w:rPr>
        <w:t>2022 TRS Rule</w:t>
      </w:r>
      <w:r w:rsidR="002C3C82">
        <w:rPr>
          <w:i/>
          <w:iCs/>
        </w:rPr>
        <w:t>s</w:t>
      </w:r>
      <w:r w:rsidRPr="002C3C82" w:rsidR="002C3C82">
        <w:rPr>
          <w:i/>
          <w:iCs/>
        </w:rPr>
        <w:t xml:space="preserve"> Order</w:t>
      </w:r>
      <w:r w:rsidRPr="002C3C82">
        <w:t>, paras. 61-66.</w:t>
      </w:r>
    </w:p>
  </w:footnote>
  <w:footnote w:id="20">
    <w:p w:rsidR="00D93ED1" w14:paraId="15F332A5" w14:textId="0B31DC11">
      <w:pPr>
        <w:pStyle w:val="FootnoteText"/>
      </w:pPr>
      <w:r>
        <w:rPr>
          <w:rStyle w:val="FootnoteReference"/>
        </w:rPr>
        <w:footnoteRef/>
      </w:r>
      <w:r>
        <w:t xml:space="preserve"> </w:t>
      </w:r>
      <w:r>
        <w:rPr>
          <w:i/>
          <w:iCs/>
          <w:snapToGrid w:val="0"/>
        </w:rPr>
        <w:t xml:space="preserve">See </w:t>
      </w:r>
      <w:r w:rsidR="000D000F">
        <w:t xml:space="preserve">47 CFR § 64.604(a)(3)(i); </w:t>
      </w:r>
      <w:r>
        <w:rPr>
          <w:i/>
          <w:iCs/>
          <w:snapToGrid w:val="0"/>
        </w:rPr>
        <w:t>December 2021 Order</w:t>
      </w:r>
      <w:r>
        <w:rPr>
          <w:snapToGrid w:val="0"/>
        </w:rPr>
        <w:t>, para. 12 (extending</w:t>
      </w:r>
      <w:r w:rsidR="00361EC5">
        <w:rPr>
          <w:snapToGrid w:val="0"/>
        </w:rPr>
        <w:t xml:space="preserve"> partial</w:t>
      </w:r>
      <w:r>
        <w:rPr>
          <w:snapToGrid w:val="0"/>
        </w:rPr>
        <w:t xml:space="preserve"> waiver of </w:t>
      </w:r>
      <w:r w:rsidR="00361EC5">
        <w:rPr>
          <w:snapToGrid w:val="0"/>
        </w:rPr>
        <w:t>this</w:t>
      </w:r>
      <w:r>
        <w:rPr>
          <w:snapToGrid w:val="0"/>
        </w:rPr>
        <w:t xml:space="preserve"> rule for Hamilton</w:t>
      </w:r>
      <w:r w:rsidR="00361EC5">
        <w:rPr>
          <w:snapToGrid w:val="0"/>
        </w:rPr>
        <w:t>’s web and wireless IP CTS</w:t>
      </w:r>
      <w:r>
        <w:rPr>
          <w:snapToGrid w:val="0"/>
        </w:rPr>
        <w:t xml:space="preserve"> until March 31, 2022</w:t>
      </w:r>
      <w:r w:rsidR="00361EC5">
        <w:rPr>
          <w:snapToGrid w:val="0"/>
        </w:rPr>
        <w:t>)</w:t>
      </w:r>
      <w:r>
        <w:rPr>
          <w:snapToGrid w:val="0"/>
        </w:rPr>
        <w:t xml:space="preserve">; </w:t>
      </w:r>
      <w:r>
        <w:rPr>
          <w:i/>
          <w:iCs/>
          <w:snapToGrid w:val="0"/>
        </w:rPr>
        <w:t>March 2022 Order</w:t>
      </w:r>
      <w:r>
        <w:rPr>
          <w:snapToGrid w:val="0"/>
        </w:rPr>
        <w:t>, para. 10 (extending all current waivers until June 30, 2022).</w:t>
      </w:r>
    </w:p>
  </w:footnote>
  <w:footnote w:id="21">
    <w:p w:rsidR="00D93ED1" w14:paraId="37C70B3E" w14:textId="2CCD3A69">
      <w:pPr>
        <w:pStyle w:val="FootnoteText"/>
      </w:pPr>
      <w:r>
        <w:rPr>
          <w:rStyle w:val="FootnoteReference"/>
        </w:rPr>
        <w:footnoteRef/>
      </w:r>
      <w:r>
        <w:t xml:space="preserve"> </w:t>
      </w:r>
      <w:r w:rsidRPr="00D93ED1">
        <w:rPr>
          <w:i/>
          <w:iCs/>
        </w:rPr>
        <w:t>December 2021 Order</w:t>
      </w:r>
      <w:r>
        <w:t>, para. 6.</w:t>
      </w:r>
    </w:p>
  </w:footnote>
  <w:footnote w:id="22">
    <w:p w:rsidR="00B325D8" w:rsidP="00B325D8" w14:paraId="2EF5D279" w14:textId="6D6C10C0">
      <w:pPr>
        <w:pStyle w:val="FootnoteText"/>
      </w:pPr>
      <w:r>
        <w:rPr>
          <w:rStyle w:val="FootnoteReference"/>
        </w:rPr>
        <w:footnoteRef/>
      </w:r>
      <w:r>
        <w:t xml:space="preserve"> </w:t>
      </w:r>
      <w:r w:rsidRPr="00122D2A">
        <w:t xml:space="preserve">Letter from </w:t>
      </w:r>
      <w:r>
        <w:t>David A. O’Connor</w:t>
      </w:r>
      <w:r w:rsidRPr="00122D2A">
        <w:t xml:space="preserve">, Counsel to </w:t>
      </w:r>
      <w:r>
        <w:t>Hamilton Relay, Inc.</w:t>
      </w:r>
      <w:r w:rsidRPr="00122D2A">
        <w:t xml:space="preserve">, to Marlene H. Dortch, Secretary, FCC, CG Docket Nos. 03-123 and </w:t>
      </w:r>
      <w:r>
        <w:t>13-24, at 2</w:t>
      </w:r>
      <w:r w:rsidRPr="00122D2A">
        <w:t xml:space="preserve"> (filed </w:t>
      </w:r>
      <w:r>
        <w:t>June 15</w:t>
      </w:r>
      <w:r w:rsidRPr="00122D2A">
        <w:t>, 2022)</w:t>
      </w:r>
    </w:p>
  </w:footnote>
  <w:footnote w:id="23">
    <w:p w:rsidR="00B325D8" w:rsidRPr="00B325D8" w14:paraId="78596B50" w14:textId="4AFF1796">
      <w:pPr>
        <w:pStyle w:val="FootnoteText"/>
      </w:pPr>
      <w:r>
        <w:rPr>
          <w:rStyle w:val="FootnoteReference"/>
        </w:rPr>
        <w:footnoteRef/>
      </w:r>
      <w:r>
        <w:t xml:space="preserve"> </w:t>
      </w:r>
      <w:r>
        <w:rPr>
          <w:i/>
          <w:iCs/>
        </w:rPr>
        <w:t>Id</w:t>
      </w:r>
      <w:r>
        <w:t>.</w:t>
      </w:r>
    </w:p>
  </w:footnote>
  <w:footnote w:id="24">
    <w:p w:rsidR="00880337" w:rsidRPr="00880337" w14:paraId="66861F22" w14:textId="7EEF14D0">
      <w:pPr>
        <w:pStyle w:val="FootnoteText"/>
      </w:pPr>
      <w:r>
        <w:rPr>
          <w:rStyle w:val="FootnoteReference"/>
        </w:rPr>
        <w:footnoteRef/>
      </w:r>
      <w:r>
        <w:t xml:space="preserve"> </w:t>
      </w:r>
      <w:r>
        <w:rPr>
          <w:i/>
          <w:iCs/>
        </w:rPr>
        <w:t>December 2020 Waiver Order</w:t>
      </w:r>
      <w:r>
        <w:t>, 35 FCC Rcd at 14635, para. 3 n.8.</w:t>
      </w:r>
    </w:p>
  </w:footnote>
  <w:footnote w:id="25">
    <w:p w:rsidR="00DB4ED6" w:rsidRPr="00DB4ED6" w14:paraId="164766E5" w14:textId="0382DC65">
      <w:pPr>
        <w:pStyle w:val="FootnoteText"/>
      </w:pPr>
      <w:r>
        <w:rPr>
          <w:rStyle w:val="FootnoteReference"/>
        </w:rPr>
        <w:footnoteRef/>
      </w:r>
      <w:r>
        <w:t xml:space="preserve"> </w:t>
      </w:r>
      <w:r>
        <w:rPr>
          <w:i/>
          <w:iCs/>
        </w:rPr>
        <w:t>Id.</w:t>
      </w:r>
      <w:r>
        <w:t xml:space="preserve"> at 2</w:t>
      </w:r>
      <w:r w:rsidR="001B4961">
        <w:t xml:space="preserve">; </w:t>
      </w:r>
      <w:r w:rsidRPr="00D93ED1" w:rsidR="001B4961">
        <w:rPr>
          <w:i/>
          <w:iCs/>
        </w:rPr>
        <w:t>December 2021 Order</w:t>
      </w:r>
      <w:r w:rsidR="001B4961">
        <w:t>, para. 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28412C4B" w14:textId="6C70F8F1">
    <w:pPr>
      <w:pStyle w:val="Header"/>
      <w:rPr>
        <w:b w:val="0"/>
      </w:rPr>
    </w:pPr>
    <w:r>
      <w:tab/>
    </w:r>
    <w:r>
      <w:t>Federal Communications Commission</w:t>
    </w:r>
    <w:r>
      <w:tab/>
    </w:r>
    <w:r w:rsidR="00647B17">
      <w:t xml:space="preserve">DA </w:t>
    </w:r>
    <w:r w:rsidR="000D000F">
      <w:t>22-</w:t>
    </w:r>
    <w:r w:rsidR="005210F1">
      <w:t>698</w:t>
    </w:r>
  </w:p>
  <w:p w:rsidR="00D25FB5" w14:paraId="674CF171" w14:textId="6126A9F8">
    <w:pPr>
      <w:tabs>
        <w:tab w:val="left" w:pos="-720"/>
      </w:tabs>
      <w:suppressAutoHyphens/>
      <w:spacing w:line="19" w:lineRule="exact"/>
      <w:rPr>
        <w:spacing w:val="-2"/>
      </w:rPr>
    </w:pPr>
    <w:r>
      <w:rPr>
        <w:noProof/>
      </w:rPr>
      <mc:AlternateContent>
        <mc:Choice Requires="wps">
          <w:drawing>
            <wp:anchor distT="0" distB="0" distL="114300" distR="114300" simplePos="0" relativeHeight="251660288"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w10:wrap anchorx="margin"/>
            </v:rect>
          </w:pict>
        </mc:Fallback>
      </mc:AlternateContent>
    </w:r>
  </w:p>
  <w:p w:rsidR="00D25FB5" w14:paraId="0DD75EBC"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608F4D5" w14:textId="5759024F">
    <w:pPr>
      <w:pStyle w:val="Header"/>
      <w:rPr>
        <w:b w:val="0"/>
      </w:rP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w10:wrap anchorx="margin"/>
            </v:rect>
          </w:pict>
        </mc:Fallback>
      </mc:AlternateContent>
    </w:r>
    <w:r w:rsidR="009E6756">
      <w:tab/>
    </w:r>
    <w:r w:rsidR="009E6756">
      <w:t>Federal Communications Commission</w:t>
    </w:r>
    <w:r w:rsidR="009E6756">
      <w:tab/>
    </w:r>
    <w:r w:rsidR="00C94336">
      <w:rPr>
        <w:spacing w:val="-2"/>
      </w:rPr>
      <w:t xml:space="preserve">DA </w:t>
    </w:r>
    <w:r w:rsidR="000D000F">
      <w:rPr>
        <w:spacing w:val="-2"/>
      </w:rPr>
      <w:t>22-</w:t>
    </w:r>
    <w:r w:rsidR="005210F1">
      <w:rPr>
        <w:spacing w:val="-2"/>
      </w:rPr>
      <w:t>698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36D27"/>
    <w:multiLevelType w:val="hybridMultilevel"/>
    <w:tmpl w:val="6DE8C87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1AFE44A5"/>
    <w:multiLevelType w:val="hybridMultilevel"/>
    <w:tmpl w:val="489023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5BE1C1C"/>
    <w:multiLevelType w:val="hybridMultilevel"/>
    <w:tmpl w:val="41EC7D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61182925"/>
    <w:multiLevelType w:val="singleLevel"/>
    <w:tmpl w:val="8E0CD586"/>
    <w:lvl w:ilvl="0">
      <w:start w:val="1"/>
      <w:numFmt w:val="decimal"/>
      <w:pStyle w:val="ParaNum"/>
      <w:lvlText w:val="%1."/>
      <w:lvlJc w:val="left"/>
      <w:pPr>
        <w:tabs>
          <w:tab w:val="num" w:pos="1080"/>
        </w:tabs>
        <w:ind w:left="0" w:firstLine="720"/>
      </w:pPr>
      <w:rPr>
        <w:i w:val="0"/>
        <w:iCs w:val="0"/>
      </w:rPr>
    </w:lvl>
  </w:abstractNum>
  <w:abstractNum w:abstractNumId="9">
    <w:nsid w:val="73EA2B9D"/>
    <w:multiLevelType w:val="hybridMultilevel"/>
    <w:tmpl w:val="A462DA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4"/>
  </w:num>
  <w:num w:numId="6">
    <w:abstractNumId w:val="1"/>
  </w:num>
  <w:num w:numId="7">
    <w:abstractNumId w:val="8"/>
    <w:lvlOverride w:ilvl="0">
      <w:startOverride w:val="1"/>
    </w:lvlOverride>
  </w:num>
  <w:num w:numId="8">
    <w:abstractNumId w:val="0"/>
  </w:num>
  <w:num w:numId="9">
    <w:abstractNumId w:val="5"/>
  </w:num>
  <w:num w:numId="10">
    <w:abstractNumId w:val="9"/>
  </w:num>
  <w:num w:numId="11">
    <w:abstractNumId w:val="2"/>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EB"/>
    <w:rsid w:val="00001CF5"/>
    <w:rsid w:val="00002512"/>
    <w:rsid w:val="00006BBA"/>
    <w:rsid w:val="00006CCE"/>
    <w:rsid w:val="00007C0A"/>
    <w:rsid w:val="00011E09"/>
    <w:rsid w:val="0001380B"/>
    <w:rsid w:val="00021FBD"/>
    <w:rsid w:val="00025E26"/>
    <w:rsid w:val="00036039"/>
    <w:rsid w:val="00037F90"/>
    <w:rsid w:val="00042658"/>
    <w:rsid w:val="00042675"/>
    <w:rsid w:val="0004778D"/>
    <w:rsid w:val="0005039F"/>
    <w:rsid w:val="0006056C"/>
    <w:rsid w:val="00063700"/>
    <w:rsid w:val="00084096"/>
    <w:rsid w:val="000875BF"/>
    <w:rsid w:val="00087611"/>
    <w:rsid w:val="000900C6"/>
    <w:rsid w:val="00090A93"/>
    <w:rsid w:val="00096D8C"/>
    <w:rsid w:val="000A1CAA"/>
    <w:rsid w:val="000A3373"/>
    <w:rsid w:val="000A7805"/>
    <w:rsid w:val="000B1F4B"/>
    <w:rsid w:val="000B2AE5"/>
    <w:rsid w:val="000B52A5"/>
    <w:rsid w:val="000C0B65"/>
    <w:rsid w:val="000C4148"/>
    <w:rsid w:val="000C59E1"/>
    <w:rsid w:val="000C5A32"/>
    <w:rsid w:val="000C6437"/>
    <w:rsid w:val="000D000F"/>
    <w:rsid w:val="000D01C5"/>
    <w:rsid w:val="000D18F9"/>
    <w:rsid w:val="000D2BA7"/>
    <w:rsid w:val="000D2E35"/>
    <w:rsid w:val="000D6DF1"/>
    <w:rsid w:val="000E05FE"/>
    <w:rsid w:val="000E3D42"/>
    <w:rsid w:val="000E5C14"/>
    <w:rsid w:val="000F7EC2"/>
    <w:rsid w:val="00111054"/>
    <w:rsid w:val="001129F4"/>
    <w:rsid w:val="00114D3D"/>
    <w:rsid w:val="00115442"/>
    <w:rsid w:val="001154C9"/>
    <w:rsid w:val="00122BD5"/>
    <w:rsid w:val="00122D2A"/>
    <w:rsid w:val="00123236"/>
    <w:rsid w:val="00133F79"/>
    <w:rsid w:val="00135EFD"/>
    <w:rsid w:val="00145734"/>
    <w:rsid w:val="00151D05"/>
    <w:rsid w:val="00154F95"/>
    <w:rsid w:val="00157034"/>
    <w:rsid w:val="00171D3F"/>
    <w:rsid w:val="00177DBB"/>
    <w:rsid w:val="001907E8"/>
    <w:rsid w:val="00193779"/>
    <w:rsid w:val="00193FF0"/>
    <w:rsid w:val="00194A66"/>
    <w:rsid w:val="001B144F"/>
    <w:rsid w:val="001B38BA"/>
    <w:rsid w:val="001B3A0F"/>
    <w:rsid w:val="001B4961"/>
    <w:rsid w:val="001C31EA"/>
    <w:rsid w:val="001D0118"/>
    <w:rsid w:val="001D6BCF"/>
    <w:rsid w:val="001E01CA"/>
    <w:rsid w:val="001E1CA3"/>
    <w:rsid w:val="001E286D"/>
    <w:rsid w:val="001E3B3D"/>
    <w:rsid w:val="001E489D"/>
    <w:rsid w:val="001F4825"/>
    <w:rsid w:val="001F6B09"/>
    <w:rsid w:val="00202340"/>
    <w:rsid w:val="002042B4"/>
    <w:rsid w:val="002044EC"/>
    <w:rsid w:val="00207629"/>
    <w:rsid w:val="00210B88"/>
    <w:rsid w:val="00210E9F"/>
    <w:rsid w:val="00211B7E"/>
    <w:rsid w:val="0021634E"/>
    <w:rsid w:val="002172CC"/>
    <w:rsid w:val="00217D1E"/>
    <w:rsid w:val="00217F91"/>
    <w:rsid w:val="00221D89"/>
    <w:rsid w:val="00233367"/>
    <w:rsid w:val="00237EFC"/>
    <w:rsid w:val="00242924"/>
    <w:rsid w:val="00247EEC"/>
    <w:rsid w:val="0025025E"/>
    <w:rsid w:val="00253941"/>
    <w:rsid w:val="00253EE5"/>
    <w:rsid w:val="00262E9A"/>
    <w:rsid w:val="00267B22"/>
    <w:rsid w:val="00267EA7"/>
    <w:rsid w:val="00270174"/>
    <w:rsid w:val="00270EAB"/>
    <w:rsid w:val="00275CF5"/>
    <w:rsid w:val="00276ABD"/>
    <w:rsid w:val="002808E8"/>
    <w:rsid w:val="00280A78"/>
    <w:rsid w:val="00282887"/>
    <w:rsid w:val="0028301F"/>
    <w:rsid w:val="00285017"/>
    <w:rsid w:val="00286296"/>
    <w:rsid w:val="00287437"/>
    <w:rsid w:val="00291BE6"/>
    <w:rsid w:val="00294C83"/>
    <w:rsid w:val="002A03AA"/>
    <w:rsid w:val="002A2D2E"/>
    <w:rsid w:val="002A3002"/>
    <w:rsid w:val="002A5DD6"/>
    <w:rsid w:val="002B0142"/>
    <w:rsid w:val="002B02CB"/>
    <w:rsid w:val="002B0435"/>
    <w:rsid w:val="002B4A48"/>
    <w:rsid w:val="002B5E46"/>
    <w:rsid w:val="002C00E8"/>
    <w:rsid w:val="002C3C82"/>
    <w:rsid w:val="002C67E3"/>
    <w:rsid w:val="002D5101"/>
    <w:rsid w:val="002D541F"/>
    <w:rsid w:val="002E2EBC"/>
    <w:rsid w:val="002F6BDC"/>
    <w:rsid w:val="003018EB"/>
    <w:rsid w:val="00302D04"/>
    <w:rsid w:val="00305B8F"/>
    <w:rsid w:val="00306936"/>
    <w:rsid w:val="00311623"/>
    <w:rsid w:val="0031551C"/>
    <w:rsid w:val="0032098B"/>
    <w:rsid w:val="00320EE0"/>
    <w:rsid w:val="0032728B"/>
    <w:rsid w:val="00330C81"/>
    <w:rsid w:val="00332E8A"/>
    <w:rsid w:val="00333E3E"/>
    <w:rsid w:val="0033714D"/>
    <w:rsid w:val="00340BAA"/>
    <w:rsid w:val="003415DA"/>
    <w:rsid w:val="00343749"/>
    <w:rsid w:val="003465FE"/>
    <w:rsid w:val="003502C8"/>
    <w:rsid w:val="00351B4E"/>
    <w:rsid w:val="00361189"/>
    <w:rsid w:val="00361EC5"/>
    <w:rsid w:val="003660ED"/>
    <w:rsid w:val="0037206B"/>
    <w:rsid w:val="0037240A"/>
    <w:rsid w:val="00376F84"/>
    <w:rsid w:val="0037730C"/>
    <w:rsid w:val="003811F9"/>
    <w:rsid w:val="00381338"/>
    <w:rsid w:val="00383C96"/>
    <w:rsid w:val="00391520"/>
    <w:rsid w:val="00395C15"/>
    <w:rsid w:val="003A20EE"/>
    <w:rsid w:val="003A3EF8"/>
    <w:rsid w:val="003A6EDF"/>
    <w:rsid w:val="003B0550"/>
    <w:rsid w:val="003B694F"/>
    <w:rsid w:val="003C4672"/>
    <w:rsid w:val="003D0DF6"/>
    <w:rsid w:val="003D3CAF"/>
    <w:rsid w:val="003D5D0C"/>
    <w:rsid w:val="003D5EFF"/>
    <w:rsid w:val="003F16E9"/>
    <w:rsid w:val="003F171C"/>
    <w:rsid w:val="003F2EAD"/>
    <w:rsid w:val="00401362"/>
    <w:rsid w:val="0040633F"/>
    <w:rsid w:val="00410F54"/>
    <w:rsid w:val="004115CF"/>
    <w:rsid w:val="00412FC5"/>
    <w:rsid w:val="00420FFE"/>
    <w:rsid w:val="00422276"/>
    <w:rsid w:val="0042371C"/>
    <w:rsid w:val="00423F3A"/>
    <w:rsid w:val="004242F1"/>
    <w:rsid w:val="0042497B"/>
    <w:rsid w:val="00437CBF"/>
    <w:rsid w:val="004444A2"/>
    <w:rsid w:val="00444A8F"/>
    <w:rsid w:val="00445A00"/>
    <w:rsid w:val="004467A4"/>
    <w:rsid w:val="00447D29"/>
    <w:rsid w:val="00451B0F"/>
    <w:rsid w:val="0045336A"/>
    <w:rsid w:val="00462E84"/>
    <w:rsid w:val="00465EFD"/>
    <w:rsid w:val="0047218C"/>
    <w:rsid w:val="004778F1"/>
    <w:rsid w:val="00482B10"/>
    <w:rsid w:val="004947BC"/>
    <w:rsid w:val="00495A11"/>
    <w:rsid w:val="004A2711"/>
    <w:rsid w:val="004A5B98"/>
    <w:rsid w:val="004A7079"/>
    <w:rsid w:val="004B45AC"/>
    <w:rsid w:val="004C27A7"/>
    <w:rsid w:val="004C2EE3"/>
    <w:rsid w:val="004C4DAE"/>
    <w:rsid w:val="004C6F77"/>
    <w:rsid w:val="004D3FCF"/>
    <w:rsid w:val="004D6BA2"/>
    <w:rsid w:val="004E1F63"/>
    <w:rsid w:val="004E4A22"/>
    <w:rsid w:val="004F7DA3"/>
    <w:rsid w:val="005024D1"/>
    <w:rsid w:val="00511215"/>
    <w:rsid w:val="00511968"/>
    <w:rsid w:val="00513EA8"/>
    <w:rsid w:val="005210F1"/>
    <w:rsid w:val="005219F2"/>
    <w:rsid w:val="005251E0"/>
    <w:rsid w:val="00530AF1"/>
    <w:rsid w:val="00534957"/>
    <w:rsid w:val="005349CE"/>
    <w:rsid w:val="00534D27"/>
    <w:rsid w:val="00535559"/>
    <w:rsid w:val="005414EC"/>
    <w:rsid w:val="00541DE1"/>
    <w:rsid w:val="00544C59"/>
    <w:rsid w:val="0055614C"/>
    <w:rsid w:val="00566D06"/>
    <w:rsid w:val="00574D3D"/>
    <w:rsid w:val="00576E74"/>
    <w:rsid w:val="00577988"/>
    <w:rsid w:val="00584042"/>
    <w:rsid w:val="0058422B"/>
    <w:rsid w:val="00584BAC"/>
    <w:rsid w:val="00584D59"/>
    <w:rsid w:val="005901CD"/>
    <w:rsid w:val="00591095"/>
    <w:rsid w:val="0059466C"/>
    <w:rsid w:val="00595A40"/>
    <w:rsid w:val="005A477D"/>
    <w:rsid w:val="005A4A98"/>
    <w:rsid w:val="005A4FAD"/>
    <w:rsid w:val="005A6D20"/>
    <w:rsid w:val="005B48AA"/>
    <w:rsid w:val="005B6C7A"/>
    <w:rsid w:val="005D42AF"/>
    <w:rsid w:val="005E0AF6"/>
    <w:rsid w:val="005E14C2"/>
    <w:rsid w:val="005E7835"/>
    <w:rsid w:val="005E7C51"/>
    <w:rsid w:val="005F0699"/>
    <w:rsid w:val="005F132E"/>
    <w:rsid w:val="006017CA"/>
    <w:rsid w:val="006038A4"/>
    <w:rsid w:val="00604BA5"/>
    <w:rsid w:val="00605705"/>
    <w:rsid w:val="00607BA5"/>
    <w:rsid w:val="0061085C"/>
    <w:rsid w:val="0061180A"/>
    <w:rsid w:val="00612A16"/>
    <w:rsid w:val="0061507E"/>
    <w:rsid w:val="006157D4"/>
    <w:rsid w:val="00616514"/>
    <w:rsid w:val="0062377B"/>
    <w:rsid w:val="00626513"/>
    <w:rsid w:val="00626D8F"/>
    <w:rsid w:val="00626EB6"/>
    <w:rsid w:val="006277A2"/>
    <w:rsid w:val="00627E1C"/>
    <w:rsid w:val="006339E1"/>
    <w:rsid w:val="00640265"/>
    <w:rsid w:val="00641EFE"/>
    <w:rsid w:val="00647B17"/>
    <w:rsid w:val="00651AE8"/>
    <w:rsid w:val="00652F04"/>
    <w:rsid w:val="00655D03"/>
    <w:rsid w:val="0066186D"/>
    <w:rsid w:val="00664074"/>
    <w:rsid w:val="00665A04"/>
    <w:rsid w:val="006678AE"/>
    <w:rsid w:val="0068019F"/>
    <w:rsid w:val="00683388"/>
    <w:rsid w:val="00683F84"/>
    <w:rsid w:val="00687ACF"/>
    <w:rsid w:val="00696229"/>
    <w:rsid w:val="006A6A81"/>
    <w:rsid w:val="006B0DD3"/>
    <w:rsid w:val="006B1906"/>
    <w:rsid w:val="006C1BD4"/>
    <w:rsid w:val="006C6449"/>
    <w:rsid w:val="006D2057"/>
    <w:rsid w:val="006D491B"/>
    <w:rsid w:val="006D6C7B"/>
    <w:rsid w:val="006F0252"/>
    <w:rsid w:val="006F39CF"/>
    <w:rsid w:val="006F7393"/>
    <w:rsid w:val="0070224F"/>
    <w:rsid w:val="00703462"/>
    <w:rsid w:val="00706B33"/>
    <w:rsid w:val="007115F7"/>
    <w:rsid w:val="00711E14"/>
    <w:rsid w:val="007128A7"/>
    <w:rsid w:val="00712980"/>
    <w:rsid w:val="007159BF"/>
    <w:rsid w:val="00716FC5"/>
    <w:rsid w:val="007223DA"/>
    <w:rsid w:val="00727C51"/>
    <w:rsid w:val="00730E82"/>
    <w:rsid w:val="0073453E"/>
    <w:rsid w:val="00734D29"/>
    <w:rsid w:val="007364BF"/>
    <w:rsid w:val="00736ECE"/>
    <w:rsid w:val="00736F4B"/>
    <w:rsid w:val="00743EF3"/>
    <w:rsid w:val="00744C7C"/>
    <w:rsid w:val="007524A7"/>
    <w:rsid w:val="007527C7"/>
    <w:rsid w:val="00767E00"/>
    <w:rsid w:val="007721DF"/>
    <w:rsid w:val="00774D2A"/>
    <w:rsid w:val="0077694D"/>
    <w:rsid w:val="00776B23"/>
    <w:rsid w:val="00785689"/>
    <w:rsid w:val="00794025"/>
    <w:rsid w:val="007942D4"/>
    <w:rsid w:val="00796990"/>
    <w:rsid w:val="0079754B"/>
    <w:rsid w:val="007A1E6D"/>
    <w:rsid w:val="007A3208"/>
    <w:rsid w:val="007A3E10"/>
    <w:rsid w:val="007B006D"/>
    <w:rsid w:val="007B0EB2"/>
    <w:rsid w:val="007B1AC6"/>
    <w:rsid w:val="007B1D52"/>
    <w:rsid w:val="007B2891"/>
    <w:rsid w:val="007C0479"/>
    <w:rsid w:val="007C0EA4"/>
    <w:rsid w:val="007C13D7"/>
    <w:rsid w:val="007C18A8"/>
    <w:rsid w:val="007C6BF3"/>
    <w:rsid w:val="007C6DD7"/>
    <w:rsid w:val="007D2332"/>
    <w:rsid w:val="00810036"/>
    <w:rsid w:val="00810B68"/>
    <w:rsid w:val="00810B6F"/>
    <w:rsid w:val="00812248"/>
    <w:rsid w:val="00812C17"/>
    <w:rsid w:val="00814134"/>
    <w:rsid w:val="0081567D"/>
    <w:rsid w:val="00816347"/>
    <w:rsid w:val="008210C4"/>
    <w:rsid w:val="00822CE0"/>
    <w:rsid w:val="00824903"/>
    <w:rsid w:val="00824DC1"/>
    <w:rsid w:val="008301BD"/>
    <w:rsid w:val="00833440"/>
    <w:rsid w:val="00841AB1"/>
    <w:rsid w:val="0084279F"/>
    <w:rsid w:val="00843142"/>
    <w:rsid w:val="008570B6"/>
    <w:rsid w:val="00865987"/>
    <w:rsid w:val="00866356"/>
    <w:rsid w:val="00872018"/>
    <w:rsid w:val="00875B58"/>
    <w:rsid w:val="00877F5A"/>
    <w:rsid w:val="00880337"/>
    <w:rsid w:val="00882DC4"/>
    <w:rsid w:val="008876E7"/>
    <w:rsid w:val="00887C2E"/>
    <w:rsid w:val="0089727D"/>
    <w:rsid w:val="008A2148"/>
    <w:rsid w:val="008A7A6B"/>
    <w:rsid w:val="008B1774"/>
    <w:rsid w:val="008B19EC"/>
    <w:rsid w:val="008B2825"/>
    <w:rsid w:val="008B2AA2"/>
    <w:rsid w:val="008B374D"/>
    <w:rsid w:val="008B3A13"/>
    <w:rsid w:val="008B7B1F"/>
    <w:rsid w:val="008C6414"/>
    <w:rsid w:val="008C648D"/>
    <w:rsid w:val="008C68F1"/>
    <w:rsid w:val="008D5B46"/>
    <w:rsid w:val="008D6F6F"/>
    <w:rsid w:val="008E1966"/>
    <w:rsid w:val="008E5449"/>
    <w:rsid w:val="008E6ABA"/>
    <w:rsid w:val="008E74BF"/>
    <w:rsid w:val="008F26AB"/>
    <w:rsid w:val="009048D6"/>
    <w:rsid w:val="00911246"/>
    <w:rsid w:val="00911487"/>
    <w:rsid w:val="00920B74"/>
    <w:rsid w:val="00921803"/>
    <w:rsid w:val="00926503"/>
    <w:rsid w:val="00927B42"/>
    <w:rsid w:val="00930BB9"/>
    <w:rsid w:val="00934C99"/>
    <w:rsid w:val="00935282"/>
    <w:rsid w:val="00935B35"/>
    <w:rsid w:val="00950986"/>
    <w:rsid w:val="00950AFF"/>
    <w:rsid w:val="00953279"/>
    <w:rsid w:val="00957592"/>
    <w:rsid w:val="00960325"/>
    <w:rsid w:val="009723DB"/>
    <w:rsid w:val="009726D8"/>
    <w:rsid w:val="009806D6"/>
    <w:rsid w:val="009811E9"/>
    <w:rsid w:val="009939DA"/>
    <w:rsid w:val="009A6073"/>
    <w:rsid w:val="009B05D4"/>
    <w:rsid w:val="009B1BCD"/>
    <w:rsid w:val="009B4777"/>
    <w:rsid w:val="009B6CD9"/>
    <w:rsid w:val="009B744B"/>
    <w:rsid w:val="009C3C19"/>
    <w:rsid w:val="009C5E6C"/>
    <w:rsid w:val="009C6BE6"/>
    <w:rsid w:val="009D2250"/>
    <w:rsid w:val="009D2468"/>
    <w:rsid w:val="009D61E4"/>
    <w:rsid w:val="009D6A89"/>
    <w:rsid w:val="009D7308"/>
    <w:rsid w:val="009E00E4"/>
    <w:rsid w:val="009E32FD"/>
    <w:rsid w:val="009E6756"/>
    <w:rsid w:val="009E76B3"/>
    <w:rsid w:val="009E7A7C"/>
    <w:rsid w:val="009E7F81"/>
    <w:rsid w:val="009F2079"/>
    <w:rsid w:val="009F29F4"/>
    <w:rsid w:val="009F51E7"/>
    <w:rsid w:val="009F6F7F"/>
    <w:rsid w:val="009F76DB"/>
    <w:rsid w:val="00A0221B"/>
    <w:rsid w:val="00A17093"/>
    <w:rsid w:val="00A17F52"/>
    <w:rsid w:val="00A27712"/>
    <w:rsid w:val="00A31D5C"/>
    <w:rsid w:val="00A32C3B"/>
    <w:rsid w:val="00A36716"/>
    <w:rsid w:val="00A3782A"/>
    <w:rsid w:val="00A443CC"/>
    <w:rsid w:val="00A45F4F"/>
    <w:rsid w:val="00A5354D"/>
    <w:rsid w:val="00A54831"/>
    <w:rsid w:val="00A570BB"/>
    <w:rsid w:val="00A600A9"/>
    <w:rsid w:val="00A62392"/>
    <w:rsid w:val="00A63181"/>
    <w:rsid w:val="00A645E6"/>
    <w:rsid w:val="00A65977"/>
    <w:rsid w:val="00A76DA4"/>
    <w:rsid w:val="00A80545"/>
    <w:rsid w:val="00A824B0"/>
    <w:rsid w:val="00A9724B"/>
    <w:rsid w:val="00AA0DEB"/>
    <w:rsid w:val="00AA2DE2"/>
    <w:rsid w:val="00AA55B7"/>
    <w:rsid w:val="00AA5B9E"/>
    <w:rsid w:val="00AA6EB5"/>
    <w:rsid w:val="00AB1436"/>
    <w:rsid w:val="00AB2407"/>
    <w:rsid w:val="00AB2E9E"/>
    <w:rsid w:val="00AB53DF"/>
    <w:rsid w:val="00AB5839"/>
    <w:rsid w:val="00AB61A8"/>
    <w:rsid w:val="00AC4129"/>
    <w:rsid w:val="00AC5D66"/>
    <w:rsid w:val="00AE1F94"/>
    <w:rsid w:val="00AE1F95"/>
    <w:rsid w:val="00AE3E32"/>
    <w:rsid w:val="00AE4794"/>
    <w:rsid w:val="00AE5231"/>
    <w:rsid w:val="00AF1E4C"/>
    <w:rsid w:val="00AF5B0F"/>
    <w:rsid w:val="00AF5BF6"/>
    <w:rsid w:val="00AF7F83"/>
    <w:rsid w:val="00B01AB6"/>
    <w:rsid w:val="00B07E5C"/>
    <w:rsid w:val="00B16406"/>
    <w:rsid w:val="00B2496C"/>
    <w:rsid w:val="00B30857"/>
    <w:rsid w:val="00B32062"/>
    <w:rsid w:val="00B325D8"/>
    <w:rsid w:val="00B40331"/>
    <w:rsid w:val="00B42E5D"/>
    <w:rsid w:val="00B465FC"/>
    <w:rsid w:val="00B64D60"/>
    <w:rsid w:val="00B763A9"/>
    <w:rsid w:val="00B80425"/>
    <w:rsid w:val="00B80928"/>
    <w:rsid w:val="00B811F7"/>
    <w:rsid w:val="00B81FC0"/>
    <w:rsid w:val="00B8273B"/>
    <w:rsid w:val="00B83233"/>
    <w:rsid w:val="00B9114B"/>
    <w:rsid w:val="00BA044D"/>
    <w:rsid w:val="00BA5DC6"/>
    <w:rsid w:val="00BA6196"/>
    <w:rsid w:val="00BA6860"/>
    <w:rsid w:val="00BA6C08"/>
    <w:rsid w:val="00BB01B9"/>
    <w:rsid w:val="00BB13E6"/>
    <w:rsid w:val="00BB197B"/>
    <w:rsid w:val="00BB4EFB"/>
    <w:rsid w:val="00BB56EB"/>
    <w:rsid w:val="00BC1B49"/>
    <w:rsid w:val="00BC266A"/>
    <w:rsid w:val="00BC5251"/>
    <w:rsid w:val="00BC5409"/>
    <w:rsid w:val="00BC5FB4"/>
    <w:rsid w:val="00BC6B5A"/>
    <w:rsid w:val="00BC6D8C"/>
    <w:rsid w:val="00BD50A8"/>
    <w:rsid w:val="00BE7433"/>
    <w:rsid w:val="00BF0447"/>
    <w:rsid w:val="00C1020F"/>
    <w:rsid w:val="00C10C0C"/>
    <w:rsid w:val="00C212A0"/>
    <w:rsid w:val="00C26AA4"/>
    <w:rsid w:val="00C34006"/>
    <w:rsid w:val="00C34551"/>
    <w:rsid w:val="00C356D5"/>
    <w:rsid w:val="00C35764"/>
    <w:rsid w:val="00C35FEF"/>
    <w:rsid w:val="00C36B4C"/>
    <w:rsid w:val="00C41E84"/>
    <w:rsid w:val="00C426B1"/>
    <w:rsid w:val="00C460C6"/>
    <w:rsid w:val="00C50D68"/>
    <w:rsid w:val="00C530AE"/>
    <w:rsid w:val="00C53E3D"/>
    <w:rsid w:val="00C63F03"/>
    <w:rsid w:val="00C66160"/>
    <w:rsid w:val="00C70FD8"/>
    <w:rsid w:val="00C721AC"/>
    <w:rsid w:val="00C82B2E"/>
    <w:rsid w:val="00C870B0"/>
    <w:rsid w:val="00C900A7"/>
    <w:rsid w:val="00C90D6A"/>
    <w:rsid w:val="00C94336"/>
    <w:rsid w:val="00CA247E"/>
    <w:rsid w:val="00CA39D7"/>
    <w:rsid w:val="00CA6D21"/>
    <w:rsid w:val="00CC1E27"/>
    <w:rsid w:val="00CC72B6"/>
    <w:rsid w:val="00CD14B5"/>
    <w:rsid w:val="00CE2FF1"/>
    <w:rsid w:val="00CF2778"/>
    <w:rsid w:val="00CF5D45"/>
    <w:rsid w:val="00D01DAD"/>
    <w:rsid w:val="00D0218D"/>
    <w:rsid w:val="00D127B5"/>
    <w:rsid w:val="00D13CD1"/>
    <w:rsid w:val="00D15E20"/>
    <w:rsid w:val="00D25FB5"/>
    <w:rsid w:val="00D26B33"/>
    <w:rsid w:val="00D35349"/>
    <w:rsid w:val="00D35C94"/>
    <w:rsid w:val="00D4024B"/>
    <w:rsid w:val="00D44223"/>
    <w:rsid w:val="00D446D9"/>
    <w:rsid w:val="00D46BC6"/>
    <w:rsid w:val="00D50943"/>
    <w:rsid w:val="00D510A2"/>
    <w:rsid w:val="00D52527"/>
    <w:rsid w:val="00D74045"/>
    <w:rsid w:val="00D74BB7"/>
    <w:rsid w:val="00D75AF4"/>
    <w:rsid w:val="00D760B5"/>
    <w:rsid w:val="00D814E0"/>
    <w:rsid w:val="00D93ED1"/>
    <w:rsid w:val="00D95F3A"/>
    <w:rsid w:val="00D97C25"/>
    <w:rsid w:val="00DA1205"/>
    <w:rsid w:val="00DA1344"/>
    <w:rsid w:val="00DA2529"/>
    <w:rsid w:val="00DA2D9A"/>
    <w:rsid w:val="00DA56F0"/>
    <w:rsid w:val="00DA717E"/>
    <w:rsid w:val="00DB130A"/>
    <w:rsid w:val="00DB1D5A"/>
    <w:rsid w:val="00DB2EBB"/>
    <w:rsid w:val="00DB4ED6"/>
    <w:rsid w:val="00DB67AB"/>
    <w:rsid w:val="00DC10A1"/>
    <w:rsid w:val="00DC655F"/>
    <w:rsid w:val="00DD0450"/>
    <w:rsid w:val="00DD0B59"/>
    <w:rsid w:val="00DD0C36"/>
    <w:rsid w:val="00DD2B10"/>
    <w:rsid w:val="00DD2C03"/>
    <w:rsid w:val="00DD3B81"/>
    <w:rsid w:val="00DD70C6"/>
    <w:rsid w:val="00DD7EBD"/>
    <w:rsid w:val="00DE5EF3"/>
    <w:rsid w:val="00DF0E86"/>
    <w:rsid w:val="00DF62B6"/>
    <w:rsid w:val="00E04BDF"/>
    <w:rsid w:val="00E050C1"/>
    <w:rsid w:val="00E07225"/>
    <w:rsid w:val="00E2583A"/>
    <w:rsid w:val="00E30EFC"/>
    <w:rsid w:val="00E341E0"/>
    <w:rsid w:val="00E377D6"/>
    <w:rsid w:val="00E44578"/>
    <w:rsid w:val="00E46797"/>
    <w:rsid w:val="00E50715"/>
    <w:rsid w:val="00E52D58"/>
    <w:rsid w:val="00E53914"/>
    <w:rsid w:val="00E5409F"/>
    <w:rsid w:val="00E66162"/>
    <w:rsid w:val="00E7033E"/>
    <w:rsid w:val="00E762B6"/>
    <w:rsid w:val="00E80920"/>
    <w:rsid w:val="00E81CA8"/>
    <w:rsid w:val="00E924E8"/>
    <w:rsid w:val="00E976D7"/>
    <w:rsid w:val="00EA1A23"/>
    <w:rsid w:val="00EA3910"/>
    <w:rsid w:val="00EB4760"/>
    <w:rsid w:val="00EB721B"/>
    <w:rsid w:val="00EC5FC6"/>
    <w:rsid w:val="00EC7D59"/>
    <w:rsid w:val="00ED22EC"/>
    <w:rsid w:val="00ED3DF3"/>
    <w:rsid w:val="00ED6431"/>
    <w:rsid w:val="00EE0D61"/>
    <w:rsid w:val="00EE6488"/>
    <w:rsid w:val="00EF02E3"/>
    <w:rsid w:val="00EF06B5"/>
    <w:rsid w:val="00EF0C43"/>
    <w:rsid w:val="00F0137B"/>
    <w:rsid w:val="00F021FA"/>
    <w:rsid w:val="00F05BF8"/>
    <w:rsid w:val="00F173E7"/>
    <w:rsid w:val="00F20132"/>
    <w:rsid w:val="00F239B5"/>
    <w:rsid w:val="00F259EE"/>
    <w:rsid w:val="00F302E8"/>
    <w:rsid w:val="00F305D5"/>
    <w:rsid w:val="00F436EE"/>
    <w:rsid w:val="00F452AA"/>
    <w:rsid w:val="00F45610"/>
    <w:rsid w:val="00F46561"/>
    <w:rsid w:val="00F477FB"/>
    <w:rsid w:val="00F50F08"/>
    <w:rsid w:val="00F555F3"/>
    <w:rsid w:val="00F61622"/>
    <w:rsid w:val="00F62E97"/>
    <w:rsid w:val="00F63B34"/>
    <w:rsid w:val="00F64209"/>
    <w:rsid w:val="00F643A3"/>
    <w:rsid w:val="00F67721"/>
    <w:rsid w:val="00F7046B"/>
    <w:rsid w:val="00F8337D"/>
    <w:rsid w:val="00F83F8A"/>
    <w:rsid w:val="00F87E82"/>
    <w:rsid w:val="00F902B7"/>
    <w:rsid w:val="00F93BF5"/>
    <w:rsid w:val="00F952EB"/>
    <w:rsid w:val="00FA4996"/>
    <w:rsid w:val="00FA4E42"/>
    <w:rsid w:val="00FB5B52"/>
    <w:rsid w:val="00FC3493"/>
    <w:rsid w:val="00FC34C7"/>
    <w:rsid w:val="00FC57FE"/>
    <w:rsid w:val="00FD1678"/>
    <w:rsid w:val="00FD2D4D"/>
    <w:rsid w:val="00FD446E"/>
    <w:rsid w:val="00FD4D0B"/>
    <w:rsid w:val="00FD51ED"/>
    <w:rsid w:val="00FD5624"/>
    <w:rsid w:val="00FD6F9F"/>
    <w:rsid w:val="00FE35FC"/>
    <w:rsid w:val="00FE5ED5"/>
    <w:rsid w:val="10C114ED"/>
    <w:rsid w:val="3F63272A"/>
    <w:rsid w:val="539ED993"/>
    <w:rsid w:val="6B78A9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6F4C9"/>
  <w15:docId w15:val="{F322854E-4274-440C-A88D-F2D6C999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53279"/>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UNDERRUBRIK 1-2 Char,h2 Char"/>
    <w:basedOn w:val="Normal"/>
    <w:next w:val="ParaNum"/>
    <w:autoRedefine/>
    <w:qFormat/>
    <w:rsid w:val="007A1E6D"/>
    <w:pPr>
      <w:keepNext/>
      <w:numPr>
        <w:ilvl w:val="1"/>
        <w:numId w:val="3"/>
      </w:numPr>
      <w:spacing w:after="120"/>
      <w:outlineLvl w:val="1"/>
    </w:pPr>
    <w:rPr>
      <w:b/>
    </w:rPr>
  </w:style>
  <w:style w:type="paragraph" w:styleId="Heading3">
    <w:name w:val="heading 3"/>
    <w:aliases w:val="1,1 Char,3,3 Char,31,31 Char,?? 3,?? 3 Char,Heading 3 Char Char,Heading 3 Char Char Char Char,Heading 3 Char Char1 Ch,Heading 3 Char1,Heading 3 Char1 Char Char,Heading 3 Char2 Char1 Char Char,Titre 3,Titre 3 Char,Titre 31,Titre 31 Char"/>
    <w:basedOn w:val="Normal"/>
    <w:next w:val="ParaNum"/>
    <w:qFormat/>
    <w:rsid w:val="00BA6196"/>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 Char1 Char Char,Heading 4 Char Char1,Heading 4 Char Char1 Char Ch,Heading 4 Char1,Heading 4 Char1 Char,Heading 4 Char1 Char1 Char Char,Heading 4 Char2,Heading 4 Char2 Char Char"/>
    <w:basedOn w:val="Normal"/>
    <w:next w:val="ParaNum"/>
    <w:qFormat/>
    <w:rsid w:val="00C426B1"/>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outlineLvl w:val="7"/>
    </w:pPr>
    <w:rPr>
      <w:b/>
    </w:rPr>
  </w:style>
  <w:style w:type="paragraph" w:styleId="Heading9">
    <w:name w:val="heading 9"/>
    <w:aliases w:val="9,Heading 9.table,Titre 9,Topic,t,table"/>
    <w:basedOn w:val="Normal"/>
    <w:next w:val="ParaNum"/>
    <w:qFormat/>
    <w:rsid w:val="001E01CA"/>
    <w:pPr>
      <w:numPr>
        <w:ilvl w:val="8"/>
        <w:numId w:val="3"/>
      </w:numPr>
      <w:tabs>
        <w:tab w:val="clear" w:pos="6120"/>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2044EC"/>
    <w:pPr>
      <w:numPr>
        <w:numId w:val="1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uiPriority w:val="99"/>
    <w:qFormat/>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link w:val="FootnoteText"/>
    <w:uiPriority w:val="99"/>
    <w:rsid w:val="00BB56EB"/>
  </w:style>
  <w:style w:type="character" w:customStyle="1" w:styleId="ParaNumChar1">
    <w:name w:val="ParaNum Char1"/>
    <w:link w:val="ParaNum"/>
    <w:locked/>
    <w:rsid w:val="002044EC"/>
    <w:rPr>
      <w:snapToGrid w:val="0"/>
      <w:kern w:val="28"/>
      <w:sz w:val="22"/>
    </w:rPr>
  </w:style>
  <w:style w:type="paragraph" w:styleId="ListParagraph">
    <w:name w:val="List Paragraph"/>
    <w:basedOn w:val="Normal"/>
    <w:uiPriority w:val="34"/>
    <w:qFormat/>
    <w:rsid w:val="00696229"/>
    <w:pPr>
      <w:widowControl/>
      <w:spacing w:after="120"/>
      <w:ind w:left="720"/>
    </w:pPr>
    <w:rPr>
      <w:rFonts w:eastAsiaTheme="minorHAnsi" w:cstheme="minorBidi"/>
      <w:snapToGrid/>
      <w:kern w:val="0"/>
      <w:szCs w:val="22"/>
    </w:rPr>
  </w:style>
  <w:style w:type="character" w:customStyle="1" w:styleId="UnresolvedMention">
    <w:name w:val="Unresolved Mention"/>
    <w:basedOn w:val="DefaultParagraphFont"/>
    <w:rsid w:val="008B374D"/>
    <w:rPr>
      <w:color w:val="605E5C"/>
      <w:shd w:val="clear" w:color="auto" w:fill="E1DFDD"/>
    </w:rPr>
  </w:style>
  <w:style w:type="paragraph" w:styleId="Revision">
    <w:name w:val="Revision"/>
    <w:hidden/>
    <w:uiPriority w:val="99"/>
    <w:semiHidden/>
    <w:rsid w:val="00E050C1"/>
    <w:rPr>
      <w:snapToGrid w:val="0"/>
      <w:kern w:val="28"/>
      <w:sz w:val="22"/>
    </w:rPr>
  </w:style>
  <w:style w:type="character" w:styleId="CommentReference">
    <w:name w:val="annotation reference"/>
    <w:basedOn w:val="DefaultParagraphFont"/>
    <w:rsid w:val="00C26AA4"/>
    <w:rPr>
      <w:sz w:val="16"/>
      <w:szCs w:val="16"/>
    </w:rPr>
  </w:style>
  <w:style w:type="paragraph" w:styleId="CommentText">
    <w:name w:val="annotation text"/>
    <w:basedOn w:val="Normal"/>
    <w:link w:val="CommentTextChar"/>
    <w:rsid w:val="00C26AA4"/>
    <w:rPr>
      <w:sz w:val="20"/>
    </w:rPr>
  </w:style>
  <w:style w:type="character" w:customStyle="1" w:styleId="CommentTextChar">
    <w:name w:val="Comment Text Char"/>
    <w:basedOn w:val="DefaultParagraphFont"/>
    <w:link w:val="CommentText"/>
    <w:rsid w:val="00C26AA4"/>
    <w:rPr>
      <w:snapToGrid w:val="0"/>
      <w:kern w:val="28"/>
    </w:rPr>
  </w:style>
  <w:style w:type="paragraph" w:styleId="CommentSubject">
    <w:name w:val="annotation subject"/>
    <w:basedOn w:val="CommentText"/>
    <w:next w:val="CommentText"/>
    <w:link w:val="CommentSubjectChar"/>
    <w:rsid w:val="00C26AA4"/>
    <w:rPr>
      <w:b/>
      <w:bCs/>
    </w:rPr>
  </w:style>
  <w:style w:type="character" w:customStyle="1" w:styleId="CommentSubjectChar">
    <w:name w:val="Comment Subject Char"/>
    <w:basedOn w:val="CommentTextChar"/>
    <w:link w:val="CommentSubject"/>
    <w:rsid w:val="00C26AA4"/>
    <w:rPr>
      <w:b/>
      <w:bCs/>
      <w:snapToGrid w:val="0"/>
      <w:kern w:val="28"/>
    </w:rPr>
  </w:style>
  <w:style w:type="character" w:styleId="FollowedHyperlink">
    <w:name w:val="FollowedHyperlink"/>
    <w:basedOn w:val="DefaultParagraphFont"/>
    <w:rsid w:val="00EC5FC6"/>
    <w:rPr>
      <w:color w:val="954F72" w:themeColor="followedHyperlink"/>
      <w:u w:val="single"/>
    </w:rPr>
  </w:style>
  <w:style w:type="character" w:customStyle="1" w:styleId="Mention">
    <w:name w:val="Mention"/>
    <w:basedOn w:val="DefaultParagraphFont"/>
    <w:rsid w:val="00BC5409"/>
    <w:rPr>
      <w:color w:val="2B579A"/>
      <w:shd w:val="clear" w:color="auto" w:fill="E1DFDD"/>
    </w:rPr>
  </w:style>
  <w:style w:type="paragraph" w:customStyle="1" w:styleId="StyleParaNumItalic">
    <w:name w:val="Style ParaNum + Italic"/>
    <w:basedOn w:val="ParaNum"/>
    <w:rsid w:val="009F6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statements-releases/&#8204;2021/11/26/statement-by-president-joe-biden-on-the-omicron-covid-19-variant/" TargetMode="External" /><Relationship Id="rId2" Type="http://schemas.openxmlformats.org/officeDocument/2006/relationships/hyperlink" Target="https://aspr.hhs.gov/legal/PHE/Pages/COVID19-12Apr2022.aspx" TargetMode="External" /><Relationship Id="rId3" Type="http://schemas.openxmlformats.org/officeDocument/2006/relationships/hyperlink" Target="https://covid.cdc.gov/covid-data-tracker/" TargetMode="External" /><Relationship Id="rId4" Type="http://schemas.openxmlformats.org/officeDocument/2006/relationships/hyperlink" Target="https://ballotpedia.org/Travel_restrictions_issued_by_states_in_response_to_&#8204;the_coronavirus_(COVID-19)_pandemic,_2020-2022" TargetMode="External" /><Relationship Id="rId5" Type="http://schemas.openxmlformats.org/officeDocument/2006/relationships/hyperlink" Target="https://www.aarp.org/health/&#8204;healthy-living/info-2020/states-mask-mandates-coronavirus.html"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